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8BF" w:rsidRPr="004F787C" w:rsidRDefault="003568BF" w:rsidP="003568BF">
      <w:pPr>
        <w:jc w:val="center"/>
        <w:rPr>
          <w:rFonts w:cs="Arial"/>
          <w:b/>
          <w:color w:val="000000"/>
        </w:rPr>
      </w:pPr>
      <w:r w:rsidRPr="004F787C">
        <w:rPr>
          <w:rFonts w:cs="Arial"/>
          <w:b/>
          <w:color w:val="000000"/>
        </w:rPr>
        <w:t>(</w:t>
      </w:r>
      <w:r w:rsidR="004F787C" w:rsidRPr="004F787C">
        <w:rPr>
          <w:rFonts w:cs="Arial"/>
          <w:b/>
          <w:color w:val="000000"/>
        </w:rPr>
        <w:t>BARKING AND DAGENHAM SCHOOL</w:t>
      </w:r>
      <w:r w:rsidR="00AF6019">
        <w:rPr>
          <w:rFonts w:cs="Arial"/>
          <w:b/>
          <w:color w:val="000000"/>
        </w:rPr>
        <w:t>S</w:t>
      </w:r>
      <w:r w:rsidR="004F787C" w:rsidRPr="004F787C">
        <w:rPr>
          <w:rFonts w:cs="Arial"/>
          <w:b/>
          <w:color w:val="000000"/>
        </w:rPr>
        <w:t xml:space="preserve"> FORUM</w:t>
      </w:r>
      <w:r w:rsidRPr="004F787C">
        <w:rPr>
          <w:rFonts w:cs="Arial"/>
          <w:b/>
          <w:color w:val="000000"/>
        </w:rPr>
        <w:t>)</w:t>
      </w:r>
    </w:p>
    <w:p w:rsidR="009A0F2F" w:rsidRPr="00F62747" w:rsidRDefault="009A0F2F" w:rsidP="00242399">
      <w:pPr>
        <w:jc w:val="center"/>
        <w:rPr>
          <w:rFonts w:cs="Arial"/>
          <w:b/>
          <w:color w:val="000000"/>
          <w:sz w:val="20"/>
          <w:szCs w:val="20"/>
        </w:rPr>
      </w:pPr>
    </w:p>
    <w:p w:rsidR="009A0F2F" w:rsidRPr="00B54455" w:rsidRDefault="00BB7BD9" w:rsidP="00B54455">
      <w:pPr>
        <w:jc w:val="center"/>
        <w:rPr>
          <w:rFonts w:cs="Arial"/>
          <w:b/>
          <w:color w:val="000000"/>
        </w:rPr>
      </w:pPr>
      <w:r w:rsidRPr="004F787C">
        <w:rPr>
          <w:rFonts w:cs="Arial"/>
          <w:b/>
          <w:color w:val="000000"/>
        </w:rPr>
        <w:t>(</w:t>
      </w:r>
      <w:r w:rsidR="0005699A">
        <w:rPr>
          <w:rFonts w:cs="Arial"/>
          <w:b/>
          <w:color w:val="000000"/>
        </w:rPr>
        <w:t>1</w:t>
      </w:r>
      <w:r w:rsidR="00441A7E">
        <w:rPr>
          <w:rFonts w:cs="Arial"/>
          <w:b/>
          <w:color w:val="000000"/>
        </w:rPr>
        <w:t>5</w:t>
      </w:r>
      <w:r w:rsidR="0005699A" w:rsidRPr="0005699A">
        <w:rPr>
          <w:rFonts w:cs="Arial"/>
          <w:b/>
          <w:color w:val="000000"/>
          <w:vertAlign w:val="superscript"/>
        </w:rPr>
        <w:t>th</w:t>
      </w:r>
      <w:r w:rsidR="0005699A">
        <w:rPr>
          <w:rFonts w:cs="Arial"/>
          <w:b/>
          <w:color w:val="000000"/>
        </w:rPr>
        <w:t xml:space="preserve"> </w:t>
      </w:r>
      <w:r w:rsidR="004C3AD5">
        <w:rPr>
          <w:rFonts w:cs="Arial"/>
          <w:b/>
          <w:color w:val="000000"/>
        </w:rPr>
        <w:t>March</w:t>
      </w:r>
      <w:r w:rsidR="0005699A">
        <w:rPr>
          <w:rFonts w:cs="Arial"/>
          <w:b/>
          <w:color w:val="000000"/>
        </w:rPr>
        <w:t xml:space="preserve"> 201</w:t>
      </w:r>
      <w:r w:rsidR="00441A7E">
        <w:rPr>
          <w:rFonts w:cs="Arial"/>
          <w:b/>
          <w:color w:val="000000"/>
        </w:rPr>
        <w:t>6</w:t>
      </w:r>
      <w:r w:rsidRPr="004F787C">
        <w:rPr>
          <w:rFonts w:cs="Arial"/>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8"/>
        <w:gridCol w:w="3449"/>
      </w:tblGrid>
      <w:tr w:rsidR="00462371" w:rsidRPr="00553269" w:rsidTr="00553269">
        <w:tc>
          <w:tcPr>
            <w:tcW w:w="9857" w:type="dxa"/>
            <w:gridSpan w:val="2"/>
          </w:tcPr>
          <w:p w:rsidR="00385FC8" w:rsidRPr="00B54455" w:rsidRDefault="00462371" w:rsidP="00385FC8">
            <w:pPr>
              <w:rPr>
                <w:rFonts w:cs="Arial"/>
                <w:color w:val="000000"/>
                <w:sz w:val="28"/>
                <w:szCs w:val="28"/>
              </w:rPr>
            </w:pPr>
            <w:r w:rsidRPr="00DC116F">
              <w:rPr>
                <w:rFonts w:cs="Arial"/>
                <w:b/>
                <w:sz w:val="28"/>
                <w:szCs w:val="28"/>
              </w:rPr>
              <w:t>Title:</w:t>
            </w:r>
            <w:r w:rsidRPr="00DC116F">
              <w:rPr>
                <w:rFonts w:cs="Arial"/>
                <w:sz w:val="28"/>
                <w:szCs w:val="28"/>
              </w:rPr>
              <w:t xml:space="preserve"> </w:t>
            </w:r>
            <w:r w:rsidR="00E45801">
              <w:rPr>
                <w:rFonts w:cs="Arial"/>
                <w:color w:val="000000"/>
                <w:sz w:val="28"/>
                <w:szCs w:val="28"/>
              </w:rPr>
              <w:t>School F</w:t>
            </w:r>
            <w:r w:rsidR="00385FC8">
              <w:rPr>
                <w:rFonts w:cs="Arial"/>
                <w:color w:val="000000"/>
                <w:sz w:val="28"/>
                <w:szCs w:val="28"/>
              </w:rPr>
              <w:t>orum Report</w:t>
            </w:r>
          </w:p>
        </w:tc>
      </w:tr>
      <w:tr w:rsidR="00EC2A42" w:rsidRPr="00553269" w:rsidTr="00553269">
        <w:tc>
          <w:tcPr>
            <w:tcW w:w="9857" w:type="dxa"/>
            <w:gridSpan w:val="2"/>
          </w:tcPr>
          <w:p w:rsidR="00EC2A42" w:rsidRPr="00B54455" w:rsidRDefault="00EC2A42" w:rsidP="00F7272A">
            <w:pPr>
              <w:rPr>
                <w:rFonts w:cs="Arial"/>
                <w:b/>
                <w:color w:val="000000"/>
              </w:rPr>
            </w:pPr>
            <w:r w:rsidRPr="006B0B04">
              <w:rPr>
                <w:rFonts w:cs="Arial"/>
                <w:b/>
              </w:rPr>
              <w:t>R</w:t>
            </w:r>
            <w:r w:rsidR="00DC116F">
              <w:rPr>
                <w:rFonts w:cs="Arial"/>
                <w:b/>
              </w:rPr>
              <w:t>eport of</w:t>
            </w:r>
            <w:r w:rsidR="005F3A5D">
              <w:rPr>
                <w:rFonts w:cs="Arial"/>
                <w:b/>
              </w:rPr>
              <w:t>:</w:t>
            </w:r>
            <w:r w:rsidRPr="006B0B04">
              <w:rPr>
                <w:rFonts w:cs="Arial"/>
                <w:b/>
              </w:rPr>
              <w:t xml:space="preserve"> </w:t>
            </w:r>
            <w:r w:rsidR="00C43EE1" w:rsidRPr="004F787C">
              <w:rPr>
                <w:rFonts w:cs="Arial"/>
                <w:b/>
                <w:color w:val="000000"/>
              </w:rPr>
              <w:t xml:space="preserve">CORPORATE </w:t>
            </w:r>
            <w:r w:rsidR="00485CE3" w:rsidRPr="004F787C">
              <w:rPr>
                <w:rFonts w:cs="Arial"/>
                <w:b/>
                <w:color w:val="000000"/>
              </w:rPr>
              <w:t>DIRECTOR</w:t>
            </w:r>
            <w:r w:rsidR="00DD58EA" w:rsidRPr="004F787C">
              <w:rPr>
                <w:rFonts w:cs="Arial"/>
                <w:b/>
                <w:color w:val="000000"/>
              </w:rPr>
              <w:t xml:space="preserve"> </w:t>
            </w:r>
          </w:p>
        </w:tc>
      </w:tr>
      <w:tr w:rsidR="00461800" w:rsidRPr="00553269" w:rsidTr="00553269">
        <w:tc>
          <w:tcPr>
            <w:tcW w:w="6487" w:type="dxa"/>
          </w:tcPr>
          <w:p w:rsidR="00461800" w:rsidRPr="00553269" w:rsidRDefault="00461800" w:rsidP="00462371">
            <w:pPr>
              <w:rPr>
                <w:rFonts w:cs="Arial"/>
              </w:rPr>
            </w:pPr>
            <w:r w:rsidRPr="00553269">
              <w:rPr>
                <w:rFonts w:cs="Arial"/>
                <w:b/>
              </w:rPr>
              <w:t>O</w:t>
            </w:r>
            <w:r w:rsidR="00DC116F">
              <w:rPr>
                <w:rFonts w:cs="Arial"/>
                <w:b/>
              </w:rPr>
              <w:t>pen</w:t>
            </w:r>
          </w:p>
          <w:p w:rsidR="00461800" w:rsidRPr="00553269" w:rsidRDefault="00461800" w:rsidP="00462371">
            <w:pPr>
              <w:rPr>
                <w:rFonts w:cs="Arial"/>
                <w:b/>
              </w:rPr>
            </w:pPr>
          </w:p>
        </w:tc>
        <w:tc>
          <w:tcPr>
            <w:tcW w:w="3370" w:type="dxa"/>
          </w:tcPr>
          <w:p w:rsidR="00461800" w:rsidRPr="00553269" w:rsidRDefault="00462371" w:rsidP="00F62747">
            <w:pPr>
              <w:rPr>
                <w:rFonts w:cs="Arial"/>
                <w:b/>
              </w:rPr>
            </w:pPr>
            <w:r w:rsidRPr="00553269">
              <w:rPr>
                <w:rFonts w:cs="Arial"/>
                <w:b/>
              </w:rPr>
              <w:t>For Decision / For Information</w:t>
            </w:r>
          </w:p>
        </w:tc>
      </w:tr>
      <w:tr w:rsidR="00462371" w:rsidRPr="00553269" w:rsidTr="00553269">
        <w:tc>
          <w:tcPr>
            <w:tcW w:w="6487" w:type="dxa"/>
          </w:tcPr>
          <w:p w:rsidR="00462371" w:rsidRPr="00553269" w:rsidRDefault="00462371" w:rsidP="00191E9D">
            <w:pPr>
              <w:rPr>
                <w:rFonts w:cs="Arial"/>
                <w:b/>
              </w:rPr>
            </w:pPr>
            <w:r w:rsidRPr="00553269">
              <w:rPr>
                <w:rFonts w:cs="Arial"/>
                <w:b/>
              </w:rPr>
              <w:t xml:space="preserve">Wards Affected: </w:t>
            </w:r>
            <w:r w:rsidR="004F787C">
              <w:rPr>
                <w:rFonts w:cs="Arial"/>
                <w:b/>
              </w:rPr>
              <w:t>All</w:t>
            </w:r>
          </w:p>
        </w:tc>
        <w:tc>
          <w:tcPr>
            <w:tcW w:w="3370" w:type="dxa"/>
          </w:tcPr>
          <w:p w:rsidR="00462371" w:rsidRPr="00553269" w:rsidRDefault="00462371" w:rsidP="004F787C">
            <w:pPr>
              <w:rPr>
                <w:rFonts w:cs="Arial"/>
                <w:b/>
              </w:rPr>
            </w:pPr>
            <w:r w:rsidRPr="00553269">
              <w:rPr>
                <w:rFonts w:cs="Arial"/>
                <w:b/>
              </w:rPr>
              <w:t xml:space="preserve">Key Decision: </w:t>
            </w:r>
            <w:r w:rsidR="004F787C">
              <w:rPr>
                <w:rFonts w:cs="Arial"/>
                <w:b/>
              </w:rPr>
              <w:t>No</w:t>
            </w:r>
          </w:p>
        </w:tc>
      </w:tr>
      <w:tr w:rsidR="00462371" w:rsidRPr="00553269" w:rsidTr="00553269">
        <w:tc>
          <w:tcPr>
            <w:tcW w:w="6487" w:type="dxa"/>
          </w:tcPr>
          <w:p w:rsidR="00462371" w:rsidRDefault="00462371" w:rsidP="00462371">
            <w:pPr>
              <w:rPr>
                <w:rFonts w:cs="Arial"/>
                <w:b/>
              </w:rPr>
            </w:pPr>
            <w:r w:rsidRPr="00553269">
              <w:rPr>
                <w:rFonts w:cs="Arial"/>
                <w:b/>
              </w:rPr>
              <w:t xml:space="preserve">Report </w:t>
            </w:r>
            <w:r w:rsidR="006E145D" w:rsidRPr="00553269">
              <w:rPr>
                <w:rFonts w:cs="Arial"/>
                <w:b/>
              </w:rPr>
              <w:t>Author</w:t>
            </w:r>
            <w:r w:rsidRPr="00553269">
              <w:rPr>
                <w:rFonts w:cs="Arial"/>
                <w:b/>
              </w:rPr>
              <w:t xml:space="preserve">: </w:t>
            </w:r>
          </w:p>
          <w:p w:rsidR="004F787C" w:rsidRDefault="00441A7E" w:rsidP="00462371">
            <w:pPr>
              <w:rPr>
                <w:rFonts w:cs="Arial"/>
              </w:rPr>
            </w:pPr>
            <w:r>
              <w:rPr>
                <w:rFonts w:cs="Arial"/>
              </w:rPr>
              <w:t>Daksha Chauhan</w:t>
            </w:r>
            <w:r w:rsidR="00E90E54">
              <w:rPr>
                <w:rFonts w:cs="Arial"/>
              </w:rPr>
              <w:t>,</w:t>
            </w:r>
            <w:r w:rsidR="004C3AD5">
              <w:rPr>
                <w:rFonts w:cs="Arial"/>
              </w:rPr>
              <w:t xml:space="preserve"> Group </w:t>
            </w:r>
            <w:r>
              <w:rPr>
                <w:rFonts w:cs="Arial"/>
              </w:rPr>
              <w:t>Accountant</w:t>
            </w:r>
            <w:r w:rsidR="00E90E54">
              <w:rPr>
                <w:rFonts w:cs="Arial"/>
              </w:rPr>
              <w:t xml:space="preserve"> </w:t>
            </w:r>
            <w:r>
              <w:rPr>
                <w:rFonts w:cs="Arial"/>
              </w:rPr>
              <w:t>(Finance)</w:t>
            </w:r>
          </w:p>
          <w:p w:rsidR="00A710A1" w:rsidRPr="004F787C" w:rsidRDefault="00A710A1" w:rsidP="00462371">
            <w:pPr>
              <w:rPr>
                <w:rFonts w:cs="Arial"/>
              </w:rPr>
            </w:pPr>
          </w:p>
          <w:p w:rsidR="00462371" w:rsidRPr="00553269" w:rsidRDefault="00462371" w:rsidP="00462371">
            <w:pPr>
              <w:rPr>
                <w:rFonts w:cs="Arial"/>
                <w:b/>
              </w:rPr>
            </w:pPr>
          </w:p>
        </w:tc>
        <w:tc>
          <w:tcPr>
            <w:tcW w:w="3370" w:type="dxa"/>
          </w:tcPr>
          <w:p w:rsidR="00462371" w:rsidRPr="00553269" w:rsidRDefault="00462371" w:rsidP="00553269">
            <w:pPr>
              <w:pStyle w:val="Header"/>
              <w:tabs>
                <w:tab w:val="clear" w:pos="4320"/>
                <w:tab w:val="clear" w:pos="8640"/>
              </w:tabs>
              <w:rPr>
                <w:rFonts w:cs="Arial"/>
                <w:b/>
              </w:rPr>
            </w:pPr>
            <w:r w:rsidRPr="00553269">
              <w:rPr>
                <w:rFonts w:cs="Arial"/>
                <w:b/>
              </w:rPr>
              <w:t>Contact Details:</w:t>
            </w:r>
          </w:p>
          <w:p w:rsidR="00462371" w:rsidRPr="004F787C" w:rsidRDefault="00462371" w:rsidP="00462371">
            <w:pPr>
              <w:rPr>
                <w:rFonts w:cs="Arial"/>
                <w:color w:val="000000"/>
              </w:rPr>
            </w:pPr>
            <w:r w:rsidRPr="00553269">
              <w:rPr>
                <w:rFonts w:cs="Arial"/>
              </w:rPr>
              <w:t xml:space="preserve">Tel: 020 </w:t>
            </w:r>
            <w:r w:rsidR="004C3AD5">
              <w:rPr>
                <w:rFonts w:cs="Arial"/>
                <w:color w:val="000000"/>
              </w:rPr>
              <w:t>8227</w:t>
            </w:r>
            <w:r w:rsidR="004F787C" w:rsidRPr="004F787C">
              <w:rPr>
                <w:rFonts w:cs="Arial"/>
                <w:color w:val="000000"/>
              </w:rPr>
              <w:t xml:space="preserve"> </w:t>
            </w:r>
            <w:r w:rsidR="00441A7E">
              <w:rPr>
                <w:rFonts w:cs="Arial"/>
                <w:color w:val="000000"/>
              </w:rPr>
              <w:t>2250</w:t>
            </w:r>
          </w:p>
          <w:p w:rsidR="00462371" w:rsidRPr="004F787C" w:rsidRDefault="00462371" w:rsidP="00441A7E">
            <w:pPr>
              <w:rPr>
                <w:rFonts w:cs="Arial"/>
                <w:color w:val="000000"/>
              </w:rPr>
            </w:pPr>
            <w:r w:rsidRPr="00553269">
              <w:rPr>
                <w:rFonts w:cs="Arial"/>
              </w:rPr>
              <w:t xml:space="preserve">E-mail: </w:t>
            </w:r>
            <w:r w:rsidR="00441A7E">
              <w:rPr>
                <w:rFonts w:cs="Arial"/>
              </w:rPr>
              <w:t>daksha</w:t>
            </w:r>
            <w:r w:rsidR="004C3AD5">
              <w:rPr>
                <w:rFonts w:cs="Arial"/>
              </w:rPr>
              <w:t>.</w:t>
            </w:r>
            <w:r w:rsidR="00441A7E">
              <w:rPr>
                <w:rFonts w:cs="Arial"/>
              </w:rPr>
              <w:t>chauhan</w:t>
            </w:r>
            <w:r w:rsidR="004F787C">
              <w:rPr>
                <w:rFonts w:cs="Arial"/>
                <w:color w:val="000000"/>
              </w:rPr>
              <w:t>@lbbd.gov.uk</w:t>
            </w:r>
          </w:p>
        </w:tc>
      </w:tr>
      <w:tr w:rsidR="00462371" w:rsidRPr="00553269" w:rsidTr="00553269">
        <w:tc>
          <w:tcPr>
            <w:tcW w:w="9857" w:type="dxa"/>
            <w:gridSpan w:val="2"/>
          </w:tcPr>
          <w:p w:rsidR="00D17978" w:rsidRPr="004F787C" w:rsidRDefault="00D17978" w:rsidP="00D17978">
            <w:pPr>
              <w:rPr>
                <w:rFonts w:cs="Arial"/>
              </w:rPr>
            </w:pPr>
            <w:r w:rsidRPr="00553269">
              <w:rPr>
                <w:rFonts w:cs="Arial"/>
                <w:b/>
              </w:rPr>
              <w:t>Accountable Divisional Director:</w:t>
            </w:r>
            <w:r w:rsidR="004F787C">
              <w:rPr>
                <w:rFonts w:cs="Arial"/>
                <w:b/>
              </w:rPr>
              <w:t xml:space="preserve"> </w:t>
            </w:r>
            <w:r w:rsidR="004F787C">
              <w:rPr>
                <w:rFonts w:cs="Arial"/>
              </w:rPr>
              <w:t>Jane Hargreaves – Divisional Director (Education)</w:t>
            </w:r>
          </w:p>
          <w:p w:rsidR="00462371" w:rsidRPr="00553269" w:rsidRDefault="00462371" w:rsidP="00D17978">
            <w:pPr>
              <w:rPr>
                <w:rFonts w:cs="Arial"/>
                <w:b/>
              </w:rPr>
            </w:pPr>
          </w:p>
        </w:tc>
      </w:tr>
      <w:tr w:rsidR="00462371" w:rsidRPr="00553269" w:rsidTr="00553269">
        <w:tc>
          <w:tcPr>
            <w:tcW w:w="9857" w:type="dxa"/>
            <w:gridSpan w:val="2"/>
          </w:tcPr>
          <w:p w:rsidR="00D17978" w:rsidRPr="004F787C" w:rsidRDefault="00D17978" w:rsidP="00D17978">
            <w:pPr>
              <w:rPr>
                <w:rFonts w:cs="Arial"/>
              </w:rPr>
            </w:pPr>
            <w:r w:rsidRPr="00553269">
              <w:rPr>
                <w:rFonts w:cs="Arial"/>
                <w:b/>
              </w:rPr>
              <w:t>Accountable Director:</w:t>
            </w:r>
            <w:r w:rsidR="004F787C">
              <w:rPr>
                <w:rFonts w:cs="Arial"/>
                <w:b/>
              </w:rPr>
              <w:t xml:space="preserve"> </w:t>
            </w:r>
            <w:r w:rsidR="004F787C">
              <w:rPr>
                <w:rFonts w:cs="Arial"/>
              </w:rPr>
              <w:t>Helen Jenner – Corporate Director (Children’s Services)</w:t>
            </w:r>
          </w:p>
          <w:p w:rsidR="00462371" w:rsidRPr="00553269" w:rsidRDefault="00462371" w:rsidP="00D17978">
            <w:pPr>
              <w:rPr>
                <w:rFonts w:cs="Arial"/>
                <w:b/>
              </w:rPr>
            </w:pPr>
          </w:p>
        </w:tc>
      </w:tr>
      <w:tr w:rsidR="00424A8E" w:rsidRPr="00553269" w:rsidTr="00553269">
        <w:tc>
          <w:tcPr>
            <w:tcW w:w="9857" w:type="dxa"/>
            <w:gridSpan w:val="2"/>
            <w:tcBorders>
              <w:bottom w:val="single" w:sz="4" w:space="0" w:color="auto"/>
            </w:tcBorders>
          </w:tcPr>
          <w:p w:rsidR="009A6F59" w:rsidRPr="0083246D" w:rsidRDefault="00424A8E" w:rsidP="00F7272A">
            <w:pPr>
              <w:rPr>
                <w:rFonts w:cs="Arial"/>
              </w:rPr>
            </w:pPr>
            <w:r w:rsidRPr="0083246D">
              <w:rPr>
                <w:rFonts w:cs="Arial"/>
                <w:b/>
              </w:rPr>
              <w:t xml:space="preserve">Summary: </w:t>
            </w:r>
            <w:r w:rsidR="000E5DAE" w:rsidRPr="0083246D">
              <w:rPr>
                <w:rFonts w:cs="Arial"/>
              </w:rPr>
              <w:t xml:space="preserve">The purpose of this report is to update </w:t>
            </w:r>
            <w:r w:rsidR="008726BA" w:rsidRPr="0083246D">
              <w:rPr>
                <w:rFonts w:cs="Arial"/>
              </w:rPr>
              <w:t xml:space="preserve">the Barking and Dagenham Schools </w:t>
            </w:r>
            <w:r w:rsidR="000E5DAE" w:rsidRPr="0083246D">
              <w:rPr>
                <w:rFonts w:cs="Arial"/>
              </w:rPr>
              <w:t>Forum on:</w:t>
            </w:r>
          </w:p>
          <w:p w:rsidR="0083246D" w:rsidRPr="00385FC8" w:rsidRDefault="0083246D" w:rsidP="00166E5E">
            <w:pPr>
              <w:numPr>
                <w:ilvl w:val="0"/>
                <w:numId w:val="4"/>
              </w:numPr>
              <w:ind w:left="993" w:hanging="567"/>
              <w:rPr>
                <w:rFonts w:cs="Arial"/>
              </w:rPr>
            </w:pPr>
            <w:r w:rsidRPr="00385FC8">
              <w:rPr>
                <w:rFonts w:cs="Arial"/>
              </w:rPr>
              <w:t>(Background)</w:t>
            </w:r>
          </w:p>
          <w:p w:rsidR="00954DF3" w:rsidRDefault="00954DF3" w:rsidP="00166E5E">
            <w:pPr>
              <w:numPr>
                <w:ilvl w:val="0"/>
                <w:numId w:val="4"/>
              </w:numPr>
              <w:ind w:left="993" w:hanging="567"/>
              <w:rPr>
                <w:rFonts w:cs="Arial"/>
              </w:rPr>
            </w:pPr>
            <w:r>
              <w:rPr>
                <w:rFonts w:cs="Arial"/>
              </w:rPr>
              <w:t xml:space="preserve">The Dedicated schools Grant </w:t>
            </w:r>
            <w:r w:rsidR="003821E3">
              <w:rPr>
                <w:rFonts w:cs="Arial"/>
              </w:rPr>
              <w:t xml:space="preserve">(DSG) </w:t>
            </w:r>
            <w:r>
              <w:rPr>
                <w:rFonts w:cs="Arial"/>
              </w:rPr>
              <w:t>201</w:t>
            </w:r>
            <w:r w:rsidR="00441A7E">
              <w:rPr>
                <w:rFonts w:cs="Arial"/>
              </w:rPr>
              <w:t>5-16</w:t>
            </w:r>
            <w:r>
              <w:rPr>
                <w:rFonts w:cs="Arial"/>
              </w:rPr>
              <w:t xml:space="preserve"> </w:t>
            </w:r>
            <w:r w:rsidR="005C3D1C">
              <w:rPr>
                <w:rFonts w:cs="Arial"/>
              </w:rPr>
              <w:t>year end forecast position</w:t>
            </w:r>
            <w:r>
              <w:rPr>
                <w:rFonts w:cs="Arial"/>
              </w:rPr>
              <w:t>.</w:t>
            </w:r>
          </w:p>
          <w:p w:rsidR="00CE731E" w:rsidRDefault="00563671" w:rsidP="00B30B9A">
            <w:pPr>
              <w:numPr>
                <w:ilvl w:val="0"/>
                <w:numId w:val="4"/>
              </w:numPr>
              <w:ind w:left="993" w:hanging="567"/>
              <w:rPr>
                <w:rFonts w:cs="Arial"/>
              </w:rPr>
            </w:pPr>
            <w:r>
              <w:rPr>
                <w:rFonts w:cs="Arial"/>
              </w:rPr>
              <w:t xml:space="preserve">Schools in </w:t>
            </w:r>
            <w:r w:rsidR="008D0925">
              <w:rPr>
                <w:rFonts w:cs="Arial"/>
              </w:rPr>
              <w:t>Financial</w:t>
            </w:r>
            <w:r>
              <w:rPr>
                <w:rFonts w:cs="Arial"/>
              </w:rPr>
              <w:t xml:space="preserve"> Difficulties update</w:t>
            </w:r>
          </w:p>
          <w:p w:rsidR="001B2A73" w:rsidRPr="00B30B9A" w:rsidRDefault="001B2A73" w:rsidP="00B30B9A">
            <w:pPr>
              <w:numPr>
                <w:ilvl w:val="0"/>
                <w:numId w:val="4"/>
              </w:numPr>
              <w:ind w:left="993" w:hanging="567"/>
              <w:rPr>
                <w:rFonts w:cs="Arial"/>
              </w:rPr>
            </w:pPr>
            <w:r>
              <w:rPr>
                <w:rFonts w:cs="Arial"/>
              </w:rPr>
              <w:t>De-delegated Services</w:t>
            </w:r>
          </w:p>
          <w:p w:rsidR="004760F2" w:rsidRDefault="00E90E54" w:rsidP="004760F2">
            <w:pPr>
              <w:numPr>
                <w:ilvl w:val="0"/>
                <w:numId w:val="4"/>
              </w:numPr>
              <w:ind w:left="993" w:hanging="567"/>
              <w:rPr>
                <w:rFonts w:cs="Arial"/>
              </w:rPr>
            </w:pPr>
            <w:r>
              <w:rPr>
                <w:rFonts w:cs="Arial"/>
              </w:rPr>
              <w:t>E</w:t>
            </w:r>
            <w:r w:rsidR="004760F2">
              <w:rPr>
                <w:rFonts w:cs="Arial"/>
              </w:rPr>
              <w:t xml:space="preserve">arly Years </w:t>
            </w:r>
            <w:r w:rsidR="00441A7E">
              <w:rPr>
                <w:rFonts w:cs="Arial"/>
              </w:rPr>
              <w:t>Single Funding Formula (EYSFF)</w:t>
            </w:r>
          </w:p>
          <w:p w:rsidR="00780FB8" w:rsidRDefault="00780FB8" w:rsidP="004760F2">
            <w:pPr>
              <w:numPr>
                <w:ilvl w:val="0"/>
                <w:numId w:val="4"/>
              </w:numPr>
              <w:ind w:left="993" w:hanging="567"/>
              <w:rPr>
                <w:rFonts w:cs="Arial"/>
              </w:rPr>
            </w:pPr>
            <w:r>
              <w:rPr>
                <w:rFonts w:cs="Arial"/>
              </w:rPr>
              <w:t>Growth Fund update</w:t>
            </w:r>
          </w:p>
          <w:p w:rsidR="005858A4" w:rsidRDefault="005858A4" w:rsidP="004760F2">
            <w:pPr>
              <w:numPr>
                <w:ilvl w:val="0"/>
                <w:numId w:val="4"/>
              </w:numPr>
              <w:ind w:left="993" w:hanging="567"/>
              <w:rPr>
                <w:rFonts w:cs="Arial"/>
              </w:rPr>
            </w:pPr>
            <w:r>
              <w:rPr>
                <w:rFonts w:cs="Arial"/>
              </w:rPr>
              <w:t>High Needs Working Group update</w:t>
            </w:r>
          </w:p>
          <w:p w:rsidR="00B54455" w:rsidRPr="00B54455" w:rsidRDefault="00B54455" w:rsidP="004760F2">
            <w:pPr>
              <w:numPr>
                <w:ilvl w:val="0"/>
                <w:numId w:val="4"/>
              </w:numPr>
              <w:ind w:left="993" w:hanging="567"/>
              <w:rPr>
                <w:rFonts w:cs="Arial"/>
              </w:rPr>
            </w:pPr>
            <w:r w:rsidRPr="00B54455">
              <w:t>High Needs Exceptional one year SEND Funding 2016-17</w:t>
            </w:r>
          </w:p>
          <w:p w:rsidR="001B2A73" w:rsidRPr="00191E9D" w:rsidRDefault="001B2A73" w:rsidP="004760F2">
            <w:pPr>
              <w:numPr>
                <w:ilvl w:val="0"/>
                <w:numId w:val="4"/>
              </w:numPr>
              <w:ind w:left="993" w:hanging="567"/>
              <w:rPr>
                <w:rFonts w:cs="Arial"/>
              </w:rPr>
            </w:pPr>
            <w:r>
              <w:rPr>
                <w:rFonts w:cs="Arial"/>
              </w:rPr>
              <w:t>National Funding Formula</w:t>
            </w:r>
          </w:p>
          <w:p w:rsidR="004760F2" w:rsidRDefault="00441A7E" w:rsidP="004760F2">
            <w:pPr>
              <w:numPr>
                <w:ilvl w:val="0"/>
                <w:numId w:val="4"/>
              </w:numPr>
              <w:ind w:left="993" w:hanging="567"/>
              <w:rPr>
                <w:rFonts w:cs="Arial"/>
              </w:rPr>
            </w:pPr>
            <w:r>
              <w:rPr>
                <w:rFonts w:cs="Arial"/>
              </w:rPr>
              <w:t>Closure of Accounts</w:t>
            </w:r>
          </w:p>
          <w:p w:rsidR="00E42523" w:rsidRPr="001B2A73" w:rsidRDefault="00C17CE6" w:rsidP="001B2A73">
            <w:pPr>
              <w:numPr>
                <w:ilvl w:val="0"/>
                <w:numId w:val="4"/>
              </w:numPr>
              <w:ind w:left="993" w:hanging="567"/>
              <w:rPr>
                <w:rFonts w:cs="Arial"/>
              </w:rPr>
            </w:pPr>
            <w:r>
              <w:rPr>
                <w:rFonts w:cs="Arial"/>
              </w:rPr>
              <w:t>Future work plan and d</w:t>
            </w:r>
            <w:r w:rsidR="003821E3">
              <w:rPr>
                <w:rFonts w:cs="Arial"/>
              </w:rPr>
              <w:t>iary dates</w:t>
            </w:r>
          </w:p>
        </w:tc>
      </w:tr>
      <w:tr w:rsidR="009771A2" w:rsidRPr="00E04C5B" w:rsidTr="00553269">
        <w:tc>
          <w:tcPr>
            <w:tcW w:w="9857" w:type="dxa"/>
            <w:gridSpan w:val="2"/>
            <w:tcBorders>
              <w:top w:val="single" w:sz="4" w:space="0" w:color="auto"/>
              <w:bottom w:val="nil"/>
            </w:tcBorders>
          </w:tcPr>
          <w:p w:rsidR="00C96A66" w:rsidRPr="00E04C5B" w:rsidRDefault="009771A2" w:rsidP="00E04C5B">
            <w:pPr>
              <w:autoSpaceDE w:val="0"/>
              <w:autoSpaceDN w:val="0"/>
              <w:adjustRightInd w:val="0"/>
              <w:ind w:left="993"/>
              <w:rPr>
                <w:rFonts w:cs="Arial"/>
              </w:rPr>
            </w:pPr>
            <w:r w:rsidRPr="00E04C5B">
              <w:rPr>
                <w:rFonts w:cs="Arial"/>
              </w:rPr>
              <w:t>Recommendation(s)</w:t>
            </w:r>
          </w:p>
          <w:p w:rsidR="00520A46" w:rsidRPr="0067579A" w:rsidRDefault="00520A46" w:rsidP="00E04C5B">
            <w:pPr>
              <w:autoSpaceDE w:val="0"/>
              <w:autoSpaceDN w:val="0"/>
              <w:adjustRightInd w:val="0"/>
              <w:ind w:left="993"/>
              <w:rPr>
                <w:rFonts w:cs="Arial"/>
              </w:rPr>
            </w:pPr>
            <w:r w:rsidRPr="0067579A">
              <w:rPr>
                <w:rFonts w:cs="Arial"/>
              </w:rPr>
              <w:t>The School</w:t>
            </w:r>
            <w:r w:rsidR="008726BA" w:rsidRPr="0067579A">
              <w:rPr>
                <w:rFonts w:cs="Arial"/>
              </w:rPr>
              <w:t>s</w:t>
            </w:r>
            <w:r w:rsidRPr="0067579A">
              <w:rPr>
                <w:rFonts w:cs="Arial"/>
              </w:rPr>
              <w:t xml:space="preserve"> Forum is asked:</w:t>
            </w:r>
          </w:p>
          <w:p w:rsidR="00CE731E" w:rsidRPr="0067579A" w:rsidRDefault="00CE731E" w:rsidP="00CE731E">
            <w:pPr>
              <w:numPr>
                <w:ilvl w:val="0"/>
                <w:numId w:val="3"/>
              </w:numPr>
              <w:autoSpaceDE w:val="0"/>
              <w:autoSpaceDN w:val="0"/>
              <w:adjustRightInd w:val="0"/>
              <w:ind w:left="993" w:hanging="633"/>
              <w:rPr>
                <w:rFonts w:cs="Arial"/>
              </w:rPr>
            </w:pPr>
            <w:r w:rsidRPr="0067579A">
              <w:rPr>
                <w:rFonts w:cs="Arial"/>
              </w:rPr>
              <w:t xml:space="preserve">To </w:t>
            </w:r>
            <w:r w:rsidR="003821E3" w:rsidRPr="0067579A">
              <w:rPr>
                <w:rFonts w:cs="Arial"/>
              </w:rPr>
              <w:t>note the DSG 201</w:t>
            </w:r>
            <w:r w:rsidR="00441A7E">
              <w:rPr>
                <w:rFonts w:cs="Arial"/>
              </w:rPr>
              <w:t>5</w:t>
            </w:r>
            <w:r w:rsidR="003821E3" w:rsidRPr="0067579A">
              <w:rPr>
                <w:rFonts w:cs="Arial"/>
              </w:rPr>
              <w:t>-1</w:t>
            </w:r>
            <w:r w:rsidR="00441A7E">
              <w:rPr>
                <w:rFonts w:cs="Arial"/>
              </w:rPr>
              <w:t>6</w:t>
            </w:r>
            <w:r w:rsidR="003821E3" w:rsidRPr="0067579A">
              <w:rPr>
                <w:rFonts w:cs="Arial"/>
              </w:rPr>
              <w:t xml:space="preserve"> reported year end forecast</w:t>
            </w:r>
            <w:r w:rsidRPr="0067579A">
              <w:rPr>
                <w:rFonts w:cs="Arial"/>
              </w:rPr>
              <w:t xml:space="preserve"> </w:t>
            </w:r>
          </w:p>
          <w:p w:rsidR="00CE731E" w:rsidRPr="0067579A" w:rsidRDefault="00CE731E" w:rsidP="00CE731E">
            <w:pPr>
              <w:numPr>
                <w:ilvl w:val="0"/>
                <w:numId w:val="3"/>
              </w:numPr>
              <w:autoSpaceDE w:val="0"/>
              <w:autoSpaceDN w:val="0"/>
              <w:adjustRightInd w:val="0"/>
              <w:ind w:left="993" w:hanging="633"/>
              <w:rPr>
                <w:rFonts w:cs="Arial"/>
              </w:rPr>
            </w:pPr>
            <w:r w:rsidRPr="0067579A">
              <w:rPr>
                <w:rFonts w:cs="Arial"/>
              </w:rPr>
              <w:t xml:space="preserve">To </w:t>
            </w:r>
            <w:r w:rsidR="00441A7E">
              <w:rPr>
                <w:rFonts w:cs="Arial"/>
              </w:rPr>
              <w:t>note</w:t>
            </w:r>
            <w:r w:rsidR="003821E3" w:rsidRPr="0067579A">
              <w:rPr>
                <w:rFonts w:cs="Arial"/>
              </w:rPr>
              <w:t xml:space="preserve"> the Schools in Financial Difficulty contingency update</w:t>
            </w:r>
          </w:p>
          <w:p w:rsidR="00CE731E" w:rsidRDefault="00CE731E" w:rsidP="00CE731E">
            <w:pPr>
              <w:numPr>
                <w:ilvl w:val="0"/>
                <w:numId w:val="3"/>
              </w:numPr>
              <w:autoSpaceDE w:val="0"/>
              <w:autoSpaceDN w:val="0"/>
              <w:adjustRightInd w:val="0"/>
              <w:ind w:left="993" w:hanging="633"/>
              <w:rPr>
                <w:rFonts w:cs="Arial"/>
              </w:rPr>
            </w:pPr>
            <w:r w:rsidRPr="0067579A">
              <w:rPr>
                <w:rFonts w:cs="Arial"/>
              </w:rPr>
              <w:t xml:space="preserve">To agree the </w:t>
            </w:r>
            <w:r w:rsidR="003821E3" w:rsidRPr="0067579A">
              <w:rPr>
                <w:rFonts w:cs="Arial"/>
              </w:rPr>
              <w:t>Early Years Single Funding Formula</w:t>
            </w:r>
            <w:r w:rsidR="001B2A73">
              <w:rPr>
                <w:rFonts w:cs="Arial"/>
              </w:rPr>
              <w:t xml:space="preserve"> rates for 2016/17</w:t>
            </w:r>
            <w:r w:rsidR="003821E3" w:rsidRPr="0067579A">
              <w:rPr>
                <w:rFonts w:cs="Arial"/>
              </w:rPr>
              <w:t xml:space="preserve"> (EYSFF)</w:t>
            </w:r>
            <w:r w:rsidRPr="0067579A">
              <w:rPr>
                <w:rFonts w:cs="Arial"/>
              </w:rPr>
              <w:t xml:space="preserve"> </w:t>
            </w:r>
          </w:p>
          <w:p w:rsidR="00780FB8" w:rsidRPr="0067579A" w:rsidRDefault="00780FB8" w:rsidP="00CE731E">
            <w:pPr>
              <w:numPr>
                <w:ilvl w:val="0"/>
                <w:numId w:val="3"/>
              </w:numPr>
              <w:autoSpaceDE w:val="0"/>
              <w:autoSpaceDN w:val="0"/>
              <w:adjustRightInd w:val="0"/>
              <w:ind w:left="993" w:hanging="633"/>
              <w:rPr>
                <w:rFonts w:cs="Arial"/>
              </w:rPr>
            </w:pPr>
            <w:r>
              <w:rPr>
                <w:rFonts w:cs="Arial"/>
              </w:rPr>
              <w:t>To note the growth fund update</w:t>
            </w:r>
          </w:p>
          <w:p w:rsidR="00CE731E" w:rsidRDefault="00D61537" w:rsidP="00CE731E">
            <w:pPr>
              <w:numPr>
                <w:ilvl w:val="0"/>
                <w:numId w:val="3"/>
              </w:numPr>
              <w:autoSpaceDE w:val="0"/>
              <w:autoSpaceDN w:val="0"/>
              <w:adjustRightInd w:val="0"/>
              <w:ind w:left="993" w:hanging="633"/>
              <w:rPr>
                <w:rFonts w:cs="Arial"/>
              </w:rPr>
            </w:pPr>
            <w:r>
              <w:rPr>
                <w:rFonts w:cs="Arial"/>
              </w:rPr>
              <w:t xml:space="preserve">To note the </w:t>
            </w:r>
            <w:r w:rsidR="009C4F3D">
              <w:rPr>
                <w:rFonts w:cs="Arial"/>
              </w:rPr>
              <w:t>High Needs</w:t>
            </w:r>
            <w:r>
              <w:rPr>
                <w:rFonts w:cs="Arial"/>
              </w:rPr>
              <w:t xml:space="preserve"> working group </w:t>
            </w:r>
            <w:r w:rsidRPr="00945072">
              <w:rPr>
                <w:rFonts w:cs="Arial"/>
              </w:rPr>
              <w:t>update</w:t>
            </w:r>
            <w:r w:rsidR="009C4F3D" w:rsidRPr="00945072">
              <w:rPr>
                <w:rFonts w:cs="Arial"/>
              </w:rPr>
              <w:t xml:space="preserve"> </w:t>
            </w:r>
          </w:p>
          <w:p w:rsidR="00E04C5B" w:rsidRDefault="00E04C5B" w:rsidP="00E04C5B">
            <w:pPr>
              <w:numPr>
                <w:ilvl w:val="0"/>
                <w:numId w:val="3"/>
              </w:numPr>
              <w:autoSpaceDE w:val="0"/>
              <w:autoSpaceDN w:val="0"/>
              <w:adjustRightInd w:val="0"/>
              <w:ind w:left="993" w:hanging="633"/>
              <w:rPr>
                <w:rFonts w:cs="Arial"/>
              </w:rPr>
            </w:pPr>
            <w:r>
              <w:rPr>
                <w:rFonts w:cs="Arial"/>
              </w:rPr>
              <w:t>Agree</w:t>
            </w:r>
            <w:r w:rsidRPr="00E04C5B">
              <w:rPr>
                <w:rFonts w:cs="Arial"/>
              </w:rPr>
              <w:t xml:space="preserve"> proposed 9% savings £2.634m within the 2016/17 HNB and realign £1.184m in support of future pressures.</w:t>
            </w:r>
          </w:p>
          <w:p w:rsidR="00FE5D12" w:rsidRDefault="00E04C5B" w:rsidP="00FE5D12">
            <w:pPr>
              <w:numPr>
                <w:ilvl w:val="0"/>
                <w:numId w:val="3"/>
              </w:numPr>
              <w:autoSpaceDE w:val="0"/>
              <w:autoSpaceDN w:val="0"/>
              <w:adjustRightInd w:val="0"/>
              <w:ind w:left="993" w:hanging="633"/>
              <w:rPr>
                <w:rFonts w:cs="Arial"/>
              </w:rPr>
            </w:pPr>
            <w:r>
              <w:rPr>
                <w:rFonts w:cs="Arial"/>
              </w:rPr>
              <w:t>Agree</w:t>
            </w:r>
            <w:r w:rsidRPr="00E04C5B">
              <w:rPr>
                <w:rFonts w:cs="Arial"/>
              </w:rPr>
              <w:t xml:space="preserve"> the increase in place provision at Trinity School to 290 in total (including 12 ARP) and utilise vacant place resources from Riverside Bridge to Trinity School.</w:t>
            </w:r>
          </w:p>
          <w:p w:rsidR="00E04C5B" w:rsidRDefault="00FE5D12" w:rsidP="00FE5D12">
            <w:pPr>
              <w:numPr>
                <w:ilvl w:val="0"/>
                <w:numId w:val="3"/>
              </w:numPr>
              <w:autoSpaceDE w:val="0"/>
              <w:autoSpaceDN w:val="0"/>
              <w:adjustRightInd w:val="0"/>
              <w:ind w:left="993" w:hanging="633"/>
              <w:rPr>
                <w:rFonts w:cs="Arial"/>
              </w:rPr>
            </w:pPr>
            <w:r>
              <w:rPr>
                <w:rFonts w:cs="Arial"/>
              </w:rPr>
              <w:t xml:space="preserve"> Agree to the retention of the High Needs consultant for a further academic year.</w:t>
            </w:r>
          </w:p>
          <w:p w:rsidR="00B54455" w:rsidRPr="00B54455" w:rsidRDefault="00B54455" w:rsidP="00B54455">
            <w:pPr>
              <w:numPr>
                <w:ilvl w:val="0"/>
                <w:numId w:val="3"/>
              </w:numPr>
              <w:autoSpaceDE w:val="0"/>
              <w:autoSpaceDN w:val="0"/>
              <w:adjustRightInd w:val="0"/>
              <w:ind w:left="993" w:hanging="633"/>
              <w:rPr>
                <w:rFonts w:cs="Arial"/>
              </w:rPr>
            </w:pPr>
            <w:r>
              <w:rPr>
                <w:rFonts w:cs="Arial"/>
              </w:rPr>
              <w:t>A</w:t>
            </w:r>
            <w:r w:rsidRPr="00B54455">
              <w:rPr>
                <w:rFonts w:cs="Arial"/>
              </w:rPr>
              <w:t>pprove one year funding for 2016-17 of £40 per child in support of the SEND Strategy</w:t>
            </w:r>
          </w:p>
          <w:p w:rsidR="00B54455" w:rsidRPr="00FE5D12" w:rsidRDefault="00B54455" w:rsidP="00FE5D12">
            <w:pPr>
              <w:numPr>
                <w:ilvl w:val="0"/>
                <w:numId w:val="3"/>
              </w:numPr>
              <w:autoSpaceDE w:val="0"/>
              <w:autoSpaceDN w:val="0"/>
              <w:adjustRightInd w:val="0"/>
              <w:ind w:left="993" w:hanging="633"/>
              <w:rPr>
                <w:rFonts w:cs="Arial"/>
              </w:rPr>
            </w:pPr>
            <w:r>
              <w:t>A</w:t>
            </w:r>
            <w:r w:rsidRPr="00FF7794">
              <w:t>pprove one off exceptional funding to Elutec due to late deadline date submission</w:t>
            </w:r>
          </w:p>
          <w:p w:rsidR="001B2A73" w:rsidRPr="00E04C5B" w:rsidRDefault="001B2A73" w:rsidP="00E04C5B">
            <w:pPr>
              <w:numPr>
                <w:ilvl w:val="0"/>
                <w:numId w:val="3"/>
              </w:numPr>
              <w:autoSpaceDE w:val="0"/>
              <w:autoSpaceDN w:val="0"/>
              <w:adjustRightInd w:val="0"/>
              <w:ind w:left="993" w:hanging="633"/>
              <w:rPr>
                <w:rFonts w:cs="Arial"/>
              </w:rPr>
            </w:pPr>
            <w:r>
              <w:rPr>
                <w:rFonts w:cs="Arial"/>
              </w:rPr>
              <w:t xml:space="preserve">Agree the establishment of National Funding Formula Working Group </w:t>
            </w:r>
          </w:p>
          <w:p w:rsidR="00191E9D" w:rsidRPr="00981154" w:rsidRDefault="009C4F3D" w:rsidP="00AC2D7F">
            <w:pPr>
              <w:numPr>
                <w:ilvl w:val="0"/>
                <w:numId w:val="3"/>
              </w:numPr>
              <w:autoSpaceDE w:val="0"/>
              <w:autoSpaceDN w:val="0"/>
              <w:adjustRightInd w:val="0"/>
              <w:ind w:left="993" w:hanging="633"/>
              <w:rPr>
                <w:rFonts w:cs="Arial"/>
              </w:rPr>
            </w:pPr>
            <w:r>
              <w:rPr>
                <w:rFonts w:cs="Arial"/>
              </w:rPr>
              <w:t>To note f</w:t>
            </w:r>
            <w:r w:rsidR="00780FB8">
              <w:rPr>
                <w:rFonts w:cs="Arial"/>
              </w:rPr>
              <w:t>uture diary dates and work plan</w:t>
            </w:r>
          </w:p>
        </w:tc>
      </w:tr>
      <w:tr w:rsidR="009771A2" w:rsidRPr="00553269" w:rsidTr="00B54455">
        <w:trPr>
          <w:trHeight w:val="127"/>
        </w:trPr>
        <w:tc>
          <w:tcPr>
            <w:tcW w:w="9857" w:type="dxa"/>
            <w:gridSpan w:val="2"/>
            <w:tcBorders>
              <w:top w:val="nil"/>
              <w:bottom w:val="single" w:sz="4" w:space="0" w:color="auto"/>
            </w:tcBorders>
          </w:tcPr>
          <w:p w:rsidR="00765B07" w:rsidRPr="00E7688F" w:rsidRDefault="00765B07" w:rsidP="00B54455">
            <w:pPr>
              <w:rPr>
                <w:rFonts w:cs="Arial"/>
              </w:rPr>
            </w:pPr>
          </w:p>
        </w:tc>
      </w:tr>
      <w:tr w:rsidR="009771A2" w:rsidRPr="00553269" w:rsidTr="00553269">
        <w:tc>
          <w:tcPr>
            <w:tcW w:w="9857" w:type="dxa"/>
            <w:gridSpan w:val="2"/>
            <w:tcBorders>
              <w:bottom w:val="nil"/>
            </w:tcBorders>
          </w:tcPr>
          <w:p w:rsidR="009771A2" w:rsidRPr="00553269" w:rsidRDefault="009771A2" w:rsidP="00F62747">
            <w:pPr>
              <w:rPr>
                <w:rFonts w:cs="Arial"/>
                <w:b/>
              </w:rPr>
            </w:pPr>
            <w:r w:rsidRPr="00553269">
              <w:rPr>
                <w:rFonts w:cs="Arial"/>
                <w:b/>
              </w:rPr>
              <w:t>Reason(s)</w:t>
            </w:r>
          </w:p>
        </w:tc>
      </w:tr>
      <w:tr w:rsidR="009771A2" w:rsidRPr="00553269" w:rsidTr="00553269">
        <w:tc>
          <w:tcPr>
            <w:tcW w:w="9857" w:type="dxa"/>
            <w:gridSpan w:val="2"/>
            <w:tcBorders>
              <w:top w:val="nil"/>
            </w:tcBorders>
          </w:tcPr>
          <w:p w:rsidR="009771A2" w:rsidRPr="006262A7" w:rsidRDefault="006262A7" w:rsidP="006262A7">
            <w:pPr>
              <w:rPr>
                <w:rFonts w:cs="Arial"/>
              </w:rPr>
            </w:pPr>
            <w:r>
              <w:rPr>
                <w:rFonts w:cs="Arial"/>
              </w:rPr>
              <w:t>None</w:t>
            </w:r>
          </w:p>
        </w:tc>
      </w:tr>
    </w:tbl>
    <w:p w:rsidR="00424A8E" w:rsidRDefault="00424A8E" w:rsidP="00F7272A">
      <w:pPr>
        <w:rPr>
          <w:rFonts w:cs="Arial"/>
        </w:rPr>
      </w:pPr>
    </w:p>
    <w:p w:rsidR="009A0F2F" w:rsidRPr="00242399" w:rsidRDefault="00C43EE1" w:rsidP="00166E5E">
      <w:pPr>
        <w:numPr>
          <w:ilvl w:val="0"/>
          <w:numId w:val="2"/>
        </w:numPr>
        <w:tabs>
          <w:tab w:val="left" w:pos="0"/>
        </w:tabs>
        <w:rPr>
          <w:rFonts w:cs="Arial"/>
          <w:b/>
        </w:rPr>
      </w:pPr>
      <w:r>
        <w:rPr>
          <w:rFonts w:cs="Arial"/>
        </w:rPr>
        <w:br w:type="page"/>
      </w:r>
      <w:r w:rsidR="00E7688F">
        <w:rPr>
          <w:rFonts w:cs="Arial"/>
          <w:b/>
        </w:rPr>
        <w:lastRenderedPageBreak/>
        <w:t>Introduction and Background</w:t>
      </w:r>
    </w:p>
    <w:p w:rsidR="009A0F2F" w:rsidRPr="00242399" w:rsidRDefault="009A0F2F" w:rsidP="00F7272A">
      <w:pPr>
        <w:rPr>
          <w:rFonts w:cs="Arial"/>
        </w:rPr>
      </w:pPr>
    </w:p>
    <w:p w:rsidR="00CA5E3F" w:rsidRPr="00D90D2E" w:rsidRDefault="00CA5E3F" w:rsidP="00166E5E">
      <w:pPr>
        <w:numPr>
          <w:ilvl w:val="1"/>
          <w:numId w:val="2"/>
        </w:numPr>
        <w:tabs>
          <w:tab w:val="clear" w:pos="360"/>
          <w:tab w:val="num" w:pos="-567"/>
        </w:tabs>
        <w:ind w:left="709" w:hanging="709"/>
        <w:jc w:val="both"/>
        <w:rPr>
          <w:rFonts w:cs="Arial"/>
          <w:color w:val="000000"/>
        </w:rPr>
      </w:pPr>
      <w:r>
        <w:rPr>
          <w:rFonts w:cs="Arial"/>
        </w:rPr>
        <w:t xml:space="preserve">The School Forum is a </w:t>
      </w:r>
      <w:r w:rsidRPr="00D90D2E">
        <w:rPr>
          <w:rFonts w:cs="Arial"/>
        </w:rPr>
        <w:t>decision making and consultative body in relation to matters concerning schools’ budgets as defined in the School Finance (England) Regulations 2012</w:t>
      </w:r>
      <w:r>
        <w:rPr>
          <w:rFonts w:cs="Arial"/>
        </w:rPr>
        <w:t xml:space="preserve"> and the </w:t>
      </w:r>
      <w:r w:rsidRPr="00D90D2E">
        <w:rPr>
          <w:rFonts w:cs="Arial"/>
        </w:rPr>
        <w:t>Schools Forums (England) Regulations 2012</w:t>
      </w:r>
      <w:r w:rsidRPr="00D90D2E">
        <w:rPr>
          <w:rFonts w:cs="Arial"/>
          <w:color w:val="000000"/>
        </w:rPr>
        <w:t>.</w:t>
      </w:r>
      <w:r>
        <w:rPr>
          <w:rFonts w:cs="Arial"/>
          <w:color w:val="000000"/>
        </w:rPr>
        <w:t xml:space="preserve">  T</w:t>
      </w:r>
      <w:r w:rsidR="00383EA6">
        <w:rPr>
          <w:rFonts w:cs="Arial"/>
          <w:color w:val="000000"/>
        </w:rPr>
        <w:t>he</w:t>
      </w:r>
      <w:r>
        <w:rPr>
          <w:rFonts w:cs="Arial"/>
          <w:color w:val="000000"/>
        </w:rPr>
        <w:t xml:space="preserve"> Forum is required to meet at least four times a year.    </w:t>
      </w:r>
    </w:p>
    <w:p w:rsidR="00B52BD3" w:rsidRPr="00BB58E6" w:rsidRDefault="00CA5E3F" w:rsidP="00B54455">
      <w:pPr>
        <w:ind w:left="720" w:hanging="720"/>
        <w:rPr>
          <w:rFonts w:cs="Arial"/>
        </w:rPr>
      </w:pPr>
      <w:r>
        <w:rPr>
          <w:rFonts w:cs="Arial"/>
        </w:rPr>
        <w:t xml:space="preserve"> </w:t>
      </w:r>
      <w:r w:rsidR="006B0B04">
        <w:rPr>
          <w:rFonts w:cs="Arial"/>
        </w:rPr>
        <w:tab/>
      </w:r>
      <w:r w:rsidR="00237113">
        <w:rPr>
          <w:rFonts w:cs="Arial"/>
        </w:rPr>
        <w:tab/>
      </w:r>
      <w:r w:rsidR="00657B37">
        <w:rPr>
          <w:rFonts w:cs="Arial"/>
          <w:b/>
        </w:rPr>
        <w:tab/>
      </w:r>
    </w:p>
    <w:p w:rsidR="00204510" w:rsidRPr="005118CD" w:rsidRDefault="00D8677A" w:rsidP="00166E5E">
      <w:pPr>
        <w:numPr>
          <w:ilvl w:val="0"/>
          <w:numId w:val="2"/>
        </w:numPr>
        <w:rPr>
          <w:rFonts w:cs="Arial"/>
          <w:b/>
          <w:u w:val="single"/>
        </w:rPr>
      </w:pPr>
      <w:r w:rsidRPr="005118CD">
        <w:rPr>
          <w:rFonts w:cs="Arial"/>
          <w:b/>
          <w:u w:val="single"/>
        </w:rPr>
        <w:t>Dedicated Schools Grant 201</w:t>
      </w:r>
      <w:r w:rsidR="00441A7E">
        <w:rPr>
          <w:rFonts w:cs="Arial"/>
          <w:b/>
          <w:u w:val="single"/>
        </w:rPr>
        <w:t>5</w:t>
      </w:r>
      <w:r w:rsidRPr="005118CD">
        <w:rPr>
          <w:rFonts w:cs="Arial"/>
          <w:b/>
          <w:u w:val="single"/>
        </w:rPr>
        <w:t>-1</w:t>
      </w:r>
      <w:r w:rsidR="00441A7E">
        <w:rPr>
          <w:rFonts w:cs="Arial"/>
          <w:b/>
          <w:u w:val="single"/>
        </w:rPr>
        <w:t>6</w:t>
      </w:r>
      <w:r w:rsidRPr="005118CD">
        <w:rPr>
          <w:rFonts w:cs="Arial"/>
          <w:b/>
          <w:u w:val="single"/>
        </w:rPr>
        <w:t xml:space="preserve"> </w:t>
      </w:r>
      <w:r w:rsidR="005118CD" w:rsidRPr="005118CD">
        <w:rPr>
          <w:rFonts w:cs="Arial"/>
          <w:b/>
          <w:u w:val="single"/>
        </w:rPr>
        <w:t>Budget allocation update</w:t>
      </w:r>
    </w:p>
    <w:p w:rsidR="00EB357B" w:rsidRDefault="00EB357B" w:rsidP="00EB357B">
      <w:pPr>
        <w:rPr>
          <w:rFonts w:cs="Arial"/>
          <w:b/>
        </w:rPr>
      </w:pPr>
    </w:p>
    <w:p w:rsidR="000848A2" w:rsidRDefault="0083339D" w:rsidP="00CE138C">
      <w:pPr>
        <w:ind w:left="709" w:hanging="709"/>
        <w:rPr>
          <w:rFonts w:cs="Arial"/>
          <w:b/>
        </w:rPr>
      </w:pPr>
      <w:r>
        <w:rPr>
          <w:rFonts w:cs="Arial"/>
          <w:b/>
        </w:rPr>
        <w:t>2</w:t>
      </w:r>
      <w:r w:rsidR="00CE138C" w:rsidRPr="00CE138C">
        <w:rPr>
          <w:rFonts w:cs="Arial"/>
          <w:b/>
        </w:rPr>
        <w:t xml:space="preserve">.1     </w:t>
      </w:r>
      <w:r w:rsidR="009231A0">
        <w:rPr>
          <w:rFonts w:cs="Arial"/>
          <w:b/>
        </w:rPr>
        <w:t>Dedicated Schools Gr</w:t>
      </w:r>
      <w:r w:rsidR="00441A7E">
        <w:rPr>
          <w:rFonts w:cs="Arial"/>
          <w:b/>
        </w:rPr>
        <w:t>ant Forecast as at February 2016</w:t>
      </w:r>
    </w:p>
    <w:p w:rsidR="00FE1B33" w:rsidRDefault="009231A0" w:rsidP="00CE138C">
      <w:pPr>
        <w:ind w:left="709" w:hanging="709"/>
        <w:rPr>
          <w:rFonts w:cs="Arial"/>
          <w:b/>
        </w:rPr>
      </w:pPr>
      <w:r>
        <w:rPr>
          <w:rFonts w:cs="Arial"/>
          <w:b/>
        </w:rPr>
        <w:tab/>
      </w:r>
    </w:p>
    <w:tbl>
      <w:tblPr>
        <w:tblStyle w:val="TableGrid"/>
        <w:tblW w:w="9038" w:type="dxa"/>
        <w:tblInd w:w="709" w:type="dxa"/>
        <w:tblLayout w:type="fixed"/>
        <w:tblLook w:val="04A0"/>
      </w:tblPr>
      <w:tblGrid>
        <w:gridCol w:w="675"/>
        <w:gridCol w:w="2693"/>
        <w:gridCol w:w="1560"/>
        <w:gridCol w:w="1417"/>
        <w:gridCol w:w="1418"/>
        <w:gridCol w:w="1275"/>
      </w:tblGrid>
      <w:tr w:rsidR="00AC31E2" w:rsidTr="001B3730">
        <w:tc>
          <w:tcPr>
            <w:tcW w:w="9038" w:type="dxa"/>
            <w:gridSpan w:val="6"/>
          </w:tcPr>
          <w:p w:rsidR="00AC31E2" w:rsidRDefault="00AC31E2" w:rsidP="00AC31E2">
            <w:pPr>
              <w:rPr>
                <w:rFonts w:cs="Arial"/>
                <w:b/>
              </w:rPr>
            </w:pPr>
            <w:bookmarkStart w:id="0" w:name="OLE_LINK1"/>
            <w:r>
              <w:rPr>
                <w:rFonts w:cs="Arial"/>
                <w:b/>
              </w:rPr>
              <w:t>Table 1 - Dedicated Schools Grant Forecast as at February 201</w:t>
            </w:r>
            <w:r w:rsidR="00441A7E">
              <w:rPr>
                <w:rFonts w:cs="Arial"/>
                <w:b/>
              </w:rPr>
              <w:t>6</w:t>
            </w:r>
          </w:p>
        </w:tc>
      </w:tr>
      <w:tr w:rsidR="00AC31E2" w:rsidTr="001B3730">
        <w:trPr>
          <w:cantSplit/>
          <w:trHeight w:val="1134"/>
        </w:trPr>
        <w:tc>
          <w:tcPr>
            <w:tcW w:w="675" w:type="dxa"/>
            <w:textDirection w:val="btLr"/>
            <w:vAlign w:val="center"/>
          </w:tcPr>
          <w:p w:rsidR="00AC31E2" w:rsidRDefault="00AC31E2" w:rsidP="00AC31E2">
            <w:pPr>
              <w:ind w:left="113" w:right="113"/>
              <w:jc w:val="center"/>
              <w:rPr>
                <w:rFonts w:cs="Arial"/>
                <w:b/>
              </w:rPr>
            </w:pPr>
            <w:r>
              <w:rPr>
                <w:rFonts w:cs="Arial"/>
                <w:b/>
              </w:rPr>
              <w:t>Notes</w:t>
            </w:r>
          </w:p>
        </w:tc>
        <w:tc>
          <w:tcPr>
            <w:tcW w:w="2693" w:type="dxa"/>
          </w:tcPr>
          <w:p w:rsidR="00AC31E2" w:rsidRDefault="00AC31E2" w:rsidP="00FE1B33">
            <w:pPr>
              <w:jc w:val="center"/>
              <w:rPr>
                <w:rFonts w:cs="Arial"/>
                <w:b/>
              </w:rPr>
            </w:pPr>
          </w:p>
        </w:tc>
        <w:tc>
          <w:tcPr>
            <w:tcW w:w="1560" w:type="dxa"/>
            <w:vAlign w:val="center"/>
          </w:tcPr>
          <w:p w:rsidR="00AC31E2" w:rsidRDefault="00077CA6" w:rsidP="00626671">
            <w:pPr>
              <w:jc w:val="center"/>
              <w:rPr>
                <w:rFonts w:cs="Arial"/>
                <w:b/>
              </w:rPr>
            </w:pPr>
            <w:r>
              <w:rPr>
                <w:rFonts w:cs="Arial"/>
                <w:b/>
              </w:rPr>
              <w:t>2015-16 Budget</w:t>
            </w:r>
          </w:p>
          <w:p w:rsidR="00AC31E2" w:rsidRDefault="00AC31E2" w:rsidP="00626671">
            <w:pPr>
              <w:jc w:val="center"/>
              <w:rPr>
                <w:rFonts w:cs="Arial"/>
                <w:b/>
              </w:rPr>
            </w:pPr>
            <w:r>
              <w:rPr>
                <w:rFonts w:cs="Arial"/>
                <w:b/>
              </w:rPr>
              <w:t>£’000</w:t>
            </w:r>
          </w:p>
        </w:tc>
        <w:tc>
          <w:tcPr>
            <w:tcW w:w="1417" w:type="dxa"/>
            <w:vAlign w:val="center"/>
          </w:tcPr>
          <w:p w:rsidR="00AC31E2" w:rsidRPr="00AB76A8" w:rsidRDefault="00AC31E2" w:rsidP="00626671">
            <w:pPr>
              <w:jc w:val="center"/>
              <w:rPr>
                <w:rFonts w:cs="Arial"/>
                <w:b/>
              </w:rPr>
            </w:pPr>
            <w:r w:rsidRPr="00AB76A8">
              <w:rPr>
                <w:rFonts w:cs="Arial"/>
                <w:b/>
              </w:rPr>
              <w:t>201</w:t>
            </w:r>
            <w:r w:rsidR="00646317" w:rsidRPr="00AB76A8">
              <w:rPr>
                <w:rFonts w:cs="Arial"/>
                <w:b/>
              </w:rPr>
              <w:t>5</w:t>
            </w:r>
            <w:r w:rsidRPr="00AB76A8">
              <w:rPr>
                <w:rFonts w:cs="Arial"/>
                <w:b/>
              </w:rPr>
              <w:t>-1</w:t>
            </w:r>
            <w:r w:rsidR="00646317" w:rsidRPr="00AB76A8">
              <w:rPr>
                <w:rFonts w:cs="Arial"/>
                <w:b/>
              </w:rPr>
              <w:t>6</w:t>
            </w:r>
          </w:p>
          <w:p w:rsidR="00AC31E2" w:rsidRPr="00AB76A8" w:rsidRDefault="00AC31E2" w:rsidP="00626671">
            <w:pPr>
              <w:jc w:val="center"/>
              <w:rPr>
                <w:rFonts w:cs="Arial"/>
                <w:b/>
              </w:rPr>
            </w:pPr>
            <w:r w:rsidRPr="00AB76A8">
              <w:rPr>
                <w:rFonts w:cs="Arial"/>
                <w:b/>
              </w:rPr>
              <w:t>Forecast</w:t>
            </w:r>
          </w:p>
          <w:p w:rsidR="00AC31E2" w:rsidRPr="00AB76A8" w:rsidRDefault="00AC31E2" w:rsidP="00626671">
            <w:pPr>
              <w:jc w:val="center"/>
              <w:rPr>
                <w:rFonts w:cs="Arial"/>
                <w:b/>
              </w:rPr>
            </w:pPr>
            <w:r w:rsidRPr="00AB76A8">
              <w:rPr>
                <w:rFonts w:cs="Arial"/>
                <w:b/>
              </w:rPr>
              <w:t>£’000</w:t>
            </w:r>
          </w:p>
        </w:tc>
        <w:tc>
          <w:tcPr>
            <w:tcW w:w="1418" w:type="dxa"/>
            <w:vAlign w:val="center"/>
          </w:tcPr>
          <w:p w:rsidR="00AC31E2" w:rsidRPr="00AB76A8" w:rsidRDefault="00AC31E2" w:rsidP="00FE1B33">
            <w:pPr>
              <w:jc w:val="center"/>
              <w:rPr>
                <w:rFonts w:cs="Arial"/>
                <w:b/>
              </w:rPr>
            </w:pPr>
            <w:r w:rsidRPr="00AB76A8">
              <w:rPr>
                <w:rFonts w:cs="Arial"/>
                <w:b/>
              </w:rPr>
              <w:t>Year End Variance</w:t>
            </w:r>
          </w:p>
          <w:p w:rsidR="00AC31E2" w:rsidRPr="00AB76A8" w:rsidRDefault="00AC31E2" w:rsidP="00FE1B33">
            <w:pPr>
              <w:jc w:val="center"/>
              <w:rPr>
                <w:rFonts w:cs="Arial"/>
                <w:b/>
              </w:rPr>
            </w:pPr>
            <w:r w:rsidRPr="00AB76A8">
              <w:rPr>
                <w:rFonts w:cs="Arial"/>
                <w:b/>
              </w:rPr>
              <w:t>£’000</w:t>
            </w:r>
          </w:p>
          <w:p w:rsidR="00AC31E2" w:rsidRPr="00AB76A8" w:rsidRDefault="00AC31E2" w:rsidP="00FE1B33">
            <w:pPr>
              <w:jc w:val="center"/>
              <w:rPr>
                <w:rFonts w:cs="Arial"/>
                <w:b/>
                <w:sz w:val="16"/>
                <w:szCs w:val="16"/>
              </w:rPr>
            </w:pPr>
            <w:r w:rsidRPr="00AB76A8">
              <w:rPr>
                <w:rFonts w:cs="Arial"/>
                <w:b/>
                <w:sz w:val="16"/>
                <w:szCs w:val="16"/>
              </w:rPr>
              <w:t>(underspend) / overspend</w:t>
            </w:r>
          </w:p>
        </w:tc>
        <w:tc>
          <w:tcPr>
            <w:tcW w:w="1275" w:type="dxa"/>
            <w:vAlign w:val="center"/>
          </w:tcPr>
          <w:p w:rsidR="00AC31E2" w:rsidRPr="00AB76A8" w:rsidRDefault="00AC31E2" w:rsidP="00FE1B33">
            <w:pPr>
              <w:jc w:val="center"/>
              <w:rPr>
                <w:rFonts w:cs="Arial"/>
                <w:b/>
                <w:sz w:val="16"/>
                <w:szCs w:val="16"/>
              </w:rPr>
            </w:pPr>
            <w:r w:rsidRPr="00AB76A8">
              <w:rPr>
                <w:rFonts w:cs="Arial"/>
                <w:b/>
                <w:sz w:val="16"/>
                <w:szCs w:val="16"/>
              </w:rPr>
              <w:t>% over/ (underspend)</w:t>
            </w:r>
          </w:p>
        </w:tc>
      </w:tr>
      <w:tr w:rsidR="00AB76A8" w:rsidTr="00AB76A8">
        <w:tc>
          <w:tcPr>
            <w:tcW w:w="675" w:type="dxa"/>
            <w:vAlign w:val="center"/>
          </w:tcPr>
          <w:p w:rsidR="00AB76A8" w:rsidRPr="00626671" w:rsidRDefault="00AB76A8" w:rsidP="00626671">
            <w:pPr>
              <w:jc w:val="center"/>
              <w:rPr>
                <w:rFonts w:cs="Arial"/>
              </w:rPr>
            </w:pPr>
            <w:r w:rsidRPr="00626671">
              <w:rPr>
                <w:rFonts w:cs="Arial"/>
              </w:rPr>
              <w:t>2.2</w:t>
            </w:r>
          </w:p>
        </w:tc>
        <w:tc>
          <w:tcPr>
            <w:tcW w:w="2693" w:type="dxa"/>
          </w:tcPr>
          <w:p w:rsidR="00AB76A8" w:rsidRPr="00FE1B33" w:rsidRDefault="00AB76A8" w:rsidP="00626671">
            <w:pPr>
              <w:rPr>
                <w:rFonts w:cs="Arial"/>
              </w:rPr>
            </w:pPr>
            <w:r w:rsidRPr="009231A0">
              <w:rPr>
                <w:rFonts w:cs="Arial"/>
              </w:rPr>
              <w:t>2 Year Old Funding</w:t>
            </w:r>
          </w:p>
        </w:tc>
        <w:tc>
          <w:tcPr>
            <w:tcW w:w="1560" w:type="dxa"/>
            <w:vAlign w:val="center"/>
          </w:tcPr>
          <w:p w:rsidR="00AB76A8" w:rsidRPr="00FE1B33" w:rsidRDefault="00AB76A8" w:rsidP="00646317">
            <w:pPr>
              <w:jc w:val="center"/>
              <w:rPr>
                <w:rFonts w:cs="Arial"/>
              </w:rPr>
            </w:pPr>
            <w:r>
              <w:rPr>
                <w:rFonts w:cs="Arial"/>
              </w:rPr>
              <w:t>4</w:t>
            </w:r>
            <w:r w:rsidRPr="00FE1B33">
              <w:rPr>
                <w:rFonts w:cs="Arial"/>
              </w:rPr>
              <w:t>,</w:t>
            </w:r>
            <w:r>
              <w:rPr>
                <w:rFonts w:cs="Arial"/>
              </w:rPr>
              <w:t>367</w:t>
            </w:r>
          </w:p>
        </w:tc>
        <w:tc>
          <w:tcPr>
            <w:tcW w:w="1417" w:type="dxa"/>
            <w:vAlign w:val="bottom"/>
          </w:tcPr>
          <w:p w:rsidR="00AB76A8" w:rsidRPr="00AB76A8" w:rsidRDefault="00AB76A8">
            <w:pPr>
              <w:jc w:val="center"/>
              <w:rPr>
                <w:rFonts w:cs="Arial"/>
                <w:color w:val="000000"/>
              </w:rPr>
            </w:pPr>
            <w:r w:rsidRPr="00AB76A8">
              <w:rPr>
                <w:rFonts w:cs="Arial"/>
                <w:color w:val="000000"/>
              </w:rPr>
              <w:t>3,766</w:t>
            </w:r>
          </w:p>
        </w:tc>
        <w:tc>
          <w:tcPr>
            <w:tcW w:w="1418" w:type="dxa"/>
            <w:vAlign w:val="bottom"/>
          </w:tcPr>
          <w:p w:rsidR="00AB76A8" w:rsidRPr="00AB76A8" w:rsidRDefault="00AB76A8">
            <w:pPr>
              <w:jc w:val="center"/>
              <w:rPr>
                <w:rFonts w:cs="Arial"/>
                <w:color w:val="000000"/>
              </w:rPr>
            </w:pPr>
            <w:r>
              <w:rPr>
                <w:rFonts w:cs="Arial"/>
                <w:color w:val="000000"/>
              </w:rPr>
              <w:t>(</w:t>
            </w:r>
            <w:r w:rsidRPr="00AB76A8">
              <w:rPr>
                <w:rFonts w:cs="Arial"/>
                <w:color w:val="000000"/>
              </w:rPr>
              <w:t>601</w:t>
            </w:r>
            <w:r>
              <w:rPr>
                <w:rFonts w:cs="Arial"/>
                <w:color w:val="000000"/>
              </w:rPr>
              <w:t>)</w:t>
            </w:r>
          </w:p>
        </w:tc>
        <w:tc>
          <w:tcPr>
            <w:tcW w:w="1275" w:type="dxa"/>
            <w:vAlign w:val="bottom"/>
          </w:tcPr>
          <w:p w:rsidR="00AB76A8" w:rsidRPr="00AB76A8" w:rsidRDefault="00AB76A8">
            <w:pPr>
              <w:jc w:val="center"/>
              <w:rPr>
                <w:rFonts w:cs="Arial"/>
                <w:color w:val="000000"/>
              </w:rPr>
            </w:pPr>
            <w:r>
              <w:rPr>
                <w:rFonts w:cs="Arial"/>
                <w:color w:val="000000"/>
              </w:rPr>
              <w:t>(</w:t>
            </w:r>
            <w:r w:rsidRPr="00AB76A8">
              <w:rPr>
                <w:rFonts w:cs="Arial"/>
                <w:color w:val="000000"/>
              </w:rPr>
              <w:t>13.76%</w:t>
            </w:r>
            <w:r>
              <w:rPr>
                <w:rFonts w:cs="Arial"/>
                <w:color w:val="000000"/>
              </w:rPr>
              <w:t>)</w:t>
            </w:r>
          </w:p>
        </w:tc>
      </w:tr>
      <w:tr w:rsidR="00AB76A8" w:rsidTr="00AB76A8">
        <w:trPr>
          <w:trHeight w:val="70"/>
        </w:trPr>
        <w:tc>
          <w:tcPr>
            <w:tcW w:w="675" w:type="dxa"/>
            <w:vAlign w:val="center"/>
          </w:tcPr>
          <w:p w:rsidR="00AB76A8" w:rsidRPr="00626671" w:rsidRDefault="00AB76A8" w:rsidP="00626671">
            <w:pPr>
              <w:jc w:val="center"/>
              <w:rPr>
                <w:rFonts w:cs="Arial"/>
              </w:rPr>
            </w:pPr>
            <w:r w:rsidRPr="00626671">
              <w:rPr>
                <w:rFonts w:cs="Arial"/>
              </w:rPr>
              <w:t>2.3</w:t>
            </w:r>
          </w:p>
        </w:tc>
        <w:tc>
          <w:tcPr>
            <w:tcW w:w="2693" w:type="dxa"/>
          </w:tcPr>
          <w:p w:rsidR="00AB76A8" w:rsidRPr="00FE1B33" w:rsidRDefault="00AB76A8" w:rsidP="00626671">
            <w:pPr>
              <w:rPr>
                <w:rFonts w:cs="Arial"/>
              </w:rPr>
            </w:pPr>
            <w:r>
              <w:rPr>
                <w:rFonts w:cs="Arial"/>
              </w:rPr>
              <w:t>Early Years block</w:t>
            </w:r>
          </w:p>
        </w:tc>
        <w:tc>
          <w:tcPr>
            <w:tcW w:w="1560" w:type="dxa"/>
            <w:vAlign w:val="center"/>
          </w:tcPr>
          <w:p w:rsidR="00AB76A8" w:rsidRPr="00FE1B33" w:rsidRDefault="00AB76A8" w:rsidP="00646317">
            <w:pPr>
              <w:jc w:val="center"/>
              <w:rPr>
                <w:rFonts w:cs="Arial"/>
              </w:rPr>
            </w:pPr>
            <w:r w:rsidRPr="00FE1B33">
              <w:rPr>
                <w:rFonts w:cs="Arial"/>
              </w:rPr>
              <w:t>1</w:t>
            </w:r>
            <w:r>
              <w:rPr>
                <w:rFonts w:cs="Arial"/>
              </w:rPr>
              <w:t>2</w:t>
            </w:r>
            <w:r w:rsidRPr="00FE1B33">
              <w:rPr>
                <w:rFonts w:cs="Arial"/>
              </w:rPr>
              <w:t>,</w:t>
            </w:r>
            <w:r>
              <w:rPr>
                <w:rFonts w:cs="Arial"/>
              </w:rPr>
              <w:t>182</w:t>
            </w:r>
          </w:p>
        </w:tc>
        <w:tc>
          <w:tcPr>
            <w:tcW w:w="1417" w:type="dxa"/>
            <w:vAlign w:val="bottom"/>
          </w:tcPr>
          <w:p w:rsidR="00AB76A8" w:rsidRPr="00AB76A8" w:rsidRDefault="00AB76A8">
            <w:pPr>
              <w:jc w:val="center"/>
              <w:rPr>
                <w:rFonts w:cs="Arial"/>
                <w:color w:val="000000"/>
              </w:rPr>
            </w:pPr>
            <w:r w:rsidRPr="00AB76A8">
              <w:rPr>
                <w:rFonts w:cs="Arial"/>
                <w:color w:val="000000"/>
              </w:rPr>
              <w:t>12,276</w:t>
            </w:r>
          </w:p>
        </w:tc>
        <w:tc>
          <w:tcPr>
            <w:tcW w:w="1418" w:type="dxa"/>
            <w:vAlign w:val="bottom"/>
          </w:tcPr>
          <w:p w:rsidR="00AB76A8" w:rsidRPr="00AB76A8" w:rsidRDefault="00AB76A8">
            <w:pPr>
              <w:jc w:val="center"/>
              <w:rPr>
                <w:rFonts w:cs="Arial"/>
                <w:color w:val="000000"/>
              </w:rPr>
            </w:pPr>
            <w:r w:rsidRPr="00AB76A8">
              <w:rPr>
                <w:rFonts w:cs="Arial"/>
                <w:color w:val="000000"/>
              </w:rPr>
              <w:t>94</w:t>
            </w:r>
          </w:p>
        </w:tc>
        <w:tc>
          <w:tcPr>
            <w:tcW w:w="1275" w:type="dxa"/>
            <w:vAlign w:val="bottom"/>
          </w:tcPr>
          <w:p w:rsidR="00AB76A8" w:rsidRPr="00AB76A8" w:rsidRDefault="00AB76A8">
            <w:pPr>
              <w:jc w:val="center"/>
              <w:rPr>
                <w:rFonts w:cs="Arial"/>
                <w:color w:val="000000"/>
              </w:rPr>
            </w:pPr>
            <w:r w:rsidRPr="00AB76A8">
              <w:rPr>
                <w:rFonts w:cs="Arial"/>
                <w:color w:val="000000"/>
              </w:rPr>
              <w:t>0.77%</w:t>
            </w:r>
          </w:p>
        </w:tc>
      </w:tr>
      <w:tr w:rsidR="00AB76A8" w:rsidTr="00AB76A8">
        <w:tc>
          <w:tcPr>
            <w:tcW w:w="675" w:type="dxa"/>
            <w:vAlign w:val="center"/>
          </w:tcPr>
          <w:p w:rsidR="00AB76A8" w:rsidRPr="00626671" w:rsidRDefault="00AB76A8" w:rsidP="00626671">
            <w:pPr>
              <w:jc w:val="center"/>
              <w:rPr>
                <w:rFonts w:cs="Arial"/>
              </w:rPr>
            </w:pPr>
            <w:r w:rsidRPr="00626671">
              <w:rPr>
                <w:rFonts w:cs="Arial"/>
              </w:rPr>
              <w:t>2.4</w:t>
            </w:r>
          </w:p>
        </w:tc>
        <w:tc>
          <w:tcPr>
            <w:tcW w:w="2693" w:type="dxa"/>
          </w:tcPr>
          <w:p w:rsidR="00AB76A8" w:rsidRPr="00FE1B33" w:rsidRDefault="00AB76A8" w:rsidP="00626671">
            <w:pPr>
              <w:rPr>
                <w:rFonts w:cs="Arial"/>
              </w:rPr>
            </w:pPr>
            <w:r w:rsidRPr="00FE1B33">
              <w:rPr>
                <w:rFonts w:cs="Arial"/>
              </w:rPr>
              <w:t>High Needs block</w:t>
            </w:r>
            <w:r>
              <w:rPr>
                <w:rFonts w:cs="Arial"/>
              </w:rPr>
              <w:t xml:space="preserve"> *</w:t>
            </w:r>
          </w:p>
        </w:tc>
        <w:tc>
          <w:tcPr>
            <w:tcW w:w="1560" w:type="dxa"/>
            <w:vAlign w:val="center"/>
          </w:tcPr>
          <w:p w:rsidR="00AB76A8" w:rsidRPr="00FE1B33" w:rsidRDefault="00AB76A8" w:rsidP="00646317">
            <w:pPr>
              <w:jc w:val="center"/>
              <w:rPr>
                <w:rFonts w:cs="Arial"/>
              </w:rPr>
            </w:pPr>
            <w:r w:rsidRPr="00FE1B33">
              <w:rPr>
                <w:rFonts w:cs="Arial"/>
              </w:rPr>
              <w:t>2</w:t>
            </w:r>
            <w:r>
              <w:rPr>
                <w:rFonts w:cs="Arial"/>
              </w:rPr>
              <w:t>8</w:t>
            </w:r>
            <w:r w:rsidRPr="00FE1B33">
              <w:rPr>
                <w:rFonts w:cs="Arial"/>
              </w:rPr>
              <w:t>,</w:t>
            </w:r>
            <w:r>
              <w:rPr>
                <w:rFonts w:cs="Arial"/>
              </w:rPr>
              <w:t>138</w:t>
            </w:r>
          </w:p>
        </w:tc>
        <w:tc>
          <w:tcPr>
            <w:tcW w:w="1417" w:type="dxa"/>
            <w:vAlign w:val="bottom"/>
          </w:tcPr>
          <w:p w:rsidR="00AB76A8" w:rsidRPr="00AB76A8" w:rsidRDefault="00AB76A8">
            <w:pPr>
              <w:jc w:val="center"/>
              <w:rPr>
                <w:rFonts w:cs="Arial"/>
                <w:color w:val="000000"/>
              </w:rPr>
            </w:pPr>
            <w:r w:rsidRPr="00AB76A8">
              <w:rPr>
                <w:rFonts w:cs="Arial"/>
                <w:color w:val="000000"/>
              </w:rPr>
              <w:t>27,592</w:t>
            </w:r>
          </w:p>
        </w:tc>
        <w:tc>
          <w:tcPr>
            <w:tcW w:w="1418" w:type="dxa"/>
            <w:vAlign w:val="bottom"/>
          </w:tcPr>
          <w:p w:rsidR="00AB76A8" w:rsidRPr="00AB76A8" w:rsidRDefault="00AB76A8">
            <w:pPr>
              <w:jc w:val="center"/>
              <w:rPr>
                <w:rFonts w:cs="Arial"/>
                <w:color w:val="000000"/>
              </w:rPr>
            </w:pPr>
            <w:r>
              <w:rPr>
                <w:rFonts w:cs="Arial"/>
                <w:color w:val="000000"/>
              </w:rPr>
              <w:t>(</w:t>
            </w:r>
            <w:r w:rsidRPr="00AB76A8">
              <w:rPr>
                <w:rFonts w:cs="Arial"/>
                <w:color w:val="000000"/>
              </w:rPr>
              <w:t>546</w:t>
            </w:r>
            <w:r>
              <w:rPr>
                <w:rFonts w:cs="Arial"/>
                <w:color w:val="000000"/>
              </w:rPr>
              <w:t>)</w:t>
            </w:r>
          </w:p>
        </w:tc>
        <w:tc>
          <w:tcPr>
            <w:tcW w:w="1275" w:type="dxa"/>
            <w:vAlign w:val="bottom"/>
          </w:tcPr>
          <w:p w:rsidR="00AB76A8" w:rsidRPr="00AB76A8" w:rsidRDefault="00AB76A8">
            <w:pPr>
              <w:jc w:val="center"/>
              <w:rPr>
                <w:rFonts w:cs="Arial"/>
                <w:color w:val="000000"/>
              </w:rPr>
            </w:pPr>
            <w:r>
              <w:rPr>
                <w:rFonts w:cs="Arial"/>
                <w:color w:val="000000"/>
              </w:rPr>
              <w:t>(</w:t>
            </w:r>
            <w:r w:rsidRPr="00AB76A8">
              <w:rPr>
                <w:rFonts w:cs="Arial"/>
                <w:color w:val="000000"/>
              </w:rPr>
              <w:t>1.94%</w:t>
            </w:r>
            <w:r>
              <w:rPr>
                <w:rFonts w:cs="Arial"/>
                <w:color w:val="000000"/>
              </w:rPr>
              <w:t>)</w:t>
            </w:r>
          </w:p>
        </w:tc>
      </w:tr>
      <w:tr w:rsidR="00AB76A8" w:rsidTr="00AB76A8">
        <w:tc>
          <w:tcPr>
            <w:tcW w:w="675" w:type="dxa"/>
            <w:vAlign w:val="center"/>
          </w:tcPr>
          <w:p w:rsidR="00AB76A8" w:rsidRPr="00626671" w:rsidRDefault="00AB76A8" w:rsidP="00626671">
            <w:pPr>
              <w:jc w:val="center"/>
              <w:rPr>
                <w:rFonts w:cs="Arial"/>
              </w:rPr>
            </w:pPr>
            <w:r w:rsidRPr="00626671">
              <w:rPr>
                <w:rFonts w:cs="Arial"/>
              </w:rPr>
              <w:t>2.5</w:t>
            </w:r>
          </w:p>
        </w:tc>
        <w:tc>
          <w:tcPr>
            <w:tcW w:w="2693" w:type="dxa"/>
          </w:tcPr>
          <w:p w:rsidR="00AB76A8" w:rsidRPr="00FE1B33" w:rsidRDefault="00AB76A8" w:rsidP="00626671">
            <w:pPr>
              <w:rPr>
                <w:rFonts w:cs="Arial"/>
              </w:rPr>
            </w:pPr>
            <w:r w:rsidRPr="00FE1B33">
              <w:rPr>
                <w:rFonts w:cs="Arial"/>
              </w:rPr>
              <w:t>Schools block</w:t>
            </w:r>
          </w:p>
        </w:tc>
        <w:tc>
          <w:tcPr>
            <w:tcW w:w="1560" w:type="dxa"/>
            <w:vAlign w:val="center"/>
          </w:tcPr>
          <w:p w:rsidR="00AB76A8" w:rsidRPr="00FE1B33" w:rsidRDefault="00AB76A8" w:rsidP="00646317">
            <w:pPr>
              <w:jc w:val="center"/>
              <w:rPr>
                <w:rFonts w:cs="Arial"/>
              </w:rPr>
            </w:pPr>
            <w:r>
              <w:rPr>
                <w:rFonts w:cs="Arial"/>
              </w:rPr>
              <w:t>190,891</w:t>
            </w:r>
          </w:p>
        </w:tc>
        <w:tc>
          <w:tcPr>
            <w:tcW w:w="1417" w:type="dxa"/>
            <w:vAlign w:val="bottom"/>
          </w:tcPr>
          <w:p w:rsidR="00AB76A8" w:rsidRPr="00AB76A8" w:rsidRDefault="004E66F9">
            <w:pPr>
              <w:jc w:val="center"/>
              <w:rPr>
                <w:rFonts w:cs="Arial"/>
                <w:color w:val="000000"/>
              </w:rPr>
            </w:pPr>
            <w:r>
              <w:rPr>
                <w:rFonts w:cs="Arial"/>
                <w:color w:val="000000"/>
              </w:rPr>
              <w:t>190</w:t>
            </w:r>
            <w:r w:rsidR="00AB76A8" w:rsidRPr="00AB76A8">
              <w:rPr>
                <w:rFonts w:cs="Arial"/>
                <w:color w:val="000000"/>
              </w:rPr>
              <w:t>,</w:t>
            </w:r>
            <w:r>
              <w:rPr>
                <w:rFonts w:cs="Arial"/>
                <w:color w:val="000000"/>
              </w:rPr>
              <w:t>841</w:t>
            </w:r>
          </w:p>
        </w:tc>
        <w:tc>
          <w:tcPr>
            <w:tcW w:w="1418" w:type="dxa"/>
            <w:vAlign w:val="bottom"/>
          </w:tcPr>
          <w:p w:rsidR="00AB76A8" w:rsidRPr="00AB76A8" w:rsidRDefault="004E66F9">
            <w:pPr>
              <w:jc w:val="center"/>
              <w:rPr>
                <w:rFonts w:cs="Arial"/>
                <w:color w:val="000000"/>
              </w:rPr>
            </w:pPr>
            <w:r>
              <w:rPr>
                <w:rFonts w:cs="Arial"/>
                <w:color w:val="000000"/>
              </w:rPr>
              <w:t>(50)</w:t>
            </w:r>
          </w:p>
        </w:tc>
        <w:tc>
          <w:tcPr>
            <w:tcW w:w="1275" w:type="dxa"/>
            <w:vAlign w:val="bottom"/>
          </w:tcPr>
          <w:p w:rsidR="00AB76A8" w:rsidRPr="00AB76A8" w:rsidRDefault="004E66F9">
            <w:pPr>
              <w:jc w:val="center"/>
              <w:rPr>
                <w:rFonts w:cs="Arial"/>
                <w:color w:val="000000"/>
              </w:rPr>
            </w:pPr>
            <w:r>
              <w:rPr>
                <w:rFonts w:cs="Arial"/>
                <w:color w:val="000000"/>
              </w:rPr>
              <w:t>(0.03</w:t>
            </w:r>
            <w:r w:rsidR="00AB76A8" w:rsidRPr="00AB76A8">
              <w:rPr>
                <w:rFonts w:cs="Arial"/>
                <w:color w:val="000000"/>
              </w:rPr>
              <w:t>%</w:t>
            </w:r>
            <w:r>
              <w:rPr>
                <w:rFonts w:cs="Arial"/>
                <w:color w:val="000000"/>
              </w:rPr>
              <w:t>)</w:t>
            </w:r>
          </w:p>
        </w:tc>
      </w:tr>
      <w:tr w:rsidR="00AB76A8" w:rsidTr="00AB76A8">
        <w:tc>
          <w:tcPr>
            <w:tcW w:w="675" w:type="dxa"/>
            <w:vAlign w:val="center"/>
          </w:tcPr>
          <w:p w:rsidR="00AB76A8" w:rsidRPr="00626671" w:rsidRDefault="00AB76A8" w:rsidP="00626671">
            <w:pPr>
              <w:jc w:val="center"/>
              <w:rPr>
                <w:rFonts w:cs="Arial"/>
                <w:b/>
                <w:sz w:val="16"/>
                <w:szCs w:val="16"/>
              </w:rPr>
            </w:pPr>
          </w:p>
        </w:tc>
        <w:tc>
          <w:tcPr>
            <w:tcW w:w="2693" w:type="dxa"/>
          </w:tcPr>
          <w:p w:rsidR="00AB76A8" w:rsidRPr="00646317" w:rsidRDefault="00AB76A8" w:rsidP="00626671">
            <w:pPr>
              <w:rPr>
                <w:rFonts w:cs="Arial"/>
                <w:b/>
              </w:rPr>
            </w:pPr>
            <w:r w:rsidRPr="00646317">
              <w:rPr>
                <w:rFonts w:cs="Arial"/>
                <w:b/>
              </w:rPr>
              <w:t>TOTAL</w:t>
            </w:r>
          </w:p>
        </w:tc>
        <w:tc>
          <w:tcPr>
            <w:tcW w:w="1560" w:type="dxa"/>
            <w:vAlign w:val="center"/>
          </w:tcPr>
          <w:p w:rsidR="00AB76A8" w:rsidRDefault="00AB76A8" w:rsidP="00646317">
            <w:pPr>
              <w:jc w:val="center"/>
              <w:rPr>
                <w:rFonts w:cs="Arial"/>
                <w:b/>
              </w:rPr>
            </w:pPr>
            <w:r>
              <w:rPr>
                <w:rFonts w:cs="Arial"/>
                <w:b/>
              </w:rPr>
              <w:t>£235,578</w:t>
            </w:r>
          </w:p>
        </w:tc>
        <w:tc>
          <w:tcPr>
            <w:tcW w:w="1417" w:type="dxa"/>
            <w:vAlign w:val="bottom"/>
          </w:tcPr>
          <w:p w:rsidR="00AB76A8" w:rsidRPr="00AB76A8" w:rsidRDefault="00AB76A8">
            <w:pPr>
              <w:jc w:val="center"/>
              <w:rPr>
                <w:rFonts w:cs="Arial"/>
                <w:b/>
                <w:bCs/>
                <w:color w:val="000000"/>
              </w:rPr>
            </w:pPr>
            <w:r w:rsidRPr="00AB76A8">
              <w:rPr>
                <w:rFonts w:cs="Arial"/>
                <w:b/>
                <w:bCs/>
                <w:color w:val="000000"/>
              </w:rPr>
              <w:t>£234,</w:t>
            </w:r>
            <w:r w:rsidR="004E66F9">
              <w:rPr>
                <w:rFonts w:cs="Arial"/>
                <w:b/>
                <w:bCs/>
                <w:color w:val="000000"/>
              </w:rPr>
              <w:t>475</w:t>
            </w:r>
          </w:p>
        </w:tc>
        <w:tc>
          <w:tcPr>
            <w:tcW w:w="1418" w:type="dxa"/>
            <w:vAlign w:val="bottom"/>
          </w:tcPr>
          <w:p w:rsidR="00AB76A8" w:rsidRPr="00AB76A8" w:rsidRDefault="00AB76A8">
            <w:pPr>
              <w:jc w:val="center"/>
              <w:rPr>
                <w:rFonts w:cs="Arial"/>
                <w:b/>
                <w:bCs/>
                <w:color w:val="000000"/>
              </w:rPr>
            </w:pPr>
            <w:r>
              <w:rPr>
                <w:rFonts w:cs="Arial"/>
                <w:b/>
                <w:bCs/>
                <w:color w:val="000000"/>
              </w:rPr>
              <w:t>(</w:t>
            </w:r>
            <w:r w:rsidRPr="00AB76A8">
              <w:rPr>
                <w:rFonts w:cs="Arial"/>
                <w:b/>
                <w:bCs/>
                <w:color w:val="000000"/>
              </w:rPr>
              <w:t>£</w:t>
            </w:r>
            <w:r w:rsidR="004E66F9">
              <w:rPr>
                <w:rFonts w:cs="Arial"/>
                <w:b/>
                <w:bCs/>
                <w:color w:val="000000"/>
              </w:rPr>
              <w:t>1,103</w:t>
            </w:r>
            <w:r>
              <w:rPr>
                <w:rFonts w:cs="Arial"/>
                <w:b/>
                <w:bCs/>
                <w:color w:val="000000"/>
              </w:rPr>
              <w:t>)</w:t>
            </w:r>
          </w:p>
        </w:tc>
        <w:tc>
          <w:tcPr>
            <w:tcW w:w="1275" w:type="dxa"/>
            <w:vAlign w:val="bottom"/>
          </w:tcPr>
          <w:p w:rsidR="00AB76A8" w:rsidRPr="00AB76A8" w:rsidRDefault="00AB76A8">
            <w:pPr>
              <w:jc w:val="center"/>
              <w:rPr>
                <w:rFonts w:cs="Arial"/>
                <w:color w:val="000000"/>
              </w:rPr>
            </w:pPr>
            <w:r>
              <w:rPr>
                <w:rFonts w:cs="Arial"/>
                <w:color w:val="000000"/>
              </w:rPr>
              <w:t>(</w:t>
            </w:r>
            <w:r w:rsidR="004E66F9">
              <w:rPr>
                <w:rFonts w:cs="Arial"/>
                <w:color w:val="000000"/>
              </w:rPr>
              <w:t>0.47</w:t>
            </w:r>
            <w:r w:rsidRPr="00AB76A8">
              <w:rPr>
                <w:rFonts w:cs="Arial"/>
                <w:color w:val="000000"/>
              </w:rPr>
              <w:t>%</w:t>
            </w:r>
            <w:r>
              <w:rPr>
                <w:rFonts w:cs="Arial"/>
                <w:color w:val="000000"/>
              </w:rPr>
              <w:t>)</w:t>
            </w:r>
          </w:p>
        </w:tc>
      </w:tr>
      <w:tr w:rsidR="00BA4F81" w:rsidTr="00AB76A8">
        <w:tc>
          <w:tcPr>
            <w:tcW w:w="675" w:type="dxa"/>
            <w:vAlign w:val="center"/>
          </w:tcPr>
          <w:p w:rsidR="00BA4F81" w:rsidRPr="00626671" w:rsidRDefault="00BA4F81" w:rsidP="00BA4F81">
            <w:pPr>
              <w:rPr>
                <w:rFonts w:cs="Arial"/>
                <w:b/>
                <w:sz w:val="16"/>
                <w:szCs w:val="16"/>
              </w:rPr>
            </w:pPr>
          </w:p>
        </w:tc>
        <w:tc>
          <w:tcPr>
            <w:tcW w:w="2693" w:type="dxa"/>
          </w:tcPr>
          <w:p w:rsidR="00BA4F81" w:rsidRPr="00646317" w:rsidRDefault="00BA4F81" w:rsidP="00626671">
            <w:pPr>
              <w:rPr>
                <w:rFonts w:cs="Arial"/>
                <w:b/>
              </w:rPr>
            </w:pPr>
          </w:p>
        </w:tc>
        <w:tc>
          <w:tcPr>
            <w:tcW w:w="1560" w:type="dxa"/>
            <w:vAlign w:val="center"/>
          </w:tcPr>
          <w:p w:rsidR="00BA4F81" w:rsidRDefault="00BA4F81" w:rsidP="00646317">
            <w:pPr>
              <w:jc w:val="center"/>
              <w:rPr>
                <w:rFonts w:cs="Arial"/>
                <w:b/>
              </w:rPr>
            </w:pPr>
          </w:p>
        </w:tc>
        <w:tc>
          <w:tcPr>
            <w:tcW w:w="1417" w:type="dxa"/>
            <w:vAlign w:val="bottom"/>
          </w:tcPr>
          <w:p w:rsidR="00BA4F81" w:rsidRPr="00AB76A8" w:rsidRDefault="00BA4F81">
            <w:pPr>
              <w:jc w:val="center"/>
              <w:rPr>
                <w:rFonts w:cs="Arial"/>
                <w:b/>
                <w:bCs/>
                <w:color w:val="000000"/>
              </w:rPr>
            </w:pPr>
          </w:p>
        </w:tc>
        <w:tc>
          <w:tcPr>
            <w:tcW w:w="1418" w:type="dxa"/>
            <w:vAlign w:val="bottom"/>
          </w:tcPr>
          <w:p w:rsidR="00BA4F81" w:rsidRDefault="00BA4F81">
            <w:pPr>
              <w:jc w:val="center"/>
              <w:rPr>
                <w:rFonts w:cs="Arial"/>
                <w:b/>
                <w:bCs/>
                <w:color w:val="000000"/>
              </w:rPr>
            </w:pPr>
          </w:p>
        </w:tc>
        <w:tc>
          <w:tcPr>
            <w:tcW w:w="1275" w:type="dxa"/>
            <w:vAlign w:val="bottom"/>
          </w:tcPr>
          <w:p w:rsidR="00BA4F81" w:rsidRDefault="00BA4F81">
            <w:pPr>
              <w:jc w:val="center"/>
              <w:rPr>
                <w:rFonts w:cs="Arial"/>
                <w:color w:val="000000"/>
              </w:rPr>
            </w:pPr>
          </w:p>
        </w:tc>
      </w:tr>
    </w:tbl>
    <w:p w:rsidR="00A0149B" w:rsidRDefault="00A0149B"/>
    <w:tbl>
      <w:tblPr>
        <w:tblW w:w="7610" w:type="dxa"/>
        <w:tblInd w:w="720" w:type="dxa"/>
        <w:tblLook w:val="04A0"/>
      </w:tblPr>
      <w:tblGrid>
        <w:gridCol w:w="5909"/>
        <w:gridCol w:w="1701"/>
      </w:tblGrid>
      <w:tr w:rsidR="00BA4F81" w:rsidRPr="00BA4F81" w:rsidTr="00BA4F81">
        <w:trPr>
          <w:trHeight w:val="315"/>
        </w:trPr>
        <w:tc>
          <w:tcPr>
            <w:tcW w:w="76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A4F81" w:rsidRPr="00BA4F81" w:rsidRDefault="00BA4F81" w:rsidP="00BA4F81">
            <w:pPr>
              <w:ind w:firstLineChars="300" w:firstLine="723"/>
              <w:rPr>
                <w:rFonts w:cs="Arial"/>
                <w:b/>
                <w:bCs/>
                <w:color w:val="000000"/>
              </w:rPr>
            </w:pPr>
            <w:r w:rsidRPr="00BA4F81">
              <w:rPr>
                <w:rFonts w:cs="Arial"/>
                <w:b/>
                <w:bCs/>
                <w:color w:val="000000"/>
              </w:rPr>
              <w:t>Table 2 - Dedicated Schools Grant Reserve Position as at February 2016</w:t>
            </w:r>
          </w:p>
        </w:tc>
      </w:tr>
      <w:tr w:rsidR="00BA4F81" w:rsidRPr="00BA4F81" w:rsidTr="00BA4F81">
        <w:trPr>
          <w:trHeight w:val="315"/>
        </w:trPr>
        <w:tc>
          <w:tcPr>
            <w:tcW w:w="5909" w:type="dxa"/>
            <w:tcBorders>
              <w:top w:val="nil"/>
              <w:left w:val="single" w:sz="4" w:space="0" w:color="auto"/>
              <w:bottom w:val="single" w:sz="4" w:space="0" w:color="auto"/>
              <w:right w:val="single" w:sz="4" w:space="0" w:color="auto"/>
            </w:tcBorders>
            <w:shd w:val="clear" w:color="auto" w:fill="auto"/>
            <w:vAlign w:val="bottom"/>
            <w:hideMark/>
          </w:tcPr>
          <w:p w:rsidR="00BA4F81" w:rsidRPr="00BA4F81" w:rsidRDefault="00BA4F81" w:rsidP="00BA4F81">
            <w:pPr>
              <w:rPr>
                <w:rFonts w:cs="Arial"/>
                <w:color w:val="000000"/>
              </w:rPr>
            </w:pPr>
            <w:r w:rsidRPr="00BA4F81">
              <w:rPr>
                <w:rFonts w:cs="Arial"/>
                <w:color w:val="000000"/>
              </w:rPr>
              <w:t> </w:t>
            </w:r>
          </w:p>
        </w:tc>
        <w:tc>
          <w:tcPr>
            <w:tcW w:w="1701" w:type="dxa"/>
            <w:tcBorders>
              <w:top w:val="nil"/>
              <w:left w:val="nil"/>
              <w:bottom w:val="single" w:sz="4" w:space="0" w:color="auto"/>
              <w:right w:val="single" w:sz="4" w:space="0" w:color="auto"/>
            </w:tcBorders>
            <w:shd w:val="clear" w:color="auto" w:fill="auto"/>
            <w:vAlign w:val="bottom"/>
            <w:hideMark/>
          </w:tcPr>
          <w:p w:rsidR="00BA4F81" w:rsidRPr="00BA4F81" w:rsidRDefault="00BA4F81" w:rsidP="00BA4F81">
            <w:pPr>
              <w:jc w:val="center"/>
              <w:rPr>
                <w:rFonts w:cs="Arial"/>
                <w:b/>
                <w:bCs/>
                <w:color w:val="000000"/>
              </w:rPr>
            </w:pPr>
            <w:r w:rsidRPr="00BA4F81">
              <w:rPr>
                <w:rFonts w:cs="Arial"/>
                <w:b/>
                <w:bCs/>
                <w:color w:val="000000"/>
              </w:rPr>
              <w:t>£’000</w:t>
            </w:r>
          </w:p>
        </w:tc>
      </w:tr>
      <w:tr w:rsidR="00BA4F81" w:rsidRPr="00BA4F81" w:rsidTr="00BA4F81">
        <w:trPr>
          <w:trHeight w:val="315"/>
        </w:trPr>
        <w:tc>
          <w:tcPr>
            <w:tcW w:w="5909" w:type="dxa"/>
            <w:tcBorders>
              <w:top w:val="nil"/>
              <w:left w:val="single" w:sz="4" w:space="0" w:color="auto"/>
              <w:bottom w:val="single" w:sz="4" w:space="0" w:color="auto"/>
              <w:right w:val="single" w:sz="4" w:space="0" w:color="auto"/>
            </w:tcBorders>
            <w:shd w:val="clear" w:color="auto" w:fill="auto"/>
            <w:vAlign w:val="bottom"/>
            <w:hideMark/>
          </w:tcPr>
          <w:p w:rsidR="00BA4F81" w:rsidRPr="00BA4F81" w:rsidRDefault="00BA4F81" w:rsidP="00BA4F81">
            <w:pPr>
              <w:rPr>
                <w:rFonts w:cs="Arial"/>
                <w:color w:val="000000"/>
              </w:rPr>
            </w:pPr>
            <w:r w:rsidRPr="00BA4F81">
              <w:rPr>
                <w:rFonts w:cs="Arial"/>
                <w:color w:val="000000"/>
              </w:rPr>
              <w:t xml:space="preserve">2014-15 DSG carry forward </w:t>
            </w:r>
          </w:p>
        </w:tc>
        <w:tc>
          <w:tcPr>
            <w:tcW w:w="1701" w:type="dxa"/>
            <w:tcBorders>
              <w:top w:val="nil"/>
              <w:left w:val="nil"/>
              <w:bottom w:val="single" w:sz="4" w:space="0" w:color="auto"/>
              <w:right w:val="single" w:sz="4" w:space="0" w:color="auto"/>
            </w:tcBorders>
            <w:shd w:val="clear" w:color="auto" w:fill="auto"/>
            <w:vAlign w:val="bottom"/>
            <w:hideMark/>
          </w:tcPr>
          <w:p w:rsidR="00BA4F81" w:rsidRPr="00BA4F81" w:rsidRDefault="00BA4F81" w:rsidP="00BA4F81">
            <w:pPr>
              <w:jc w:val="center"/>
              <w:rPr>
                <w:rFonts w:cs="Arial"/>
                <w:b/>
                <w:bCs/>
                <w:color w:val="000000"/>
              </w:rPr>
            </w:pPr>
            <w:r w:rsidRPr="00BA4F81">
              <w:rPr>
                <w:rFonts w:cs="Arial"/>
                <w:b/>
                <w:bCs/>
                <w:color w:val="000000"/>
              </w:rPr>
              <w:t>7,367</w:t>
            </w:r>
          </w:p>
        </w:tc>
      </w:tr>
      <w:tr w:rsidR="00BA4F81" w:rsidRPr="00BA4F81" w:rsidTr="00BA4F81">
        <w:trPr>
          <w:trHeight w:val="600"/>
        </w:trPr>
        <w:tc>
          <w:tcPr>
            <w:tcW w:w="5909" w:type="dxa"/>
            <w:tcBorders>
              <w:top w:val="nil"/>
              <w:left w:val="single" w:sz="4" w:space="0" w:color="auto"/>
              <w:bottom w:val="single" w:sz="4" w:space="0" w:color="auto"/>
              <w:right w:val="single" w:sz="4" w:space="0" w:color="auto"/>
            </w:tcBorders>
            <w:shd w:val="clear" w:color="auto" w:fill="auto"/>
            <w:hideMark/>
          </w:tcPr>
          <w:p w:rsidR="00BA4F81" w:rsidRPr="00BA4F81" w:rsidRDefault="00BA4F81" w:rsidP="00BA4F81">
            <w:pPr>
              <w:rPr>
                <w:rFonts w:cs="Arial"/>
                <w:color w:val="000000"/>
              </w:rPr>
            </w:pPr>
            <w:r w:rsidRPr="00BA4F81">
              <w:rPr>
                <w:rFonts w:cs="Arial"/>
                <w:color w:val="000000"/>
              </w:rPr>
              <w:t>Additional allocation for 2YO based on Autumn data submission</w:t>
            </w:r>
          </w:p>
        </w:tc>
        <w:tc>
          <w:tcPr>
            <w:tcW w:w="1701" w:type="dxa"/>
            <w:tcBorders>
              <w:top w:val="nil"/>
              <w:left w:val="nil"/>
              <w:bottom w:val="single" w:sz="4" w:space="0" w:color="auto"/>
              <w:right w:val="single" w:sz="4" w:space="0" w:color="auto"/>
            </w:tcBorders>
            <w:shd w:val="clear" w:color="auto" w:fill="auto"/>
            <w:vAlign w:val="bottom"/>
            <w:hideMark/>
          </w:tcPr>
          <w:p w:rsidR="00BA4F81" w:rsidRPr="00BA4F81" w:rsidRDefault="00BA4F81" w:rsidP="00BA4F81">
            <w:pPr>
              <w:jc w:val="center"/>
              <w:rPr>
                <w:rFonts w:cs="Arial"/>
                <w:color w:val="000000"/>
              </w:rPr>
            </w:pPr>
            <w:r w:rsidRPr="00BA4F81">
              <w:rPr>
                <w:rFonts w:cs="Arial"/>
                <w:color w:val="000000"/>
              </w:rPr>
              <w:t>294</w:t>
            </w:r>
          </w:p>
        </w:tc>
      </w:tr>
      <w:tr w:rsidR="00BA4F81" w:rsidRPr="00BA4F81" w:rsidTr="00BA4F81">
        <w:trPr>
          <w:trHeight w:val="300"/>
        </w:trPr>
        <w:tc>
          <w:tcPr>
            <w:tcW w:w="5909" w:type="dxa"/>
            <w:tcBorders>
              <w:top w:val="nil"/>
              <w:left w:val="single" w:sz="4" w:space="0" w:color="auto"/>
              <w:bottom w:val="single" w:sz="4" w:space="0" w:color="auto"/>
              <w:right w:val="single" w:sz="4" w:space="0" w:color="auto"/>
            </w:tcBorders>
            <w:shd w:val="clear" w:color="auto" w:fill="auto"/>
            <w:hideMark/>
          </w:tcPr>
          <w:p w:rsidR="00BA4F81" w:rsidRPr="00BA4F81" w:rsidRDefault="00BA4F81" w:rsidP="00BA4F81">
            <w:pPr>
              <w:rPr>
                <w:rFonts w:cs="Arial"/>
                <w:color w:val="000000"/>
              </w:rPr>
            </w:pPr>
            <w:r w:rsidRPr="00BA4F81">
              <w:rPr>
                <w:rFonts w:cs="Arial"/>
                <w:color w:val="000000"/>
              </w:rPr>
              <w:t>Capitalisation of 2 YO as agreed by Forum</w:t>
            </w:r>
          </w:p>
        </w:tc>
        <w:tc>
          <w:tcPr>
            <w:tcW w:w="1701" w:type="dxa"/>
            <w:tcBorders>
              <w:top w:val="nil"/>
              <w:left w:val="nil"/>
              <w:bottom w:val="single" w:sz="4" w:space="0" w:color="auto"/>
              <w:right w:val="single" w:sz="4" w:space="0" w:color="auto"/>
            </w:tcBorders>
            <w:shd w:val="clear" w:color="auto" w:fill="auto"/>
            <w:vAlign w:val="bottom"/>
            <w:hideMark/>
          </w:tcPr>
          <w:p w:rsidR="00BA4F81" w:rsidRPr="00BA4F81" w:rsidRDefault="00BA4F81" w:rsidP="00BA4F81">
            <w:pPr>
              <w:jc w:val="center"/>
              <w:rPr>
                <w:rFonts w:cs="Arial"/>
                <w:color w:val="000000"/>
              </w:rPr>
            </w:pPr>
            <w:r>
              <w:rPr>
                <w:rFonts w:cs="Arial"/>
                <w:color w:val="000000"/>
              </w:rPr>
              <w:t>(</w:t>
            </w:r>
            <w:r w:rsidRPr="00BA4F81">
              <w:rPr>
                <w:rFonts w:cs="Arial"/>
                <w:color w:val="000000"/>
              </w:rPr>
              <w:t>700</w:t>
            </w:r>
            <w:r>
              <w:rPr>
                <w:rFonts w:cs="Arial"/>
                <w:color w:val="000000"/>
              </w:rPr>
              <w:t>)</w:t>
            </w:r>
          </w:p>
        </w:tc>
      </w:tr>
      <w:tr w:rsidR="00BA4F81" w:rsidRPr="00BA4F81" w:rsidTr="00BA4F81">
        <w:trPr>
          <w:trHeight w:val="300"/>
        </w:trPr>
        <w:tc>
          <w:tcPr>
            <w:tcW w:w="5909" w:type="dxa"/>
            <w:tcBorders>
              <w:top w:val="nil"/>
              <w:left w:val="single" w:sz="4" w:space="0" w:color="auto"/>
              <w:bottom w:val="single" w:sz="4" w:space="0" w:color="auto"/>
              <w:right w:val="single" w:sz="4" w:space="0" w:color="auto"/>
            </w:tcBorders>
            <w:shd w:val="clear" w:color="auto" w:fill="auto"/>
            <w:hideMark/>
          </w:tcPr>
          <w:p w:rsidR="00BA4F81" w:rsidRPr="00BA4F81" w:rsidRDefault="00282990" w:rsidP="00BA4F81">
            <w:pPr>
              <w:rPr>
                <w:rFonts w:cs="Arial"/>
                <w:color w:val="000000"/>
              </w:rPr>
            </w:pPr>
            <w:r>
              <w:rPr>
                <w:rFonts w:cs="Arial"/>
                <w:color w:val="000000"/>
              </w:rPr>
              <w:t>2015/16</w:t>
            </w:r>
            <w:r w:rsidR="00BA4F81" w:rsidRPr="00BA4F81">
              <w:rPr>
                <w:rFonts w:cs="Arial"/>
                <w:color w:val="000000"/>
              </w:rPr>
              <w:t xml:space="preserve"> underspend carry forward</w:t>
            </w:r>
          </w:p>
        </w:tc>
        <w:tc>
          <w:tcPr>
            <w:tcW w:w="1701" w:type="dxa"/>
            <w:tcBorders>
              <w:top w:val="nil"/>
              <w:left w:val="nil"/>
              <w:bottom w:val="single" w:sz="4" w:space="0" w:color="auto"/>
              <w:right w:val="single" w:sz="4" w:space="0" w:color="auto"/>
            </w:tcBorders>
            <w:shd w:val="clear" w:color="auto" w:fill="auto"/>
            <w:vAlign w:val="bottom"/>
            <w:hideMark/>
          </w:tcPr>
          <w:p w:rsidR="00BA4F81" w:rsidRPr="00BA4F81" w:rsidRDefault="00BA4F81" w:rsidP="009566CE">
            <w:pPr>
              <w:jc w:val="center"/>
              <w:rPr>
                <w:rFonts w:cs="Arial"/>
                <w:color w:val="000000"/>
              </w:rPr>
            </w:pPr>
            <w:r w:rsidRPr="00BA4F81">
              <w:rPr>
                <w:rFonts w:cs="Arial"/>
                <w:color w:val="000000"/>
              </w:rPr>
              <w:t>1,</w:t>
            </w:r>
            <w:r w:rsidR="009566CE">
              <w:rPr>
                <w:rFonts w:cs="Arial"/>
                <w:color w:val="000000"/>
              </w:rPr>
              <w:t>1</w:t>
            </w:r>
            <w:r w:rsidRPr="00BA4F81">
              <w:rPr>
                <w:rFonts w:cs="Arial"/>
                <w:color w:val="000000"/>
              </w:rPr>
              <w:t>03</w:t>
            </w:r>
          </w:p>
        </w:tc>
      </w:tr>
      <w:tr w:rsidR="00BA4F81" w:rsidRPr="00BA4F81" w:rsidTr="00BA4F81">
        <w:trPr>
          <w:trHeight w:val="315"/>
        </w:trPr>
        <w:tc>
          <w:tcPr>
            <w:tcW w:w="5909" w:type="dxa"/>
            <w:tcBorders>
              <w:top w:val="nil"/>
              <w:left w:val="single" w:sz="4" w:space="0" w:color="auto"/>
              <w:bottom w:val="single" w:sz="4" w:space="0" w:color="auto"/>
              <w:right w:val="single" w:sz="4" w:space="0" w:color="auto"/>
            </w:tcBorders>
            <w:shd w:val="clear" w:color="auto" w:fill="auto"/>
            <w:noWrap/>
            <w:hideMark/>
          </w:tcPr>
          <w:p w:rsidR="00BA4F81" w:rsidRPr="00BA4F81" w:rsidRDefault="00BA4F81" w:rsidP="00BA4F81">
            <w:pPr>
              <w:rPr>
                <w:rFonts w:cs="Arial"/>
                <w:b/>
                <w:bCs/>
                <w:color w:val="000000"/>
              </w:rPr>
            </w:pPr>
            <w:r w:rsidRPr="00BA4F81">
              <w:rPr>
                <w:rFonts w:cs="Arial"/>
                <w:b/>
                <w:bCs/>
                <w:color w:val="000000"/>
              </w:rPr>
              <w:t>Anticipated 2015-16 DSG carry forward</w:t>
            </w:r>
          </w:p>
        </w:tc>
        <w:tc>
          <w:tcPr>
            <w:tcW w:w="1701" w:type="dxa"/>
            <w:tcBorders>
              <w:top w:val="nil"/>
              <w:left w:val="nil"/>
              <w:bottom w:val="single" w:sz="4" w:space="0" w:color="auto"/>
              <w:right w:val="single" w:sz="4" w:space="0" w:color="auto"/>
            </w:tcBorders>
            <w:shd w:val="clear" w:color="auto" w:fill="auto"/>
            <w:vAlign w:val="bottom"/>
            <w:hideMark/>
          </w:tcPr>
          <w:p w:rsidR="00BA4F81" w:rsidRPr="00BA4F81" w:rsidRDefault="00B54455" w:rsidP="00B54455">
            <w:pPr>
              <w:jc w:val="center"/>
              <w:rPr>
                <w:rFonts w:cs="Arial"/>
                <w:b/>
                <w:bCs/>
                <w:color w:val="000000"/>
              </w:rPr>
            </w:pPr>
            <w:r>
              <w:rPr>
                <w:rFonts w:cs="Arial"/>
                <w:b/>
                <w:bCs/>
                <w:color w:val="000000"/>
              </w:rPr>
              <w:t>8</w:t>
            </w:r>
            <w:r w:rsidR="00BA4F81" w:rsidRPr="00BA4F81">
              <w:rPr>
                <w:rFonts w:cs="Arial"/>
                <w:b/>
                <w:bCs/>
                <w:color w:val="000000"/>
              </w:rPr>
              <w:t>,</w:t>
            </w:r>
            <w:r>
              <w:rPr>
                <w:rFonts w:cs="Arial"/>
                <w:b/>
                <w:bCs/>
                <w:color w:val="000000"/>
              </w:rPr>
              <w:t>0</w:t>
            </w:r>
            <w:r w:rsidR="00BA4F81" w:rsidRPr="00BA4F81">
              <w:rPr>
                <w:rFonts w:cs="Arial"/>
                <w:b/>
                <w:bCs/>
                <w:color w:val="000000"/>
              </w:rPr>
              <w:t>64</w:t>
            </w:r>
          </w:p>
        </w:tc>
      </w:tr>
      <w:tr w:rsidR="00BA4F81" w:rsidRPr="00BA4F81" w:rsidTr="00BA4F81">
        <w:trPr>
          <w:trHeight w:val="300"/>
        </w:trPr>
        <w:tc>
          <w:tcPr>
            <w:tcW w:w="5909" w:type="dxa"/>
            <w:tcBorders>
              <w:top w:val="nil"/>
              <w:left w:val="single" w:sz="4" w:space="0" w:color="auto"/>
              <w:bottom w:val="single" w:sz="4" w:space="0" w:color="auto"/>
              <w:right w:val="single" w:sz="4" w:space="0" w:color="auto"/>
            </w:tcBorders>
            <w:shd w:val="clear" w:color="000000" w:fill="FFFFFF"/>
            <w:vAlign w:val="bottom"/>
            <w:hideMark/>
          </w:tcPr>
          <w:p w:rsidR="00BA4F81" w:rsidRPr="00BA4F81" w:rsidRDefault="00BA4F81" w:rsidP="00BA4F81">
            <w:pPr>
              <w:rPr>
                <w:rFonts w:cs="Arial"/>
                <w:color w:val="000000"/>
              </w:rPr>
            </w:pPr>
            <w:r w:rsidRPr="00BA4F81">
              <w:rPr>
                <w:rFonts w:cs="Arial"/>
                <w:color w:val="000000"/>
              </w:rPr>
              <w:t>Reallocation of DSG Reserve to Schools</w:t>
            </w:r>
            <w:r w:rsidR="00B54455">
              <w:rPr>
                <w:rFonts w:cs="Arial"/>
                <w:color w:val="000000"/>
              </w:rPr>
              <w:t xml:space="preserve"> and Early Year settings as part of SEND strategy</w:t>
            </w:r>
          </w:p>
        </w:tc>
        <w:tc>
          <w:tcPr>
            <w:tcW w:w="1701" w:type="dxa"/>
            <w:tcBorders>
              <w:top w:val="nil"/>
              <w:left w:val="nil"/>
              <w:bottom w:val="single" w:sz="4" w:space="0" w:color="auto"/>
              <w:right w:val="single" w:sz="4" w:space="0" w:color="auto"/>
            </w:tcBorders>
            <w:shd w:val="clear" w:color="000000" w:fill="FFFFFF"/>
            <w:vAlign w:val="bottom"/>
            <w:hideMark/>
          </w:tcPr>
          <w:p w:rsidR="00BA4F81" w:rsidRPr="00BA4F81" w:rsidRDefault="00BA4F81" w:rsidP="00B54455">
            <w:pPr>
              <w:jc w:val="center"/>
              <w:rPr>
                <w:rFonts w:cs="Arial"/>
                <w:color w:val="000000"/>
              </w:rPr>
            </w:pPr>
            <w:r>
              <w:rPr>
                <w:rFonts w:cs="Arial"/>
                <w:color w:val="000000"/>
              </w:rPr>
              <w:t>(</w:t>
            </w:r>
            <w:r w:rsidRPr="00BA4F81">
              <w:rPr>
                <w:rFonts w:cs="Arial"/>
                <w:color w:val="000000"/>
              </w:rPr>
              <w:t>3,</w:t>
            </w:r>
            <w:r w:rsidR="00B54455">
              <w:rPr>
                <w:rFonts w:cs="Arial"/>
                <w:color w:val="000000"/>
              </w:rPr>
              <w:t>2</w:t>
            </w:r>
            <w:r w:rsidRPr="00BA4F81">
              <w:rPr>
                <w:rFonts w:cs="Arial"/>
                <w:color w:val="000000"/>
              </w:rPr>
              <w:t>00</w:t>
            </w:r>
            <w:r>
              <w:rPr>
                <w:rFonts w:cs="Arial"/>
                <w:color w:val="000000"/>
              </w:rPr>
              <w:t>)</w:t>
            </w:r>
          </w:p>
        </w:tc>
      </w:tr>
      <w:tr w:rsidR="00BA4F81" w:rsidRPr="00BA4F81" w:rsidTr="00BA4F81">
        <w:trPr>
          <w:trHeight w:val="300"/>
        </w:trPr>
        <w:tc>
          <w:tcPr>
            <w:tcW w:w="5909" w:type="dxa"/>
            <w:tcBorders>
              <w:top w:val="nil"/>
              <w:left w:val="single" w:sz="4" w:space="0" w:color="auto"/>
              <w:bottom w:val="single" w:sz="4" w:space="0" w:color="auto"/>
              <w:right w:val="single" w:sz="4" w:space="0" w:color="auto"/>
            </w:tcBorders>
            <w:shd w:val="clear" w:color="000000" w:fill="FFFFFF"/>
            <w:vAlign w:val="bottom"/>
            <w:hideMark/>
          </w:tcPr>
          <w:p w:rsidR="00BA4F81" w:rsidRPr="00BA4F81" w:rsidRDefault="00BA4F81" w:rsidP="00BA4F81">
            <w:pPr>
              <w:rPr>
                <w:rFonts w:cs="Arial"/>
                <w:color w:val="000000"/>
              </w:rPr>
            </w:pPr>
            <w:r w:rsidRPr="00BA4F81">
              <w:rPr>
                <w:rFonts w:cs="Arial"/>
                <w:color w:val="000000"/>
              </w:rPr>
              <w:t>Ring Fenced 2 Year Old Reserve</w:t>
            </w:r>
          </w:p>
        </w:tc>
        <w:tc>
          <w:tcPr>
            <w:tcW w:w="1701" w:type="dxa"/>
            <w:tcBorders>
              <w:top w:val="nil"/>
              <w:left w:val="nil"/>
              <w:bottom w:val="single" w:sz="4" w:space="0" w:color="auto"/>
              <w:right w:val="single" w:sz="4" w:space="0" w:color="auto"/>
            </w:tcBorders>
            <w:shd w:val="clear" w:color="000000" w:fill="FFFFFF"/>
            <w:vAlign w:val="bottom"/>
            <w:hideMark/>
          </w:tcPr>
          <w:p w:rsidR="00BA4F81" w:rsidRPr="00BA4F81" w:rsidRDefault="00BA4F81" w:rsidP="00BA4F81">
            <w:pPr>
              <w:jc w:val="center"/>
              <w:rPr>
                <w:rFonts w:cs="Arial"/>
                <w:color w:val="000000"/>
              </w:rPr>
            </w:pPr>
            <w:r>
              <w:rPr>
                <w:rFonts w:cs="Arial"/>
                <w:color w:val="000000"/>
              </w:rPr>
              <w:t>(</w:t>
            </w:r>
            <w:r w:rsidRPr="00BA4F81">
              <w:rPr>
                <w:rFonts w:cs="Arial"/>
                <w:color w:val="000000"/>
              </w:rPr>
              <w:t>2,253</w:t>
            </w:r>
            <w:r>
              <w:rPr>
                <w:rFonts w:cs="Arial"/>
                <w:color w:val="000000"/>
              </w:rPr>
              <w:t>)</w:t>
            </w:r>
          </w:p>
        </w:tc>
      </w:tr>
      <w:tr w:rsidR="00BA4F81" w:rsidRPr="00BA4F81" w:rsidTr="00BA4F81">
        <w:trPr>
          <w:trHeight w:val="300"/>
        </w:trPr>
        <w:tc>
          <w:tcPr>
            <w:tcW w:w="5909" w:type="dxa"/>
            <w:tcBorders>
              <w:top w:val="nil"/>
              <w:left w:val="single" w:sz="4" w:space="0" w:color="auto"/>
              <w:bottom w:val="single" w:sz="4" w:space="0" w:color="auto"/>
              <w:right w:val="single" w:sz="4" w:space="0" w:color="auto"/>
            </w:tcBorders>
            <w:shd w:val="clear" w:color="auto" w:fill="auto"/>
            <w:hideMark/>
          </w:tcPr>
          <w:p w:rsidR="00BA4F81" w:rsidRPr="00BA4F81" w:rsidRDefault="00BA4F81" w:rsidP="00BA4F81">
            <w:pPr>
              <w:rPr>
                <w:rFonts w:cs="Arial"/>
                <w:color w:val="000000"/>
              </w:rPr>
            </w:pPr>
            <w:r w:rsidRPr="00BA4F81">
              <w:rPr>
                <w:rFonts w:cs="Arial"/>
                <w:color w:val="000000"/>
              </w:rPr>
              <w:t>Contribution to High Needs Budget 2016/17</w:t>
            </w:r>
          </w:p>
        </w:tc>
        <w:tc>
          <w:tcPr>
            <w:tcW w:w="1701" w:type="dxa"/>
            <w:tcBorders>
              <w:top w:val="nil"/>
              <w:left w:val="nil"/>
              <w:bottom w:val="single" w:sz="4" w:space="0" w:color="auto"/>
              <w:right w:val="single" w:sz="4" w:space="0" w:color="auto"/>
            </w:tcBorders>
            <w:shd w:val="clear" w:color="000000" w:fill="FFFFFF"/>
            <w:vAlign w:val="bottom"/>
            <w:hideMark/>
          </w:tcPr>
          <w:p w:rsidR="00BA4F81" w:rsidRPr="00BA4F81" w:rsidRDefault="00BA4F81" w:rsidP="00BA4F81">
            <w:pPr>
              <w:jc w:val="center"/>
              <w:rPr>
                <w:rFonts w:cs="Arial"/>
                <w:color w:val="000000"/>
              </w:rPr>
            </w:pPr>
            <w:r>
              <w:rPr>
                <w:rFonts w:cs="Arial"/>
                <w:color w:val="000000"/>
              </w:rPr>
              <w:t>(</w:t>
            </w:r>
            <w:r w:rsidRPr="00BA4F81">
              <w:rPr>
                <w:rFonts w:cs="Arial"/>
                <w:color w:val="000000"/>
              </w:rPr>
              <w:t>800</w:t>
            </w:r>
            <w:r>
              <w:rPr>
                <w:rFonts w:cs="Arial"/>
                <w:color w:val="000000"/>
              </w:rPr>
              <w:t>)</w:t>
            </w:r>
          </w:p>
        </w:tc>
      </w:tr>
      <w:tr w:rsidR="00BA4F81" w:rsidRPr="00BA4F81" w:rsidTr="00BA4F81">
        <w:trPr>
          <w:trHeight w:val="300"/>
        </w:trPr>
        <w:tc>
          <w:tcPr>
            <w:tcW w:w="5909" w:type="dxa"/>
            <w:tcBorders>
              <w:top w:val="nil"/>
              <w:left w:val="single" w:sz="4" w:space="0" w:color="auto"/>
              <w:bottom w:val="single" w:sz="4" w:space="0" w:color="auto"/>
              <w:right w:val="single" w:sz="4" w:space="0" w:color="auto"/>
            </w:tcBorders>
            <w:shd w:val="clear" w:color="auto" w:fill="auto"/>
            <w:hideMark/>
          </w:tcPr>
          <w:p w:rsidR="00BA4F81" w:rsidRPr="00BA4F81" w:rsidRDefault="00BA4F81" w:rsidP="00BA4F81">
            <w:pPr>
              <w:rPr>
                <w:rFonts w:cs="Arial"/>
                <w:color w:val="000000"/>
              </w:rPr>
            </w:pPr>
            <w:r w:rsidRPr="00BA4F81">
              <w:rPr>
                <w:rFonts w:cs="Arial"/>
                <w:color w:val="000000"/>
              </w:rPr>
              <w:t>Contribution to manage Early Years pressure</w:t>
            </w:r>
            <w:r w:rsidR="00282990">
              <w:rPr>
                <w:rFonts w:cs="Arial"/>
                <w:color w:val="000000"/>
              </w:rPr>
              <w:t xml:space="preserve"> in 2016/17</w:t>
            </w:r>
          </w:p>
        </w:tc>
        <w:tc>
          <w:tcPr>
            <w:tcW w:w="1701" w:type="dxa"/>
            <w:tcBorders>
              <w:top w:val="nil"/>
              <w:left w:val="nil"/>
              <w:bottom w:val="single" w:sz="4" w:space="0" w:color="auto"/>
              <w:right w:val="single" w:sz="4" w:space="0" w:color="auto"/>
            </w:tcBorders>
            <w:shd w:val="clear" w:color="000000" w:fill="FFFFFF"/>
            <w:vAlign w:val="bottom"/>
            <w:hideMark/>
          </w:tcPr>
          <w:p w:rsidR="00BA4F81" w:rsidRPr="00BA4F81" w:rsidRDefault="00BA4F81" w:rsidP="00BA4F81">
            <w:pPr>
              <w:jc w:val="center"/>
              <w:rPr>
                <w:rFonts w:cs="Arial"/>
                <w:color w:val="000000"/>
              </w:rPr>
            </w:pPr>
            <w:r>
              <w:rPr>
                <w:rFonts w:cs="Arial"/>
                <w:color w:val="000000"/>
              </w:rPr>
              <w:t>(</w:t>
            </w:r>
            <w:r w:rsidRPr="00BA4F81">
              <w:rPr>
                <w:rFonts w:cs="Arial"/>
                <w:color w:val="000000"/>
              </w:rPr>
              <w:t>900</w:t>
            </w:r>
            <w:r>
              <w:rPr>
                <w:rFonts w:cs="Arial"/>
                <w:color w:val="000000"/>
              </w:rPr>
              <w:t>)</w:t>
            </w:r>
          </w:p>
        </w:tc>
      </w:tr>
      <w:tr w:rsidR="00BA4F81" w:rsidRPr="00BA4F81" w:rsidTr="00BA4F81">
        <w:trPr>
          <w:trHeight w:val="315"/>
        </w:trPr>
        <w:tc>
          <w:tcPr>
            <w:tcW w:w="5909" w:type="dxa"/>
            <w:tcBorders>
              <w:top w:val="nil"/>
              <w:left w:val="single" w:sz="4" w:space="0" w:color="auto"/>
              <w:bottom w:val="single" w:sz="4" w:space="0" w:color="auto"/>
              <w:right w:val="single" w:sz="4" w:space="0" w:color="auto"/>
            </w:tcBorders>
            <w:shd w:val="clear" w:color="auto" w:fill="auto"/>
            <w:hideMark/>
          </w:tcPr>
          <w:p w:rsidR="00BA4F81" w:rsidRPr="00BA4F81" w:rsidRDefault="00BA4F81" w:rsidP="00BA4F81">
            <w:pPr>
              <w:rPr>
                <w:rFonts w:cs="Arial"/>
                <w:b/>
                <w:bCs/>
                <w:color w:val="000000"/>
              </w:rPr>
            </w:pPr>
            <w:r w:rsidRPr="00BA4F81">
              <w:rPr>
                <w:rFonts w:cs="Arial"/>
                <w:b/>
                <w:bCs/>
                <w:color w:val="000000"/>
              </w:rPr>
              <w:t>Uncommitted DSG Balance</w:t>
            </w:r>
          </w:p>
        </w:tc>
        <w:tc>
          <w:tcPr>
            <w:tcW w:w="1701" w:type="dxa"/>
            <w:tcBorders>
              <w:top w:val="nil"/>
              <w:left w:val="nil"/>
              <w:bottom w:val="single" w:sz="4" w:space="0" w:color="auto"/>
              <w:right w:val="single" w:sz="4" w:space="0" w:color="auto"/>
            </w:tcBorders>
            <w:shd w:val="clear" w:color="auto" w:fill="auto"/>
            <w:hideMark/>
          </w:tcPr>
          <w:p w:rsidR="00BA4F81" w:rsidRPr="00BA4F81" w:rsidRDefault="00B54455" w:rsidP="00B54455">
            <w:pPr>
              <w:jc w:val="center"/>
              <w:rPr>
                <w:rFonts w:cs="Arial"/>
                <w:b/>
                <w:bCs/>
                <w:color w:val="000000"/>
              </w:rPr>
            </w:pPr>
            <w:r>
              <w:rPr>
                <w:rFonts w:cs="Arial"/>
                <w:b/>
                <w:bCs/>
                <w:color w:val="000000"/>
              </w:rPr>
              <w:t>9</w:t>
            </w:r>
            <w:r w:rsidR="00BA4F81" w:rsidRPr="00BA4F81">
              <w:rPr>
                <w:rFonts w:cs="Arial"/>
                <w:b/>
                <w:bCs/>
                <w:color w:val="000000"/>
              </w:rPr>
              <w:t>11</w:t>
            </w:r>
          </w:p>
        </w:tc>
      </w:tr>
      <w:bookmarkEnd w:id="0"/>
    </w:tbl>
    <w:p w:rsidR="001B3730" w:rsidRDefault="001B3730" w:rsidP="00AB76A8">
      <w:pPr>
        <w:rPr>
          <w:rFonts w:cs="Arial"/>
          <w:b/>
        </w:rPr>
      </w:pPr>
    </w:p>
    <w:p w:rsidR="001B3730" w:rsidRDefault="001B3730" w:rsidP="00CE138C">
      <w:pPr>
        <w:ind w:left="709" w:hanging="709"/>
        <w:rPr>
          <w:rFonts w:cs="Arial"/>
          <w:b/>
        </w:rPr>
      </w:pPr>
    </w:p>
    <w:p w:rsidR="00646317" w:rsidRDefault="00077CA6" w:rsidP="00646317">
      <w:pPr>
        <w:pStyle w:val="Default"/>
        <w:ind w:left="709" w:hanging="709"/>
        <w:rPr>
          <w:b/>
          <w:bCs/>
        </w:rPr>
      </w:pPr>
      <w:r w:rsidRPr="00077CA6">
        <w:rPr>
          <w:bCs/>
        </w:rPr>
        <w:t>2.2</w:t>
      </w:r>
      <w:r>
        <w:rPr>
          <w:b/>
          <w:bCs/>
        </w:rPr>
        <w:tab/>
      </w:r>
      <w:r w:rsidR="00646317" w:rsidRPr="00433B2F">
        <w:rPr>
          <w:b/>
          <w:bCs/>
        </w:rPr>
        <w:t xml:space="preserve">2 Year Old Funding </w:t>
      </w:r>
    </w:p>
    <w:p w:rsidR="00B54455" w:rsidRPr="009C5FF8" w:rsidRDefault="00646317" w:rsidP="009C5FF8">
      <w:pPr>
        <w:pStyle w:val="Default"/>
        <w:ind w:left="709" w:hanging="709"/>
        <w:rPr>
          <w:bCs/>
        </w:rPr>
      </w:pPr>
      <w:r>
        <w:rPr>
          <w:b/>
          <w:bCs/>
        </w:rPr>
        <w:t xml:space="preserve">           </w:t>
      </w:r>
      <w:r w:rsidR="00AB76A8" w:rsidRPr="00AB76A8">
        <w:rPr>
          <w:bCs/>
        </w:rPr>
        <w:t>The 2 Year Old</w:t>
      </w:r>
      <w:r w:rsidR="00AB76A8">
        <w:rPr>
          <w:b/>
          <w:bCs/>
        </w:rPr>
        <w:t xml:space="preserve"> </w:t>
      </w:r>
      <w:r w:rsidR="00077CA6">
        <w:rPr>
          <w:bCs/>
        </w:rPr>
        <w:t>funding is made up of b</w:t>
      </w:r>
      <w:r w:rsidRPr="00077CA6">
        <w:rPr>
          <w:bCs/>
        </w:rPr>
        <w:t xml:space="preserve">ase funding </w:t>
      </w:r>
      <w:r w:rsidR="00077CA6">
        <w:rPr>
          <w:bCs/>
        </w:rPr>
        <w:t xml:space="preserve">from DfE </w:t>
      </w:r>
      <w:r w:rsidRPr="00077CA6">
        <w:rPr>
          <w:bCs/>
        </w:rPr>
        <w:t>of £3,78</w:t>
      </w:r>
      <w:r w:rsidR="00077CA6">
        <w:rPr>
          <w:bCs/>
        </w:rPr>
        <w:t>2</w:t>
      </w:r>
      <w:r w:rsidRPr="00077CA6">
        <w:rPr>
          <w:bCs/>
        </w:rPr>
        <w:t>k and trajectory funding of £584k drawn down from DSG Reserve.</w:t>
      </w:r>
      <w:r w:rsidR="00AB76A8">
        <w:rPr>
          <w:bCs/>
        </w:rPr>
        <w:t xml:space="preserve"> The forecast spend is £3,766</w:t>
      </w:r>
      <w:r w:rsidR="00E3578D">
        <w:rPr>
          <w:bCs/>
        </w:rPr>
        <w:t xml:space="preserve"> and therefore the use of reserves originally planned will not be required.</w:t>
      </w:r>
    </w:p>
    <w:p w:rsidR="00B54455" w:rsidRDefault="00B54455" w:rsidP="00646317">
      <w:pPr>
        <w:pStyle w:val="Default"/>
      </w:pPr>
    </w:p>
    <w:p w:rsidR="00B54455" w:rsidRDefault="00B54455" w:rsidP="00646317">
      <w:pPr>
        <w:pStyle w:val="Default"/>
      </w:pPr>
    </w:p>
    <w:p w:rsidR="009C5FF8" w:rsidRDefault="009C5FF8" w:rsidP="00646317">
      <w:pPr>
        <w:pStyle w:val="Default"/>
      </w:pPr>
    </w:p>
    <w:p w:rsidR="009C5FF8" w:rsidRDefault="009C5FF8" w:rsidP="00646317">
      <w:pPr>
        <w:pStyle w:val="Default"/>
      </w:pPr>
    </w:p>
    <w:p w:rsidR="009C5FF8" w:rsidRPr="00433B2F" w:rsidRDefault="009C5FF8" w:rsidP="00646317">
      <w:pPr>
        <w:pStyle w:val="Default"/>
      </w:pPr>
    </w:p>
    <w:p w:rsidR="00646317" w:rsidRDefault="00077CA6" w:rsidP="00646317">
      <w:pPr>
        <w:pStyle w:val="Default"/>
        <w:ind w:left="709" w:hanging="709"/>
        <w:rPr>
          <w:b/>
          <w:bCs/>
        </w:rPr>
      </w:pPr>
      <w:r>
        <w:lastRenderedPageBreak/>
        <w:t>2.</w:t>
      </w:r>
      <w:r w:rsidR="00646317" w:rsidRPr="00433B2F">
        <w:t>3</w:t>
      </w:r>
      <w:r w:rsidR="00646317" w:rsidRPr="00433B2F">
        <w:tab/>
      </w:r>
      <w:r w:rsidR="00646317" w:rsidRPr="00433B2F">
        <w:rPr>
          <w:b/>
          <w:bCs/>
        </w:rPr>
        <w:t>Early Years block</w:t>
      </w:r>
    </w:p>
    <w:p w:rsidR="00646317" w:rsidRPr="007E1B40" w:rsidRDefault="00E3578D" w:rsidP="00646317">
      <w:pPr>
        <w:pStyle w:val="Default"/>
        <w:ind w:left="709"/>
      </w:pPr>
      <w:r>
        <w:rPr>
          <w:bCs/>
        </w:rPr>
        <w:t>The Early Years block has a budget of £12,182k and includes a contribution from reserves of £632k. The forecast spend is £12,276k which will require an additional  drawdown from reserves of £94k (£726k).</w:t>
      </w:r>
    </w:p>
    <w:p w:rsidR="00646317" w:rsidRPr="00433B2F" w:rsidRDefault="00646317" w:rsidP="00646317">
      <w:pPr>
        <w:pStyle w:val="Default"/>
        <w:ind w:left="709"/>
      </w:pPr>
    </w:p>
    <w:p w:rsidR="00396C4A" w:rsidRDefault="00077CA6" w:rsidP="00396C4A">
      <w:pPr>
        <w:pStyle w:val="Default"/>
        <w:ind w:left="709" w:hanging="709"/>
      </w:pPr>
      <w:r>
        <w:t>2</w:t>
      </w:r>
      <w:r w:rsidR="00646317" w:rsidRPr="00433B2F">
        <w:t>.4</w:t>
      </w:r>
      <w:r w:rsidR="00646317" w:rsidRPr="00433B2F">
        <w:tab/>
      </w:r>
      <w:r w:rsidR="00646317" w:rsidRPr="00433B2F">
        <w:rPr>
          <w:b/>
        </w:rPr>
        <w:t xml:space="preserve">High Needs Block </w:t>
      </w:r>
    </w:p>
    <w:p w:rsidR="001B3730" w:rsidRDefault="00646317" w:rsidP="00FC582B">
      <w:pPr>
        <w:pStyle w:val="Default"/>
        <w:ind w:left="709" w:hanging="709"/>
      </w:pPr>
      <w:r w:rsidRPr="00433B2F">
        <w:tab/>
      </w:r>
      <w:r w:rsidR="00396C4A">
        <w:t>The High Needs block budget of £28.138m includes the planned use of reserves amounting to £3.703m. The forecast drawdown from reserve is now expected to be £3.157m, a reduction of £546k.</w:t>
      </w:r>
      <w:r w:rsidRPr="00C144F9">
        <w:t xml:space="preserve"> </w:t>
      </w:r>
      <w:r w:rsidR="00FC582B">
        <w:t xml:space="preserve">The main reasons for the variance are </w:t>
      </w:r>
      <w:r w:rsidR="007731C3">
        <w:t xml:space="preserve">primarily due to an underspend at the Seabrooke Centre (£400k) due to vacancies. There is also an underspend  on non maintained fees (£227k) resulting from the review of high cost out of borough placements. Further underspends are reported in the Secondary Schools ARP provision (£406k) due to vacancies and an underspend </w:t>
      </w:r>
      <w:r w:rsidR="005317E1">
        <w:t xml:space="preserve">from </w:t>
      </w:r>
      <w:r w:rsidR="007731C3">
        <w:t xml:space="preserve">out of borough </w:t>
      </w:r>
      <w:r w:rsidR="005317E1">
        <w:t xml:space="preserve">schools not claiming their top ups (£207k). These pressures are managing an overspend at the Special School of £506k and an overspend on top up funding for schools with high needs children (£200k).  </w:t>
      </w:r>
      <w:r w:rsidR="007731C3">
        <w:t xml:space="preserve"> </w:t>
      </w:r>
    </w:p>
    <w:p w:rsidR="00FC582B" w:rsidRDefault="00FC582B" w:rsidP="00FC582B">
      <w:pPr>
        <w:pStyle w:val="Default"/>
        <w:ind w:left="709" w:hanging="709"/>
      </w:pPr>
    </w:p>
    <w:p w:rsidR="00646317" w:rsidRPr="00433B2F" w:rsidRDefault="001B2A73" w:rsidP="00646317">
      <w:pPr>
        <w:pStyle w:val="Default"/>
        <w:ind w:left="709" w:hanging="709"/>
        <w:rPr>
          <w:b/>
          <w:bCs/>
        </w:rPr>
      </w:pPr>
      <w:r>
        <w:t>2</w:t>
      </w:r>
      <w:r w:rsidR="00646317" w:rsidRPr="00433B2F">
        <w:t xml:space="preserve">.5 </w:t>
      </w:r>
      <w:r w:rsidR="00646317" w:rsidRPr="00433B2F">
        <w:tab/>
      </w:r>
      <w:r w:rsidR="00D07C11">
        <w:rPr>
          <w:b/>
          <w:bCs/>
        </w:rPr>
        <w:t>Schools block underspend</w:t>
      </w:r>
      <w:r w:rsidR="00646317" w:rsidRPr="00433B2F">
        <w:rPr>
          <w:b/>
          <w:bCs/>
        </w:rPr>
        <w:t xml:space="preserve"> </w:t>
      </w:r>
      <w:r w:rsidR="00BB3983">
        <w:rPr>
          <w:b/>
          <w:bCs/>
        </w:rPr>
        <w:t>(</w:t>
      </w:r>
      <w:r w:rsidR="00646317" w:rsidRPr="00433B2F">
        <w:rPr>
          <w:b/>
          <w:bCs/>
        </w:rPr>
        <w:t>£</w:t>
      </w:r>
      <w:r w:rsidR="00BB3983">
        <w:rPr>
          <w:b/>
          <w:bCs/>
        </w:rPr>
        <w:t>50</w:t>
      </w:r>
      <w:r w:rsidR="00646317" w:rsidRPr="00433B2F">
        <w:rPr>
          <w:b/>
          <w:bCs/>
        </w:rPr>
        <w:t>k</w:t>
      </w:r>
      <w:r w:rsidR="00BB3983">
        <w:rPr>
          <w:b/>
          <w:bCs/>
        </w:rPr>
        <w:t>)</w:t>
      </w:r>
    </w:p>
    <w:p w:rsidR="00977A3C" w:rsidRDefault="00977A3C" w:rsidP="00646317">
      <w:pPr>
        <w:pStyle w:val="Default"/>
        <w:ind w:left="709"/>
        <w:jc w:val="both"/>
        <w:rPr>
          <w:bCs/>
        </w:rPr>
      </w:pPr>
      <w:r>
        <w:rPr>
          <w:bCs/>
        </w:rPr>
        <w:t>Underspends on centrally retained and growth fund totalling (£130k).  Recoupment for academies less than funding model allocations in relation to NNDR (£337k).</w:t>
      </w:r>
    </w:p>
    <w:p w:rsidR="00977A3C" w:rsidRDefault="00977A3C" w:rsidP="00646317">
      <w:pPr>
        <w:pStyle w:val="Default"/>
        <w:ind w:left="709"/>
        <w:jc w:val="both"/>
        <w:rPr>
          <w:bCs/>
        </w:rPr>
      </w:pPr>
    </w:p>
    <w:p w:rsidR="00646317" w:rsidRPr="00433B2F" w:rsidRDefault="00646317" w:rsidP="00646317">
      <w:pPr>
        <w:pStyle w:val="Default"/>
        <w:ind w:left="709"/>
        <w:jc w:val="both"/>
      </w:pPr>
      <w:r>
        <w:rPr>
          <w:bCs/>
        </w:rPr>
        <w:t xml:space="preserve">Forecast overspend on </w:t>
      </w:r>
      <w:r w:rsidR="00D07C11">
        <w:rPr>
          <w:bCs/>
        </w:rPr>
        <w:t xml:space="preserve">de-delegated budgets of £417k relating to over-allocation of </w:t>
      </w:r>
      <w:r>
        <w:rPr>
          <w:bCs/>
        </w:rPr>
        <w:t xml:space="preserve">Schools Facing Financial </w:t>
      </w:r>
      <w:r w:rsidR="00D07C11">
        <w:rPr>
          <w:bCs/>
        </w:rPr>
        <w:t>Difficulties contingency £517</w:t>
      </w:r>
      <w:r>
        <w:rPr>
          <w:bCs/>
        </w:rPr>
        <w:t>k</w:t>
      </w:r>
      <w:r w:rsidR="00D07C11">
        <w:rPr>
          <w:bCs/>
        </w:rPr>
        <w:t>, partly</w:t>
      </w:r>
      <w:r>
        <w:rPr>
          <w:bCs/>
        </w:rPr>
        <w:t xml:space="preserve"> offset by</w:t>
      </w:r>
      <w:r w:rsidR="00D07C11">
        <w:rPr>
          <w:bCs/>
        </w:rPr>
        <w:t xml:space="preserve"> anticipated underspend on</w:t>
      </w:r>
      <w:r>
        <w:rPr>
          <w:bCs/>
        </w:rPr>
        <w:t xml:space="preserve"> </w:t>
      </w:r>
      <w:r w:rsidR="00D07C11">
        <w:rPr>
          <w:bCs/>
        </w:rPr>
        <w:t>Schools Specific Contingency (£100k).</w:t>
      </w:r>
    </w:p>
    <w:p w:rsidR="00646317" w:rsidRPr="00433B2F" w:rsidRDefault="00646317" w:rsidP="00646317">
      <w:pPr>
        <w:pStyle w:val="Default"/>
      </w:pPr>
    </w:p>
    <w:p w:rsidR="00646317" w:rsidRPr="00433B2F" w:rsidRDefault="00646317" w:rsidP="001B2A73">
      <w:pPr>
        <w:pStyle w:val="Default"/>
        <w:ind w:left="426"/>
      </w:pPr>
      <w:r>
        <w:rPr>
          <w:b/>
          <w:bCs/>
        </w:rPr>
        <w:t>Total DSG budget for 2015/16</w:t>
      </w:r>
      <w:r w:rsidRPr="00433B2F">
        <w:rPr>
          <w:b/>
          <w:bCs/>
        </w:rPr>
        <w:t xml:space="preserve"> £2</w:t>
      </w:r>
      <w:r>
        <w:rPr>
          <w:b/>
          <w:bCs/>
        </w:rPr>
        <w:t>35.578m</w:t>
      </w:r>
      <w:r w:rsidRPr="00433B2F">
        <w:rPr>
          <w:b/>
          <w:bCs/>
        </w:rPr>
        <w:t xml:space="preserve"> </w:t>
      </w:r>
    </w:p>
    <w:p w:rsidR="00646317" w:rsidRPr="00433B2F" w:rsidRDefault="00646317" w:rsidP="00646317">
      <w:pPr>
        <w:pStyle w:val="Default"/>
        <w:ind w:left="709"/>
      </w:pPr>
      <w:r>
        <w:t>The budget includes £3.467m use of 2014-15 carry forward balances.</w:t>
      </w:r>
    </w:p>
    <w:p w:rsidR="000848A2" w:rsidRDefault="000848A2" w:rsidP="00CE138C">
      <w:pPr>
        <w:ind w:left="709" w:hanging="709"/>
        <w:rPr>
          <w:rFonts w:cs="Arial"/>
          <w:b/>
        </w:rPr>
      </w:pPr>
    </w:p>
    <w:p w:rsidR="002201F0" w:rsidRPr="0083339D" w:rsidRDefault="0083339D" w:rsidP="00215957">
      <w:pPr>
        <w:ind w:left="709" w:hanging="709"/>
        <w:rPr>
          <w:rFonts w:cs="Arial"/>
          <w:b/>
          <w:u w:val="single"/>
        </w:rPr>
      </w:pPr>
      <w:r>
        <w:rPr>
          <w:rFonts w:cs="Arial"/>
          <w:b/>
        </w:rPr>
        <w:t>3</w:t>
      </w:r>
      <w:r w:rsidR="00CE138C">
        <w:rPr>
          <w:rFonts w:cs="Arial"/>
          <w:b/>
        </w:rPr>
        <w:tab/>
      </w:r>
      <w:r w:rsidR="00ED6C78" w:rsidRPr="0083339D">
        <w:rPr>
          <w:rFonts w:cs="Arial"/>
          <w:b/>
          <w:u w:val="single"/>
        </w:rPr>
        <w:t>School</w:t>
      </w:r>
      <w:r w:rsidR="00D46349">
        <w:rPr>
          <w:rFonts w:cs="Arial"/>
          <w:b/>
          <w:u w:val="single"/>
        </w:rPr>
        <w:t>s Facing</w:t>
      </w:r>
      <w:r w:rsidR="00ED6C78" w:rsidRPr="0083339D">
        <w:rPr>
          <w:rFonts w:cs="Arial"/>
          <w:b/>
          <w:u w:val="single"/>
        </w:rPr>
        <w:t xml:space="preserve"> F</w:t>
      </w:r>
      <w:r w:rsidR="00D46349">
        <w:rPr>
          <w:rFonts w:cs="Arial"/>
          <w:b/>
          <w:u w:val="single"/>
        </w:rPr>
        <w:t>i</w:t>
      </w:r>
      <w:r w:rsidR="00ED6C78" w:rsidRPr="0083339D">
        <w:rPr>
          <w:rFonts w:cs="Arial"/>
          <w:b/>
          <w:u w:val="single"/>
        </w:rPr>
        <w:t>n</w:t>
      </w:r>
      <w:r w:rsidR="00D46349">
        <w:rPr>
          <w:rFonts w:cs="Arial"/>
          <w:b/>
          <w:u w:val="single"/>
        </w:rPr>
        <w:t>ancial Difficulty Contingency</w:t>
      </w:r>
    </w:p>
    <w:p w:rsidR="00C6714F" w:rsidRDefault="00C6714F" w:rsidP="00C6714F">
      <w:pPr>
        <w:ind w:left="709" w:hanging="709"/>
        <w:rPr>
          <w:rFonts w:cs="Arial"/>
        </w:rPr>
      </w:pPr>
    </w:p>
    <w:p w:rsidR="00580B63" w:rsidRDefault="00D46349" w:rsidP="008F6682">
      <w:pPr>
        <w:ind w:left="709" w:hanging="709"/>
        <w:jc w:val="both"/>
        <w:rPr>
          <w:rFonts w:cs="Arial"/>
        </w:rPr>
      </w:pPr>
      <w:r>
        <w:rPr>
          <w:rFonts w:cs="Arial"/>
        </w:rPr>
        <w:t>3.1</w:t>
      </w:r>
      <w:r w:rsidR="00C6714F">
        <w:rPr>
          <w:rFonts w:cs="Arial"/>
        </w:rPr>
        <w:tab/>
      </w:r>
      <w:r>
        <w:rPr>
          <w:rFonts w:cs="Arial"/>
        </w:rPr>
        <w:t>No formal requests have been made.</w:t>
      </w:r>
      <w:r w:rsidR="001B3730">
        <w:rPr>
          <w:rFonts w:cs="Arial"/>
        </w:rPr>
        <w:t xml:space="preserve"> Appendix </w:t>
      </w:r>
      <w:r w:rsidR="00AE183C">
        <w:rPr>
          <w:rFonts w:cs="Arial"/>
        </w:rPr>
        <w:t>A</w:t>
      </w:r>
      <w:r w:rsidR="001B3730">
        <w:rPr>
          <w:rFonts w:cs="Arial"/>
        </w:rPr>
        <w:t xml:space="preserve"> provides the </w:t>
      </w:r>
      <w:r w:rsidR="008F6682">
        <w:rPr>
          <w:rFonts w:cs="Arial"/>
        </w:rPr>
        <w:t>support provided and repayments made.</w:t>
      </w:r>
    </w:p>
    <w:p w:rsidR="008F6682" w:rsidRPr="008F6682" w:rsidRDefault="008F6682" w:rsidP="008F6682">
      <w:pPr>
        <w:ind w:left="709" w:hanging="709"/>
        <w:jc w:val="both"/>
        <w:rPr>
          <w:rFonts w:cs="Arial"/>
        </w:rPr>
      </w:pPr>
    </w:p>
    <w:p w:rsidR="00B30572" w:rsidRDefault="008F6682" w:rsidP="00282990">
      <w:pPr>
        <w:ind w:left="720" w:hanging="720"/>
      </w:pPr>
      <w:r>
        <w:t>3.2</w:t>
      </w:r>
      <w:r>
        <w:tab/>
      </w:r>
      <w:r w:rsidR="00B30572">
        <w:t>The 201</w:t>
      </w:r>
      <w:r>
        <w:t>5</w:t>
      </w:r>
      <w:r w:rsidR="00B30572">
        <w:t>/1</w:t>
      </w:r>
      <w:r>
        <w:t>6</w:t>
      </w:r>
      <w:r w:rsidR="00760923">
        <w:t xml:space="preserve"> in-year</w:t>
      </w:r>
      <w:r w:rsidR="00672D19">
        <w:t xml:space="preserve"> de-delegated position</w:t>
      </w:r>
      <w:r w:rsidR="00B30572">
        <w:t xml:space="preserve"> is</w:t>
      </w:r>
      <w:r w:rsidR="00760923">
        <w:t xml:space="preserve"> a</w:t>
      </w:r>
      <w:r w:rsidR="00B30572">
        <w:t xml:space="preserve"> £</w:t>
      </w:r>
      <w:r w:rsidR="00672D19">
        <w:t>517</w:t>
      </w:r>
      <w:r w:rsidR="005317E1">
        <w:t>k</w:t>
      </w:r>
      <w:r>
        <w:t xml:space="preserve"> deficit</w:t>
      </w:r>
      <w:r w:rsidR="00672D19">
        <w:t xml:space="preserve"> – taking into account the </w:t>
      </w:r>
      <w:r w:rsidR="00F47565">
        <w:t>14/15 brought</w:t>
      </w:r>
      <w:r w:rsidR="005D61A0">
        <w:t xml:space="preserve"> forward balance of </w:t>
      </w:r>
      <w:r w:rsidR="00760923">
        <w:t>£69k the overall position on the contingency will be a deficit of £448k.</w:t>
      </w:r>
    </w:p>
    <w:p w:rsidR="00B30572" w:rsidRDefault="00B30572" w:rsidP="002522E2"/>
    <w:p w:rsidR="002E2C4E" w:rsidRPr="00F740B1" w:rsidRDefault="00F740B1" w:rsidP="00F740B1">
      <w:pPr>
        <w:rPr>
          <w:b/>
        </w:rPr>
      </w:pPr>
      <w:r w:rsidRPr="00F740B1">
        <w:rPr>
          <w:b/>
        </w:rPr>
        <w:t>4</w:t>
      </w:r>
      <w:r w:rsidR="00610512" w:rsidRPr="00F740B1">
        <w:rPr>
          <w:b/>
        </w:rPr>
        <w:t xml:space="preserve">   </w:t>
      </w:r>
      <w:r w:rsidR="00610512" w:rsidRPr="00F740B1">
        <w:rPr>
          <w:b/>
        </w:rPr>
        <w:tab/>
        <w:t xml:space="preserve">De-delegated Services </w:t>
      </w:r>
    </w:p>
    <w:p w:rsidR="008F6682" w:rsidRDefault="008F6682" w:rsidP="008F6682"/>
    <w:p w:rsidR="00040944" w:rsidRDefault="00F740B1" w:rsidP="00282990">
      <w:pPr>
        <w:ind w:left="720" w:hanging="720"/>
      </w:pPr>
      <w:r>
        <w:t>4.1</w:t>
      </w:r>
      <w:r>
        <w:tab/>
        <w:t>Schools Forum requested detail on Schools specific contingency budget and planned expenditure for 2016/17</w:t>
      </w:r>
      <w:r w:rsidR="00040944">
        <w:t>. There have been no calls on this continge</w:t>
      </w:r>
      <w:r w:rsidR="00425046">
        <w:t xml:space="preserve">ncy to date for </w:t>
      </w:r>
      <w:r w:rsidR="00040944">
        <w:t>2015/16.</w:t>
      </w:r>
      <w:r w:rsidR="00425046">
        <w:t xml:space="preserve"> Requests against this contingency are mainly for NNDR support. The final position will be reported at the June Forum meeting.</w:t>
      </w:r>
    </w:p>
    <w:p w:rsidR="00F740B1" w:rsidRDefault="00F740B1" w:rsidP="008F6682"/>
    <w:p w:rsidR="008F6682" w:rsidRDefault="00F740B1" w:rsidP="00282990">
      <w:pPr>
        <w:ind w:left="720" w:hanging="720"/>
      </w:pPr>
      <w:r>
        <w:t>4.2</w:t>
      </w:r>
      <w:r>
        <w:tab/>
        <w:t xml:space="preserve">Schools Forum requested the impact of savings at </w:t>
      </w:r>
      <w:r w:rsidR="008F6682">
        <w:t>5%, 7% and 12%</w:t>
      </w:r>
      <w:r w:rsidRPr="00F740B1">
        <w:t xml:space="preserve"> </w:t>
      </w:r>
      <w:r>
        <w:t>fo</w:t>
      </w:r>
      <w:r w:rsidR="00ED46A8">
        <w:t xml:space="preserve">r supporting Trade Union duties and is presented in Table </w:t>
      </w:r>
      <w:r w:rsidR="00AE183C">
        <w:t>3</w:t>
      </w:r>
      <w:r w:rsidR="00ED46A8">
        <w:t xml:space="preserve"> below.</w:t>
      </w:r>
    </w:p>
    <w:p w:rsidR="00AE183C" w:rsidRDefault="00AE183C" w:rsidP="008F6682"/>
    <w:p w:rsidR="00B54455" w:rsidRDefault="00B54455" w:rsidP="008F6682"/>
    <w:p w:rsidR="00B54455" w:rsidRDefault="00B54455" w:rsidP="008F6682"/>
    <w:p w:rsidR="00B54455" w:rsidRDefault="00B54455" w:rsidP="008F6682"/>
    <w:p w:rsidR="00B54455" w:rsidRDefault="00B54455" w:rsidP="008F6682"/>
    <w:p w:rsidR="00B54455" w:rsidRDefault="00B54455" w:rsidP="008F6682"/>
    <w:p w:rsidR="00F740B1" w:rsidRDefault="00AE183C" w:rsidP="008F6682">
      <w:r>
        <w:rPr>
          <w:rFonts w:cs="Arial"/>
          <w:b/>
        </w:rPr>
        <w:lastRenderedPageBreak/>
        <w:t>Table 3 –</w:t>
      </w:r>
      <w:r w:rsidR="00DC1497">
        <w:rPr>
          <w:rFonts w:cs="Arial"/>
          <w:b/>
        </w:rPr>
        <w:t xml:space="preserve"> Trade Union Support -</w:t>
      </w:r>
      <w:r>
        <w:rPr>
          <w:rFonts w:cs="Arial"/>
          <w:b/>
        </w:rPr>
        <w:t xml:space="preserve"> Impact of Savings</w:t>
      </w:r>
    </w:p>
    <w:tbl>
      <w:tblPr>
        <w:tblW w:w="7940" w:type="dxa"/>
        <w:tblInd w:w="93" w:type="dxa"/>
        <w:tblLook w:val="04A0"/>
      </w:tblPr>
      <w:tblGrid>
        <w:gridCol w:w="4040"/>
        <w:gridCol w:w="1420"/>
        <w:gridCol w:w="1280"/>
        <w:gridCol w:w="1200"/>
      </w:tblGrid>
      <w:tr w:rsidR="00ED46A8" w:rsidRPr="00ED46A8" w:rsidTr="00ED46A8">
        <w:trPr>
          <w:trHeight w:val="315"/>
        </w:trPr>
        <w:tc>
          <w:tcPr>
            <w:tcW w:w="4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6A8" w:rsidRPr="00ED46A8" w:rsidRDefault="00ED46A8" w:rsidP="00ED46A8">
            <w:pPr>
              <w:rPr>
                <w:rFonts w:cs="Arial"/>
                <w:b/>
                <w:bCs/>
                <w:color w:val="000000"/>
              </w:rPr>
            </w:pPr>
            <w:r w:rsidRPr="00ED46A8">
              <w:rPr>
                <w:rFonts w:cs="Arial"/>
                <w:b/>
                <w:bCs/>
                <w:color w:val="000000"/>
              </w:rPr>
              <w:t>Support for Trade Union Duties</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D46A8" w:rsidRPr="00ED46A8" w:rsidRDefault="00ED46A8" w:rsidP="00ED46A8">
            <w:pPr>
              <w:rPr>
                <w:rFonts w:cs="Arial"/>
                <w:b/>
                <w:bCs/>
                <w:color w:val="000000"/>
              </w:rPr>
            </w:pPr>
            <w:r w:rsidRPr="00ED46A8">
              <w:rPr>
                <w:rFonts w:cs="Arial"/>
                <w:b/>
                <w:bCs/>
                <w:color w:val="000000"/>
              </w:rPr>
              <w:t>£ Per Pupil</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ED46A8" w:rsidRPr="00ED46A8" w:rsidRDefault="00ED46A8" w:rsidP="00ED46A8">
            <w:pPr>
              <w:rPr>
                <w:rFonts w:cs="Arial"/>
                <w:b/>
                <w:bCs/>
                <w:color w:val="000000"/>
              </w:rPr>
            </w:pPr>
            <w:r w:rsidRPr="00ED46A8">
              <w:rPr>
                <w:rFonts w:cs="Arial"/>
                <w:b/>
                <w:bCs/>
                <w:color w:val="000000"/>
              </w:rPr>
              <w:t>Total</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ED46A8" w:rsidRPr="00ED46A8" w:rsidRDefault="00ED46A8" w:rsidP="00ED46A8">
            <w:pPr>
              <w:rPr>
                <w:rFonts w:cs="Arial"/>
                <w:b/>
                <w:bCs/>
                <w:color w:val="000000"/>
              </w:rPr>
            </w:pPr>
            <w:r w:rsidRPr="00ED46A8">
              <w:rPr>
                <w:rFonts w:cs="Arial"/>
                <w:b/>
                <w:bCs/>
                <w:color w:val="000000"/>
              </w:rPr>
              <w:t>Saving</w:t>
            </w:r>
          </w:p>
        </w:tc>
      </w:tr>
      <w:tr w:rsidR="00ED46A8" w:rsidRPr="00ED46A8" w:rsidTr="00ED46A8">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rsidR="00ED46A8" w:rsidRPr="00ED46A8" w:rsidRDefault="00ED46A8" w:rsidP="00ED46A8">
            <w:pPr>
              <w:rPr>
                <w:rFonts w:cs="Arial"/>
                <w:color w:val="000000"/>
              </w:rPr>
            </w:pPr>
            <w:r w:rsidRPr="00ED46A8">
              <w:rPr>
                <w:rFonts w:cs="Arial"/>
                <w:color w:val="000000"/>
              </w:rPr>
              <w:t>2016/17 Presented at Forum</w:t>
            </w:r>
          </w:p>
        </w:tc>
        <w:tc>
          <w:tcPr>
            <w:tcW w:w="1420" w:type="dxa"/>
            <w:tcBorders>
              <w:top w:val="nil"/>
              <w:left w:val="nil"/>
              <w:bottom w:val="single" w:sz="4" w:space="0" w:color="auto"/>
              <w:right w:val="single" w:sz="4" w:space="0" w:color="auto"/>
            </w:tcBorders>
            <w:shd w:val="clear" w:color="auto" w:fill="auto"/>
            <w:noWrap/>
            <w:vAlign w:val="bottom"/>
            <w:hideMark/>
          </w:tcPr>
          <w:p w:rsidR="00ED46A8" w:rsidRPr="00ED46A8" w:rsidRDefault="00ED46A8" w:rsidP="00ED46A8">
            <w:pPr>
              <w:jc w:val="right"/>
              <w:rPr>
                <w:rFonts w:cs="Arial"/>
                <w:color w:val="000000"/>
              </w:rPr>
            </w:pPr>
            <w:r w:rsidRPr="00ED46A8">
              <w:rPr>
                <w:rFonts w:cs="Arial"/>
                <w:color w:val="000000"/>
              </w:rPr>
              <w:t>8.55</w:t>
            </w:r>
          </w:p>
        </w:tc>
        <w:tc>
          <w:tcPr>
            <w:tcW w:w="1280" w:type="dxa"/>
            <w:tcBorders>
              <w:top w:val="nil"/>
              <w:left w:val="nil"/>
              <w:bottom w:val="single" w:sz="4" w:space="0" w:color="auto"/>
              <w:right w:val="single" w:sz="4" w:space="0" w:color="auto"/>
            </w:tcBorders>
            <w:shd w:val="clear" w:color="auto" w:fill="auto"/>
            <w:noWrap/>
            <w:vAlign w:val="bottom"/>
            <w:hideMark/>
          </w:tcPr>
          <w:p w:rsidR="00ED46A8" w:rsidRPr="00ED46A8" w:rsidRDefault="00ED46A8" w:rsidP="00ED46A8">
            <w:pPr>
              <w:jc w:val="right"/>
              <w:rPr>
                <w:rFonts w:cs="Arial"/>
                <w:color w:val="000000"/>
              </w:rPr>
            </w:pPr>
            <w:r w:rsidRPr="00ED46A8">
              <w:rPr>
                <w:rFonts w:cs="Arial"/>
                <w:color w:val="000000"/>
              </w:rPr>
              <w:t xml:space="preserve">268,402 </w:t>
            </w:r>
          </w:p>
        </w:tc>
        <w:tc>
          <w:tcPr>
            <w:tcW w:w="1200" w:type="dxa"/>
            <w:tcBorders>
              <w:top w:val="nil"/>
              <w:left w:val="nil"/>
              <w:bottom w:val="single" w:sz="4" w:space="0" w:color="auto"/>
              <w:right w:val="single" w:sz="4" w:space="0" w:color="auto"/>
            </w:tcBorders>
            <w:shd w:val="clear" w:color="auto" w:fill="auto"/>
            <w:noWrap/>
            <w:vAlign w:val="bottom"/>
            <w:hideMark/>
          </w:tcPr>
          <w:p w:rsidR="00ED46A8" w:rsidRPr="00ED46A8" w:rsidRDefault="00ED46A8" w:rsidP="00ED46A8">
            <w:pPr>
              <w:rPr>
                <w:rFonts w:cs="Arial"/>
                <w:color w:val="000000"/>
              </w:rPr>
            </w:pPr>
            <w:r w:rsidRPr="00ED46A8">
              <w:rPr>
                <w:rFonts w:cs="Arial"/>
                <w:color w:val="000000"/>
              </w:rPr>
              <w:t> </w:t>
            </w:r>
          </w:p>
        </w:tc>
      </w:tr>
      <w:tr w:rsidR="00ED46A8" w:rsidRPr="00ED46A8" w:rsidTr="00ED46A8">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rsidR="00ED46A8" w:rsidRPr="00ED46A8" w:rsidRDefault="00ED46A8" w:rsidP="00ED46A8">
            <w:pPr>
              <w:rPr>
                <w:rFonts w:cs="Arial"/>
                <w:color w:val="000000"/>
              </w:rPr>
            </w:pPr>
            <w:r w:rsidRPr="00ED46A8">
              <w:rPr>
                <w:rFonts w:cs="Arial"/>
                <w:color w:val="000000"/>
              </w:rPr>
              <w:t>Impact of 5% savings</w:t>
            </w:r>
          </w:p>
        </w:tc>
        <w:tc>
          <w:tcPr>
            <w:tcW w:w="1420" w:type="dxa"/>
            <w:tcBorders>
              <w:top w:val="nil"/>
              <w:left w:val="nil"/>
              <w:bottom w:val="single" w:sz="4" w:space="0" w:color="auto"/>
              <w:right w:val="single" w:sz="4" w:space="0" w:color="auto"/>
            </w:tcBorders>
            <w:shd w:val="clear" w:color="auto" w:fill="auto"/>
            <w:noWrap/>
            <w:vAlign w:val="bottom"/>
            <w:hideMark/>
          </w:tcPr>
          <w:p w:rsidR="00ED46A8" w:rsidRPr="00ED46A8" w:rsidRDefault="00ED46A8" w:rsidP="00ED46A8">
            <w:pPr>
              <w:jc w:val="right"/>
              <w:rPr>
                <w:rFonts w:cs="Arial"/>
                <w:color w:val="000000"/>
              </w:rPr>
            </w:pPr>
            <w:r w:rsidRPr="00ED46A8">
              <w:rPr>
                <w:rFonts w:cs="Arial"/>
                <w:color w:val="000000"/>
              </w:rPr>
              <w:t>8.12</w:t>
            </w:r>
          </w:p>
        </w:tc>
        <w:tc>
          <w:tcPr>
            <w:tcW w:w="1280" w:type="dxa"/>
            <w:tcBorders>
              <w:top w:val="nil"/>
              <w:left w:val="nil"/>
              <w:bottom w:val="single" w:sz="4" w:space="0" w:color="auto"/>
              <w:right w:val="single" w:sz="4" w:space="0" w:color="auto"/>
            </w:tcBorders>
            <w:shd w:val="clear" w:color="auto" w:fill="auto"/>
            <w:noWrap/>
            <w:vAlign w:val="bottom"/>
            <w:hideMark/>
          </w:tcPr>
          <w:p w:rsidR="00ED46A8" w:rsidRPr="00ED46A8" w:rsidRDefault="00ED46A8" w:rsidP="00ED46A8">
            <w:pPr>
              <w:jc w:val="right"/>
              <w:rPr>
                <w:rFonts w:cs="Arial"/>
                <w:color w:val="000000"/>
              </w:rPr>
            </w:pPr>
            <w:r w:rsidRPr="00ED46A8">
              <w:rPr>
                <w:rFonts w:cs="Arial"/>
                <w:color w:val="000000"/>
              </w:rPr>
              <w:t xml:space="preserve">254,982 </w:t>
            </w:r>
          </w:p>
        </w:tc>
        <w:tc>
          <w:tcPr>
            <w:tcW w:w="1200" w:type="dxa"/>
            <w:tcBorders>
              <w:top w:val="nil"/>
              <w:left w:val="nil"/>
              <w:bottom w:val="single" w:sz="4" w:space="0" w:color="auto"/>
              <w:right w:val="single" w:sz="4" w:space="0" w:color="auto"/>
            </w:tcBorders>
            <w:shd w:val="clear" w:color="auto" w:fill="auto"/>
            <w:noWrap/>
            <w:vAlign w:val="bottom"/>
            <w:hideMark/>
          </w:tcPr>
          <w:p w:rsidR="00ED46A8" w:rsidRPr="00ED46A8" w:rsidRDefault="00ED46A8" w:rsidP="00ED46A8">
            <w:pPr>
              <w:jc w:val="right"/>
              <w:rPr>
                <w:rFonts w:cs="Arial"/>
                <w:color w:val="000000"/>
              </w:rPr>
            </w:pPr>
            <w:r w:rsidRPr="00ED46A8">
              <w:rPr>
                <w:rFonts w:cs="Arial"/>
                <w:color w:val="FF0000"/>
              </w:rPr>
              <w:t xml:space="preserve">-13,420 </w:t>
            </w:r>
          </w:p>
        </w:tc>
      </w:tr>
      <w:tr w:rsidR="00ED46A8" w:rsidRPr="00ED46A8" w:rsidTr="00ED46A8">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rsidR="00ED46A8" w:rsidRPr="00ED46A8" w:rsidRDefault="00ED46A8" w:rsidP="00ED46A8">
            <w:pPr>
              <w:rPr>
                <w:rFonts w:cs="Arial"/>
                <w:color w:val="000000"/>
              </w:rPr>
            </w:pPr>
            <w:r w:rsidRPr="00ED46A8">
              <w:rPr>
                <w:rFonts w:cs="Arial"/>
                <w:color w:val="000000"/>
              </w:rPr>
              <w:t>Impact of 7% savings</w:t>
            </w:r>
          </w:p>
        </w:tc>
        <w:tc>
          <w:tcPr>
            <w:tcW w:w="1420" w:type="dxa"/>
            <w:tcBorders>
              <w:top w:val="nil"/>
              <w:left w:val="nil"/>
              <w:bottom w:val="single" w:sz="4" w:space="0" w:color="auto"/>
              <w:right w:val="single" w:sz="4" w:space="0" w:color="auto"/>
            </w:tcBorders>
            <w:shd w:val="clear" w:color="auto" w:fill="auto"/>
            <w:noWrap/>
            <w:vAlign w:val="bottom"/>
            <w:hideMark/>
          </w:tcPr>
          <w:p w:rsidR="00ED46A8" w:rsidRPr="00ED46A8" w:rsidRDefault="00ED46A8" w:rsidP="00ED46A8">
            <w:pPr>
              <w:jc w:val="right"/>
              <w:rPr>
                <w:rFonts w:cs="Arial"/>
                <w:color w:val="000000"/>
              </w:rPr>
            </w:pPr>
            <w:r w:rsidRPr="00ED46A8">
              <w:rPr>
                <w:rFonts w:cs="Arial"/>
                <w:color w:val="000000"/>
              </w:rPr>
              <w:t>7.95</w:t>
            </w:r>
          </w:p>
        </w:tc>
        <w:tc>
          <w:tcPr>
            <w:tcW w:w="1280" w:type="dxa"/>
            <w:tcBorders>
              <w:top w:val="nil"/>
              <w:left w:val="nil"/>
              <w:bottom w:val="single" w:sz="4" w:space="0" w:color="auto"/>
              <w:right w:val="single" w:sz="4" w:space="0" w:color="auto"/>
            </w:tcBorders>
            <w:shd w:val="clear" w:color="auto" w:fill="auto"/>
            <w:noWrap/>
            <w:vAlign w:val="bottom"/>
            <w:hideMark/>
          </w:tcPr>
          <w:p w:rsidR="00ED46A8" w:rsidRPr="00ED46A8" w:rsidRDefault="00ED46A8" w:rsidP="00ED46A8">
            <w:pPr>
              <w:jc w:val="right"/>
              <w:rPr>
                <w:rFonts w:cs="Arial"/>
                <w:color w:val="000000"/>
              </w:rPr>
            </w:pPr>
            <w:r w:rsidRPr="00ED46A8">
              <w:rPr>
                <w:rFonts w:cs="Arial"/>
                <w:color w:val="000000"/>
              </w:rPr>
              <w:t xml:space="preserve">249,614 </w:t>
            </w:r>
          </w:p>
        </w:tc>
        <w:tc>
          <w:tcPr>
            <w:tcW w:w="1200" w:type="dxa"/>
            <w:tcBorders>
              <w:top w:val="nil"/>
              <w:left w:val="nil"/>
              <w:bottom w:val="single" w:sz="4" w:space="0" w:color="auto"/>
              <w:right w:val="single" w:sz="4" w:space="0" w:color="auto"/>
            </w:tcBorders>
            <w:shd w:val="clear" w:color="auto" w:fill="auto"/>
            <w:noWrap/>
            <w:vAlign w:val="bottom"/>
            <w:hideMark/>
          </w:tcPr>
          <w:p w:rsidR="00ED46A8" w:rsidRPr="00ED46A8" w:rsidRDefault="00ED46A8" w:rsidP="00ED46A8">
            <w:pPr>
              <w:jc w:val="right"/>
              <w:rPr>
                <w:rFonts w:cs="Arial"/>
                <w:color w:val="000000"/>
              </w:rPr>
            </w:pPr>
            <w:r w:rsidRPr="00ED46A8">
              <w:rPr>
                <w:rFonts w:cs="Arial"/>
                <w:color w:val="FF0000"/>
              </w:rPr>
              <w:t xml:space="preserve">-18,788 </w:t>
            </w:r>
          </w:p>
        </w:tc>
      </w:tr>
      <w:tr w:rsidR="00ED46A8" w:rsidRPr="00ED46A8" w:rsidTr="00ED46A8">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rsidR="00ED46A8" w:rsidRPr="00ED46A8" w:rsidRDefault="00ED46A8" w:rsidP="00ED46A8">
            <w:pPr>
              <w:rPr>
                <w:rFonts w:cs="Arial"/>
                <w:color w:val="000000"/>
              </w:rPr>
            </w:pPr>
            <w:r w:rsidRPr="00ED46A8">
              <w:rPr>
                <w:rFonts w:cs="Arial"/>
                <w:color w:val="000000"/>
              </w:rPr>
              <w:t>Impact of 12% savings</w:t>
            </w:r>
          </w:p>
        </w:tc>
        <w:tc>
          <w:tcPr>
            <w:tcW w:w="1420" w:type="dxa"/>
            <w:tcBorders>
              <w:top w:val="nil"/>
              <w:left w:val="nil"/>
              <w:bottom w:val="single" w:sz="4" w:space="0" w:color="auto"/>
              <w:right w:val="single" w:sz="4" w:space="0" w:color="auto"/>
            </w:tcBorders>
            <w:shd w:val="clear" w:color="auto" w:fill="auto"/>
            <w:noWrap/>
            <w:vAlign w:val="bottom"/>
            <w:hideMark/>
          </w:tcPr>
          <w:p w:rsidR="00ED46A8" w:rsidRPr="00ED46A8" w:rsidRDefault="00ED46A8" w:rsidP="00ED46A8">
            <w:pPr>
              <w:jc w:val="right"/>
              <w:rPr>
                <w:rFonts w:cs="Arial"/>
                <w:color w:val="000000"/>
              </w:rPr>
            </w:pPr>
            <w:r w:rsidRPr="00ED46A8">
              <w:rPr>
                <w:rFonts w:cs="Arial"/>
                <w:color w:val="000000"/>
              </w:rPr>
              <w:t>7.15</w:t>
            </w:r>
          </w:p>
        </w:tc>
        <w:tc>
          <w:tcPr>
            <w:tcW w:w="1280" w:type="dxa"/>
            <w:tcBorders>
              <w:top w:val="nil"/>
              <w:left w:val="nil"/>
              <w:bottom w:val="single" w:sz="4" w:space="0" w:color="auto"/>
              <w:right w:val="single" w:sz="4" w:space="0" w:color="auto"/>
            </w:tcBorders>
            <w:shd w:val="clear" w:color="auto" w:fill="auto"/>
            <w:noWrap/>
            <w:vAlign w:val="bottom"/>
            <w:hideMark/>
          </w:tcPr>
          <w:p w:rsidR="00ED46A8" w:rsidRPr="00ED46A8" w:rsidRDefault="00ED46A8" w:rsidP="00ED46A8">
            <w:pPr>
              <w:jc w:val="right"/>
              <w:rPr>
                <w:rFonts w:cs="Arial"/>
                <w:color w:val="000000"/>
              </w:rPr>
            </w:pPr>
            <w:r w:rsidRPr="00ED46A8">
              <w:rPr>
                <w:rFonts w:cs="Arial"/>
                <w:color w:val="000000"/>
              </w:rPr>
              <w:t xml:space="preserve">224,384 </w:t>
            </w:r>
          </w:p>
        </w:tc>
        <w:tc>
          <w:tcPr>
            <w:tcW w:w="1200" w:type="dxa"/>
            <w:tcBorders>
              <w:top w:val="nil"/>
              <w:left w:val="nil"/>
              <w:bottom w:val="single" w:sz="4" w:space="0" w:color="auto"/>
              <w:right w:val="single" w:sz="4" w:space="0" w:color="auto"/>
            </w:tcBorders>
            <w:shd w:val="clear" w:color="auto" w:fill="auto"/>
            <w:noWrap/>
            <w:vAlign w:val="bottom"/>
            <w:hideMark/>
          </w:tcPr>
          <w:p w:rsidR="00ED46A8" w:rsidRPr="00ED46A8" w:rsidRDefault="00ED46A8" w:rsidP="00ED46A8">
            <w:pPr>
              <w:jc w:val="right"/>
              <w:rPr>
                <w:rFonts w:cs="Arial"/>
                <w:color w:val="000000"/>
              </w:rPr>
            </w:pPr>
            <w:r w:rsidRPr="00ED46A8">
              <w:rPr>
                <w:rFonts w:cs="Arial"/>
                <w:color w:val="FF0000"/>
              </w:rPr>
              <w:t xml:space="preserve">-44,018 </w:t>
            </w:r>
          </w:p>
        </w:tc>
      </w:tr>
    </w:tbl>
    <w:p w:rsidR="00F740B1" w:rsidRDefault="00F740B1" w:rsidP="008F6682"/>
    <w:p w:rsidR="00610512" w:rsidRDefault="00610512" w:rsidP="00610512">
      <w:pPr>
        <w:ind w:firstLine="720"/>
      </w:pPr>
    </w:p>
    <w:p w:rsidR="004779AE" w:rsidRPr="00AC7F9A" w:rsidRDefault="00DC1497" w:rsidP="002522E2">
      <w:pPr>
        <w:rPr>
          <w:u w:val="single"/>
        </w:rPr>
      </w:pPr>
      <w:r>
        <w:rPr>
          <w:b/>
        </w:rPr>
        <w:t>5</w:t>
      </w:r>
      <w:r w:rsidR="00AC7F9A" w:rsidRPr="00626F2A">
        <w:rPr>
          <w:b/>
        </w:rPr>
        <w:t>.</w:t>
      </w:r>
      <w:r w:rsidR="00833455">
        <w:t xml:space="preserve"> </w:t>
      </w:r>
      <w:r w:rsidR="00AA64AA">
        <w:tab/>
      </w:r>
      <w:r w:rsidR="00AC7F9A" w:rsidRPr="00AC7F9A">
        <w:rPr>
          <w:b/>
          <w:u w:val="single"/>
        </w:rPr>
        <w:t xml:space="preserve">Early Years Single Funding Formula (EYSFF) </w:t>
      </w:r>
    </w:p>
    <w:p w:rsidR="006B740F" w:rsidRDefault="006B740F" w:rsidP="000B0001"/>
    <w:p w:rsidR="00227851" w:rsidRDefault="00DC1497" w:rsidP="00FC582B">
      <w:pPr>
        <w:ind w:left="720" w:hanging="720"/>
        <w:jc w:val="both"/>
      </w:pPr>
      <w:r>
        <w:t>5</w:t>
      </w:r>
      <w:r w:rsidR="00AC7F9A">
        <w:t>.1</w:t>
      </w:r>
      <w:r w:rsidR="00AC7F9A">
        <w:tab/>
        <w:t xml:space="preserve">The EYSFF </w:t>
      </w:r>
      <w:r w:rsidR="00F24D16">
        <w:t>was reviewed at the request of</w:t>
      </w:r>
      <w:r w:rsidR="00AC7F9A">
        <w:t xml:space="preserve"> School</w:t>
      </w:r>
      <w:r w:rsidR="00FA4304">
        <w:t>s</w:t>
      </w:r>
      <w:r w:rsidR="00AC7F9A">
        <w:t xml:space="preserve"> Forum</w:t>
      </w:r>
      <w:r w:rsidR="00F24D16">
        <w:t xml:space="preserve">. Exemplifications included allocation based on the revised IDACI factors, however application of these made </w:t>
      </w:r>
      <w:r w:rsidR="00FC582B">
        <w:t xml:space="preserve">an </w:t>
      </w:r>
      <w:r w:rsidR="00F24D16">
        <w:t xml:space="preserve">insignificant </w:t>
      </w:r>
      <w:r w:rsidR="00FC582B">
        <w:t>impact.</w:t>
      </w:r>
      <w:r w:rsidR="00F24D16">
        <w:t xml:space="preserve"> </w:t>
      </w:r>
      <w:r w:rsidR="00FC582B">
        <w:t>The impact on maintained nurseries saw an overall red</w:t>
      </w:r>
      <w:r w:rsidR="00A8435C">
        <w:t xml:space="preserve">uction in funding of </w:t>
      </w:r>
      <w:r w:rsidR="00FC582B">
        <w:t>£12k.</w:t>
      </w:r>
    </w:p>
    <w:p w:rsidR="00FC582B" w:rsidRDefault="00FC582B" w:rsidP="00FC582B">
      <w:pPr>
        <w:ind w:left="720" w:hanging="720"/>
        <w:jc w:val="both"/>
      </w:pPr>
    </w:p>
    <w:p w:rsidR="00DC1497" w:rsidRPr="00526CE3" w:rsidRDefault="00DC1497" w:rsidP="00526CE3">
      <w:pPr>
        <w:ind w:left="720" w:hanging="720"/>
        <w:jc w:val="both"/>
      </w:pPr>
      <w:r>
        <w:t>5</w:t>
      </w:r>
      <w:r w:rsidR="00C77151">
        <w:t>.2</w:t>
      </w:r>
      <w:r w:rsidR="009B533E">
        <w:t xml:space="preserve"> </w:t>
      </w:r>
      <w:r w:rsidR="00227851">
        <w:t xml:space="preserve"> </w:t>
      </w:r>
      <w:r w:rsidR="00C77151">
        <w:tab/>
      </w:r>
      <w:r w:rsidR="00F24D16">
        <w:t xml:space="preserve">It is proposed that the rates for the EYSFF remain the same as 2015/16 as per table </w:t>
      </w:r>
      <w:r>
        <w:t xml:space="preserve">4 </w:t>
      </w:r>
      <w:r w:rsidR="00F24D16">
        <w:t>below:</w:t>
      </w:r>
    </w:p>
    <w:p w:rsidR="0050018E" w:rsidRDefault="0050018E" w:rsidP="00DC1497">
      <w:pPr>
        <w:jc w:val="both"/>
        <w:rPr>
          <w:b/>
        </w:rPr>
      </w:pPr>
    </w:p>
    <w:p w:rsidR="0050018E" w:rsidRDefault="0050018E" w:rsidP="00DC1497">
      <w:pPr>
        <w:jc w:val="both"/>
        <w:rPr>
          <w:b/>
        </w:rPr>
      </w:pPr>
    </w:p>
    <w:p w:rsidR="00E41F6D" w:rsidRPr="00E41F6D" w:rsidRDefault="00DC1497" w:rsidP="00DC1497">
      <w:pPr>
        <w:jc w:val="both"/>
        <w:rPr>
          <w:b/>
        </w:rPr>
      </w:pPr>
      <w:r>
        <w:rPr>
          <w:b/>
        </w:rPr>
        <w:t xml:space="preserve">Table 4 - </w:t>
      </w:r>
      <w:r w:rsidR="00E41F6D" w:rsidRPr="00E41F6D">
        <w:rPr>
          <w:b/>
        </w:rPr>
        <w:t>2016/17 PVI and Nursery Rates</w:t>
      </w:r>
    </w:p>
    <w:p w:rsidR="00ED189D" w:rsidRPr="00E64FC3" w:rsidRDefault="004D276D" w:rsidP="00C77151">
      <w:pPr>
        <w:ind w:left="720" w:hanging="720"/>
        <w:jc w:val="both"/>
        <w:rPr>
          <w:sz w:val="20"/>
          <w:szCs w:val="20"/>
          <w:highlight w:val="yellow"/>
        </w:rPr>
      </w:pPr>
      <w:r w:rsidRPr="00E64FC3">
        <w:rPr>
          <w:sz w:val="20"/>
          <w:szCs w:val="20"/>
        </w:rPr>
        <w:tab/>
      </w:r>
    </w:p>
    <w:tbl>
      <w:tblPr>
        <w:tblW w:w="6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04"/>
        <w:gridCol w:w="1985"/>
        <w:gridCol w:w="1701"/>
      </w:tblGrid>
      <w:tr w:rsidR="00E41F6D" w:rsidRPr="00E41F6D" w:rsidTr="00DC1497">
        <w:trPr>
          <w:trHeight w:val="270"/>
          <w:tblHeader/>
        </w:trPr>
        <w:tc>
          <w:tcPr>
            <w:tcW w:w="3204" w:type="dxa"/>
          </w:tcPr>
          <w:p w:rsidR="00E41F6D" w:rsidRPr="00E41F6D" w:rsidRDefault="00E41F6D" w:rsidP="00F8070F">
            <w:pPr>
              <w:rPr>
                <w:rFonts w:cs="Arial"/>
                <w:b/>
              </w:rPr>
            </w:pPr>
          </w:p>
        </w:tc>
        <w:tc>
          <w:tcPr>
            <w:tcW w:w="3686" w:type="dxa"/>
            <w:gridSpan w:val="2"/>
            <w:tcBorders>
              <w:bottom w:val="single" w:sz="4" w:space="0" w:color="auto"/>
            </w:tcBorders>
            <w:shd w:val="clear" w:color="auto" w:fill="D9D9D9" w:themeFill="background1" w:themeFillShade="D9"/>
          </w:tcPr>
          <w:p w:rsidR="00E41F6D" w:rsidRPr="00E41F6D" w:rsidRDefault="00E41F6D" w:rsidP="003900FD">
            <w:pPr>
              <w:jc w:val="center"/>
              <w:rPr>
                <w:rFonts w:cs="Arial"/>
                <w:b/>
              </w:rPr>
            </w:pPr>
            <w:r w:rsidRPr="00E41F6D">
              <w:rPr>
                <w:rFonts w:cs="Arial"/>
                <w:b/>
              </w:rPr>
              <w:t xml:space="preserve"> RATE £</w:t>
            </w:r>
          </w:p>
        </w:tc>
      </w:tr>
      <w:tr w:rsidR="00E41F6D" w:rsidRPr="00E41F6D" w:rsidTr="00DC1497">
        <w:trPr>
          <w:trHeight w:val="285"/>
          <w:tblHeader/>
        </w:trPr>
        <w:tc>
          <w:tcPr>
            <w:tcW w:w="3204" w:type="dxa"/>
          </w:tcPr>
          <w:p w:rsidR="00E41F6D" w:rsidRPr="00E41F6D" w:rsidRDefault="00E41F6D" w:rsidP="00A81C30">
            <w:pPr>
              <w:jc w:val="both"/>
              <w:rPr>
                <w:rFonts w:cs="Arial"/>
                <w:b/>
              </w:rPr>
            </w:pPr>
            <w:r w:rsidRPr="00E41F6D">
              <w:rPr>
                <w:rFonts w:cs="Arial"/>
                <w:b/>
              </w:rPr>
              <w:t>Factors</w:t>
            </w:r>
          </w:p>
        </w:tc>
        <w:tc>
          <w:tcPr>
            <w:tcW w:w="1985" w:type="dxa"/>
            <w:shd w:val="clear" w:color="auto" w:fill="D9D9D9" w:themeFill="background1" w:themeFillShade="D9"/>
          </w:tcPr>
          <w:p w:rsidR="00E41F6D" w:rsidRPr="00E41F6D" w:rsidRDefault="00E41F6D" w:rsidP="00A81C30">
            <w:pPr>
              <w:jc w:val="center"/>
              <w:rPr>
                <w:rFonts w:cs="Arial"/>
                <w:b/>
              </w:rPr>
            </w:pPr>
            <w:r w:rsidRPr="00E41F6D">
              <w:rPr>
                <w:rFonts w:cs="Arial"/>
                <w:b/>
              </w:rPr>
              <w:t>PVI</w:t>
            </w:r>
          </w:p>
        </w:tc>
        <w:tc>
          <w:tcPr>
            <w:tcW w:w="1701" w:type="dxa"/>
            <w:shd w:val="clear" w:color="auto" w:fill="D9D9D9" w:themeFill="background1" w:themeFillShade="D9"/>
          </w:tcPr>
          <w:p w:rsidR="00E41F6D" w:rsidRPr="00E41F6D" w:rsidRDefault="00E41F6D" w:rsidP="003900FD">
            <w:pPr>
              <w:jc w:val="center"/>
              <w:rPr>
                <w:rFonts w:cs="Arial"/>
                <w:b/>
              </w:rPr>
            </w:pPr>
            <w:r w:rsidRPr="00E41F6D">
              <w:rPr>
                <w:rFonts w:cs="Arial"/>
                <w:b/>
              </w:rPr>
              <w:t>Nursery</w:t>
            </w:r>
          </w:p>
        </w:tc>
      </w:tr>
      <w:tr w:rsidR="00E41F6D" w:rsidRPr="00E41F6D" w:rsidTr="00DC1497">
        <w:tc>
          <w:tcPr>
            <w:tcW w:w="3204" w:type="dxa"/>
          </w:tcPr>
          <w:p w:rsidR="00E41F6D" w:rsidRPr="00E41F6D" w:rsidRDefault="00E41F6D" w:rsidP="00ED189D">
            <w:pPr>
              <w:jc w:val="both"/>
              <w:rPr>
                <w:rFonts w:cs="Arial"/>
              </w:rPr>
            </w:pPr>
            <w:r w:rsidRPr="00E41F6D">
              <w:rPr>
                <w:rFonts w:cs="Arial"/>
              </w:rPr>
              <w:t>Base Rate</w:t>
            </w:r>
          </w:p>
        </w:tc>
        <w:tc>
          <w:tcPr>
            <w:tcW w:w="1985" w:type="dxa"/>
            <w:shd w:val="clear" w:color="auto" w:fill="D9D9D9" w:themeFill="background1" w:themeFillShade="D9"/>
          </w:tcPr>
          <w:p w:rsidR="00E41F6D" w:rsidRPr="00E41F6D" w:rsidRDefault="00E41F6D" w:rsidP="00E500A2">
            <w:pPr>
              <w:jc w:val="right"/>
              <w:rPr>
                <w:rFonts w:cs="Arial"/>
              </w:rPr>
            </w:pPr>
            <w:r w:rsidRPr="00E41F6D">
              <w:rPr>
                <w:rFonts w:cs="Arial"/>
              </w:rPr>
              <w:t>3.00</w:t>
            </w:r>
          </w:p>
        </w:tc>
        <w:tc>
          <w:tcPr>
            <w:tcW w:w="1701" w:type="dxa"/>
            <w:shd w:val="clear" w:color="auto" w:fill="D9D9D9" w:themeFill="background1" w:themeFillShade="D9"/>
          </w:tcPr>
          <w:p w:rsidR="00E41F6D" w:rsidRPr="00E41F6D" w:rsidRDefault="00E41F6D" w:rsidP="00ED189D">
            <w:pPr>
              <w:jc w:val="right"/>
              <w:rPr>
                <w:rFonts w:cs="Arial"/>
              </w:rPr>
            </w:pPr>
            <w:r w:rsidRPr="00E41F6D">
              <w:rPr>
                <w:rFonts w:cs="Arial"/>
              </w:rPr>
              <w:t>3.00</w:t>
            </w:r>
          </w:p>
        </w:tc>
      </w:tr>
      <w:tr w:rsidR="00E41F6D" w:rsidRPr="00E41F6D" w:rsidTr="00DC1497">
        <w:tc>
          <w:tcPr>
            <w:tcW w:w="3204" w:type="dxa"/>
          </w:tcPr>
          <w:p w:rsidR="00E41F6D" w:rsidRPr="00E41F6D" w:rsidRDefault="00E41F6D" w:rsidP="00ED189D">
            <w:pPr>
              <w:jc w:val="both"/>
              <w:rPr>
                <w:rFonts w:cs="Arial"/>
              </w:rPr>
            </w:pPr>
            <w:r w:rsidRPr="00E41F6D">
              <w:rPr>
                <w:rFonts w:cs="Arial"/>
              </w:rPr>
              <w:t xml:space="preserve">Deprivation class </w:t>
            </w:r>
          </w:p>
        </w:tc>
        <w:tc>
          <w:tcPr>
            <w:tcW w:w="1985" w:type="dxa"/>
            <w:shd w:val="clear" w:color="auto" w:fill="D9D9D9" w:themeFill="background1" w:themeFillShade="D9"/>
          </w:tcPr>
          <w:p w:rsidR="00E41F6D" w:rsidRPr="00E41F6D" w:rsidRDefault="00E41F6D" w:rsidP="00ED189D">
            <w:pPr>
              <w:jc w:val="right"/>
              <w:rPr>
                <w:rFonts w:cs="Arial"/>
              </w:rPr>
            </w:pPr>
            <w:r w:rsidRPr="00E41F6D">
              <w:rPr>
                <w:rFonts w:cs="Arial"/>
              </w:rPr>
              <w:t>0.61 – 0.76</w:t>
            </w:r>
          </w:p>
        </w:tc>
        <w:tc>
          <w:tcPr>
            <w:tcW w:w="1701" w:type="dxa"/>
            <w:shd w:val="clear" w:color="auto" w:fill="D9D9D9" w:themeFill="background1" w:themeFillShade="D9"/>
          </w:tcPr>
          <w:p w:rsidR="00E41F6D" w:rsidRPr="00E41F6D" w:rsidRDefault="00E41F6D" w:rsidP="00ED189D">
            <w:pPr>
              <w:jc w:val="right"/>
              <w:rPr>
                <w:rFonts w:cs="Arial"/>
              </w:rPr>
            </w:pPr>
            <w:r w:rsidRPr="00E41F6D">
              <w:rPr>
                <w:rFonts w:cs="Arial"/>
              </w:rPr>
              <w:t>0.61 – 0.76</w:t>
            </w:r>
          </w:p>
        </w:tc>
      </w:tr>
      <w:tr w:rsidR="00E41F6D" w:rsidRPr="00E41F6D" w:rsidTr="00DC1497">
        <w:tc>
          <w:tcPr>
            <w:tcW w:w="3204" w:type="dxa"/>
          </w:tcPr>
          <w:p w:rsidR="00E41F6D" w:rsidRPr="00E41F6D" w:rsidRDefault="00E41F6D" w:rsidP="00ED189D">
            <w:pPr>
              <w:jc w:val="both"/>
              <w:rPr>
                <w:rFonts w:cs="Arial"/>
              </w:rPr>
            </w:pPr>
            <w:r w:rsidRPr="00E41F6D">
              <w:rPr>
                <w:rFonts w:cs="Arial"/>
              </w:rPr>
              <w:t>Quality</w:t>
            </w:r>
          </w:p>
        </w:tc>
        <w:tc>
          <w:tcPr>
            <w:tcW w:w="1985" w:type="dxa"/>
            <w:shd w:val="clear" w:color="auto" w:fill="D9D9D9" w:themeFill="background1" w:themeFillShade="D9"/>
          </w:tcPr>
          <w:p w:rsidR="00E41F6D" w:rsidRPr="00E41F6D" w:rsidRDefault="00E41F6D" w:rsidP="00ED189D">
            <w:pPr>
              <w:jc w:val="right"/>
              <w:rPr>
                <w:rFonts w:cs="Arial"/>
              </w:rPr>
            </w:pPr>
            <w:r w:rsidRPr="00E41F6D">
              <w:rPr>
                <w:rFonts w:cs="Arial"/>
              </w:rPr>
              <w:t>0.20</w:t>
            </w:r>
          </w:p>
        </w:tc>
        <w:tc>
          <w:tcPr>
            <w:tcW w:w="1701" w:type="dxa"/>
            <w:shd w:val="clear" w:color="auto" w:fill="D9D9D9" w:themeFill="background1" w:themeFillShade="D9"/>
          </w:tcPr>
          <w:p w:rsidR="00E41F6D" w:rsidRPr="00E41F6D" w:rsidRDefault="00E41F6D" w:rsidP="00ED189D">
            <w:pPr>
              <w:jc w:val="right"/>
              <w:rPr>
                <w:rFonts w:cs="Arial"/>
              </w:rPr>
            </w:pPr>
            <w:r w:rsidRPr="00E41F6D">
              <w:rPr>
                <w:rFonts w:cs="Arial"/>
              </w:rPr>
              <w:t>0.20</w:t>
            </w:r>
          </w:p>
        </w:tc>
      </w:tr>
      <w:tr w:rsidR="00E41F6D" w:rsidRPr="00E41F6D" w:rsidTr="00DC1497">
        <w:tc>
          <w:tcPr>
            <w:tcW w:w="3204" w:type="dxa"/>
          </w:tcPr>
          <w:p w:rsidR="00E41F6D" w:rsidRPr="00E41F6D" w:rsidRDefault="00E41F6D" w:rsidP="00ED189D">
            <w:pPr>
              <w:jc w:val="both"/>
              <w:rPr>
                <w:rFonts w:cs="Arial"/>
              </w:rPr>
            </w:pPr>
            <w:r w:rsidRPr="00E41F6D">
              <w:rPr>
                <w:rFonts w:cs="Arial"/>
              </w:rPr>
              <w:t>Flexibility</w:t>
            </w:r>
          </w:p>
        </w:tc>
        <w:tc>
          <w:tcPr>
            <w:tcW w:w="1985" w:type="dxa"/>
            <w:shd w:val="clear" w:color="auto" w:fill="D9D9D9" w:themeFill="background1" w:themeFillShade="D9"/>
          </w:tcPr>
          <w:p w:rsidR="00E41F6D" w:rsidRPr="00E41F6D" w:rsidRDefault="00E41F6D" w:rsidP="00ED189D">
            <w:pPr>
              <w:jc w:val="right"/>
              <w:rPr>
                <w:rFonts w:cs="Arial"/>
              </w:rPr>
            </w:pPr>
            <w:r w:rsidRPr="00E41F6D">
              <w:rPr>
                <w:rFonts w:cs="Arial"/>
              </w:rPr>
              <w:t>0.20</w:t>
            </w:r>
          </w:p>
        </w:tc>
        <w:tc>
          <w:tcPr>
            <w:tcW w:w="1701" w:type="dxa"/>
            <w:shd w:val="clear" w:color="auto" w:fill="D9D9D9" w:themeFill="background1" w:themeFillShade="D9"/>
          </w:tcPr>
          <w:p w:rsidR="00E41F6D" w:rsidRPr="00E41F6D" w:rsidRDefault="00E41F6D" w:rsidP="00ED189D">
            <w:pPr>
              <w:jc w:val="right"/>
              <w:rPr>
                <w:rFonts w:cs="Arial"/>
              </w:rPr>
            </w:pPr>
            <w:r w:rsidRPr="00E41F6D">
              <w:rPr>
                <w:rFonts w:cs="Arial"/>
              </w:rPr>
              <w:t>0</w:t>
            </w:r>
          </w:p>
        </w:tc>
      </w:tr>
      <w:tr w:rsidR="00E41F6D" w:rsidRPr="00E41F6D" w:rsidTr="00DC1497">
        <w:tc>
          <w:tcPr>
            <w:tcW w:w="3204" w:type="dxa"/>
          </w:tcPr>
          <w:p w:rsidR="00E41F6D" w:rsidRPr="00E41F6D" w:rsidRDefault="00E41F6D" w:rsidP="00ED189D">
            <w:pPr>
              <w:jc w:val="both"/>
              <w:rPr>
                <w:rFonts w:cs="Arial"/>
              </w:rPr>
            </w:pPr>
            <w:r w:rsidRPr="00E41F6D">
              <w:rPr>
                <w:rFonts w:cs="Arial"/>
              </w:rPr>
              <w:t>Sustainability class 1-9</w:t>
            </w:r>
          </w:p>
        </w:tc>
        <w:tc>
          <w:tcPr>
            <w:tcW w:w="1985" w:type="dxa"/>
            <w:shd w:val="clear" w:color="auto" w:fill="D9D9D9" w:themeFill="background1" w:themeFillShade="D9"/>
          </w:tcPr>
          <w:p w:rsidR="00E41F6D" w:rsidRPr="00E41F6D" w:rsidRDefault="00E41F6D" w:rsidP="00ED189D">
            <w:pPr>
              <w:jc w:val="right"/>
              <w:rPr>
                <w:rFonts w:cs="Arial"/>
              </w:rPr>
            </w:pPr>
            <w:r w:rsidRPr="00E41F6D">
              <w:rPr>
                <w:rFonts w:cs="Arial"/>
              </w:rPr>
              <w:t>0</w:t>
            </w:r>
          </w:p>
        </w:tc>
        <w:tc>
          <w:tcPr>
            <w:tcW w:w="1701" w:type="dxa"/>
            <w:shd w:val="clear" w:color="auto" w:fill="D9D9D9" w:themeFill="background1" w:themeFillShade="D9"/>
          </w:tcPr>
          <w:p w:rsidR="00E41F6D" w:rsidRPr="00E41F6D" w:rsidRDefault="00E41F6D" w:rsidP="00ED189D">
            <w:pPr>
              <w:jc w:val="right"/>
              <w:rPr>
                <w:rFonts w:cs="Arial"/>
              </w:rPr>
            </w:pPr>
            <w:r w:rsidRPr="00E41F6D">
              <w:rPr>
                <w:rFonts w:cs="Arial"/>
              </w:rPr>
              <w:t>0</w:t>
            </w:r>
          </w:p>
        </w:tc>
      </w:tr>
      <w:tr w:rsidR="00E41F6D" w:rsidRPr="00E41F6D" w:rsidTr="00DC1497">
        <w:tc>
          <w:tcPr>
            <w:tcW w:w="3204" w:type="dxa"/>
          </w:tcPr>
          <w:p w:rsidR="00E41F6D" w:rsidRPr="00E41F6D" w:rsidRDefault="00E41F6D" w:rsidP="00ED189D">
            <w:pPr>
              <w:jc w:val="both"/>
              <w:rPr>
                <w:rFonts w:cs="Arial"/>
              </w:rPr>
            </w:pPr>
            <w:r w:rsidRPr="00E41F6D">
              <w:rPr>
                <w:rFonts w:cs="Arial"/>
              </w:rPr>
              <w:t xml:space="preserve">Premises / Manager </w:t>
            </w:r>
          </w:p>
        </w:tc>
        <w:tc>
          <w:tcPr>
            <w:tcW w:w="1985" w:type="dxa"/>
            <w:shd w:val="clear" w:color="auto" w:fill="D9D9D9" w:themeFill="background1" w:themeFillShade="D9"/>
          </w:tcPr>
          <w:p w:rsidR="00E41F6D" w:rsidRPr="00E41F6D" w:rsidRDefault="00E41F6D" w:rsidP="00ED189D">
            <w:pPr>
              <w:jc w:val="right"/>
              <w:rPr>
                <w:rFonts w:cs="Arial"/>
              </w:rPr>
            </w:pPr>
            <w:r w:rsidRPr="00E41F6D">
              <w:rPr>
                <w:rFonts w:cs="Arial"/>
              </w:rPr>
              <w:t>0.04</w:t>
            </w:r>
          </w:p>
        </w:tc>
        <w:tc>
          <w:tcPr>
            <w:tcW w:w="1701" w:type="dxa"/>
            <w:shd w:val="clear" w:color="auto" w:fill="D9D9D9" w:themeFill="background1" w:themeFillShade="D9"/>
          </w:tcPr>
          <w:p w:rsidR="00E41F6D" w:rsidRPr="00E41F6D" w:rsidRDefault="00E41F6D" w:rsidP="00ED189D">
            <w:pPr>
              <w:jc w:val="right"/>
              <w:rPr>
                <w:rFonts w:cs="Arial"/>
              </w:rPr>
            </w:pPr>
            <w:r w:rsidRPr="00E41F6D">
              <w:rPr>
                <w:rFonts w:cs="Arial"/>
              </w:rPr>
              <w:t>0.04</w:t>
            </w:r>
          </w:p>
        </w:tc>
      </w:tr>
      <w:tr w:rsidR="00E41F6D" w:rsidRPr="00E41F6D" w:rsidTr="00DC1497">
        <w:tc>
          <w:tcPr>
            <w:tcW w:w="3204" w:type="dxa"/>
          </w:tcPr>
          <w:p w:rsidR="00E41F6D" w:rsidRPr="00E41F6D" w:rsidRDefault="00E41F6D" w:rsidP="00ED189D">
            <w:pPr>
              <w:jc w:val="both"/>
              <w:rPr>
                <w:rFonts w:cs="Arial"/>
              </w:rPr>
            </w:pPr>
            <w:r w:rsidRPr="00E41F6D">
              <w:rPr>
                <w:rFonts w:cs="Arial"/>
              </w:rPr>
              <w:t>Head Teacher on Site</w:t>
            </w:r>
          </w:p>
        </w:tc>
        <w:tc>
          <w:tcPr>
            <w:tcW w:w="1985" w:type="dxa"/>
            <w:shd w:val="clear" w:color="auto" w:fill="D9D9D9" w:themeFill="background1" w:themeFillShade="D9"/>
          </w:tcPr>
          <w:p w:rsidR="00E41F6D" w:rsidRPr="00E41F6D" w:rsidRDefault="00E41F6D" w:rsidP="00ED189D">
            <w:pPr>
              <w:jc w:val="right"/>
              <w:rPr>
                <w:rFonts w:cs="Arial"/>
              </w:rPr>
            </w:pPr>
            <w:r w:rsidRPr="00E41F6D">
              <w:rPr>
                <w:rFonts w:cs="Arial"/>
              </w:rPr>
              <w:t>0</w:t>
            </w:r>
          </w:p>
        </w:tc>
        <w:tc>
          <w:tcPr>
            <w:tcW w:w="1701" w:type="dxa"/>
            <w:shd w:val="clear" w:color="auto" w:fill="D9D9D9" w:themeFill="background1" w:themeFillShade="D9"/>
          </w:tcPr>
          <w:p w:rsidR="00E41F6D" w:rsidRPr="00E41F6D" w:rsidRDefault="00E41F6D" w:rsidP="00ED189D">
            <w:pPr>
              <w:jc w:val="right"/>
              <w:rPr>
                <w:rFonts w:cs="Arial"/>
              </w:rPr>
            </w:pPr>
            <w:r w:rsidRPr="00E41F6D">
              <w:rPr>
                <w:rFonts w:cs="Arial"/>
              </w:rPr>
              <w:t>0.17</w:t>
            </w:r>
          </w:p>
        </w:tc>
      </w:tr>
      <w:tr w:rsidR="00E41F6D" w:rsidRPr="00E41F6D" w:rsidTr="00DC1497">
        <w:tc>
          <w:tcPr>
            <w:tcW w:w="3204" w:type="dxa"/>
          </w:tcPr>
          <w:p w:rsidR="00E41F6D" w:rsidRPr="00E41F6D" w:rsidRDefault="00E41F6D" w:rsidP="00ED189D">
            <w:pPr>
              <w:jc w:val="both"/>
              <w:rPr>
                <w:rFonts w:cs="Arial"/>
              </w:rPr>
            </w:pPr>
            <w:r w:rsidRPr="00E41F6D">
              <w:rPr>
                <w:rFonts w:cs="Arial"/>
              </w:rPr>
              <w:t>Premises Factor</w:t>
            </w:r>
          </w:p>
        </w:tc>
        <w:tc>
          <w:tcPr>
            <w:tcW w:w="1985" w:type="dxa"/>
            <w:shd w:val="clear" w:color="auto" w:fill="D9D9D9" w:themeFill="background1" w:themeFillShade="D9"/>
          </w:tcPr>
          <w:p w:rsidR="00E41F6D" w:rsidRPr="00E41F6D" w:rsidRDefault="00E41F6D" w:rsidP="00ED189D">
            <w:pPr>
              <w:jc w:val="right"/>
              <w:rPr>
                <w:rFonts w:cs="Arial"/>
              </w:rPr>
            </w:pPr>
            <w:r w:rsidRPr="00E41F6D">
              <w:rPr>
                <w:rFonts w:cs="Arial"/>
              </w:rPr>
              <w:t>0.04</w:t>
            </w:r>
          </w:p>
        </w:tc>
        <w:tc>
          <w:tcPr>
            <w:tcW w:w="1701" w:type="dxa"/>
            <w:shd w:val="clear" w:color="auto" w:fill="D9D9D9" w:themeFill="background1" w:themeFillShade="D9"/>
          </w:tcPr>
          <w:p w:rsidR="00E41F6D" w:rsidRPr="00E41F6D" w:rsidRDefault="00E41F6D" w:rsidP="00ED189D">
            <w:pPr>
              <w:jc w:val="right"/>
              <w:rPr>
                <w:rFonts w:cs="Arial"/>
              </w:rPr>
            </w:pPr>
            <w:r w:rsidRPr="00E41F6D">
              <w:rPr>
                <w:rFonts w:cs="Arial"/>
              </w:rPr>
              <w:t>0.04</w:t>
            </w:r>
          </w:p>
        </w:tc>
      </w:tr>
      <w:tr w:rsidR="00E41F6D" w:rsidRPr="00E41F6D" w:rsidTr="00DC1497">
        <w:tc>
          <w:tcPr>
            <w:tcW w:w="3204" w:type="dxa"/>
          </w:tcPr>
          <w:p w:rsidR="00E41F6D" w:rsidRPr="00E41F6D" w:rsidRDefault="00E41F6D" w:rsidP="003900FD">
            <w:pPr>
              <w:rPr>
                <w:rFonts w:cs="Arial"/>
              </w:rPr>
            </w:pPr>
            <w:r w:rsidRPr="00E41F6D">
              <w:rPr>
                <w:rFonts w:cs="Arial"/>
                <w:b/>
              </w:rPr>
              <w:t>Total 3 and 4 Year Old Funding</w:t>
            </w:r>
          </w:p>
        </w:tc>
        <w:tc>
          <w:tcPr>
            <w:tcW w:w="1985" w:type="dxa"/>
            <w:shd w:val="clear" w:color="auto" w:fill="D9D9D9" w:themeFill="background1" w:themeFillShade="D9"/>
          </w:tcPr>
          <w:p w:rsidR="00E41F6D" w:rsidRPr="00E41F6D" w:rsidRDefault="00E41F6D" w:rsidP="002D54FF">
            <w:pPr>
              <w:jc w:val="center"/>
              <w:rPr>
                <w:rFonts w:cs="Arial"/>
                <w:b/>
              </w:rPr>
            </w:pPr>
            <w:r w:rsidRPr="00E41F6D">
              <w:rPr>
                <w:rFonts w:cs="Arial"/>
                <w:b/>
              </w:rPr>
              <w:t>£3.80 – £4.30</w:t>
            </w:r>
          </w:p>
        </w:tc>
        <w:tc>
          <w:tcPr>
            <w:tcW w:w="1701" w:type="dxa"/>
            <w:shd w:val="clear" w:color="auto" w:fill="D9D9D9" w:themeFill="background1" w:themeFillShade="D9"/>
          </w:tcPr>
          <w:p w:rsidR="00E41F6D" w:rsidRPr="00E41F6D" w:rsidRDefault="00E41F6D" w:rsidP="00ED189D">
            <w:pPr>
              <w:jc w:val="right"/>
              <w:rPr>
                <w:rFonts w:cs="Arial"/>
                <w:b/>
              </w:rPr>
            </w:pPr>
            <w:r w:rsidRPr="00E41F6D">
              <w:rPr>
                <w:rFonts w:cs="Arial"/>
                <w:b/>
              </w:rPr>
              <w:t>£3.97 – £4.17</w:t>
            </w:r>
          </w:p>
        </w:tc>
      </w:tr>
    </w:tbl>
    <w:p w:rsidR="00E73249" w:rsidRDefault="00E73249" w:rsidP="00DC1497">
      <w:pPr>
        <w:ind w:hanging="720"/>
        <w:jc w:val="both"/>
      </w:pPr>
    </w:p>
    <w:p w:rsidR="00513AA2" w:rsidRDefault="00513AA2" w:rsidP="00C77151">
      <w:pPr>
        <w:ind w:left="720" w:hanging="720"/>
        <w:jc w:val="both"/>
      </w:pPr>
    </w:p>
    <w:p w:rsidR="00FC582B" w:rsidRDefault="00DC1497" w:rsidP="00C77151">
      <w:pPr>
        <w:ind w:left="720" w:hanging="720"/>
        <w:jc w:val="both"/>
      </w:pPr>
      <w:r>
        <w:t>5.3</w:t>
      </w:r>
      <w:r w:rsidR="009F51F6">
        <w:tab/>
      </w:r>
      <w:r w:rsidR="007D020E">
        <w:t>It should be noted that in 2015/16 there was a budget allocation from the DSG</w:t>
      </w:r>
      <w:r w:rsidR="005D61A0">
        <w:t xml:space="preserve"> Reserve</w:t>
      </w:r>
      <w:r w:rsidR="007D020E">
        <w:t xml:space="preserve"> to Early Years of £632k. Modelling of the allocation to schools and PVI settings indicate a pressure of </w:t>
      </w:r>
      <w:r w:rsidR="00CA4928">
        <w:t>£</w:t>
      </w:r>
      <w:r w:rsidR="00040944">
        <w:t>900k</w:t>
      </w:r>
      <w:r w:rsidR="007D020E">
        <w:t xml:space="preserve"> for 2016/17. </w:t>
      </w:r>
      <w:r w:rsidR="00526CE3">
        <w:t>This pressure will be monitored and further work undertaken to identify the d</w:t>
      </w:r>
      <w:r w:rsidR="009566CE">
        <w:t>r</w:t>
      </w:r>
      <w:r w:rsidR="00526CE3">
        <w:t xml:space="preserve">ivers of this pressure. </w:t>
      </w:r>
    </w:p>
    <w:p w:rsidR="004410B2" w:rsidRDefault="004410B2" w:rsidP="00526CE3">
      <w:pPr>
        <w:jc w:val="both"/>
      </w:pPr>
    </w:p>
    <w:p w:rsidR="005577D2" w:rsidRDefault="00DC1497" w:rsidP="00C77151">
      <w:pPr>
        <w:ind w:left="720" w:hanging="720"/>
        <w:jc w:val="both"/>
      </w:pPr>
      <w:r>
        <w:t>5.4</w:t>
      </w:r>
      <w:r w:rsidR="004D276D">
        <w:tab/>
      </w:r>
      <w:r w:rsidR="001A02C6" w:rsidRPr="001A02C6">
        <w:rPr>
          <w:b/>
          <w:u w:val="single"/>
        </w:rPr>
        <w:t xml:space="preserve">Table </w:t>
      </w:r>
      <w:r>
        <w:rPr>
          <w:b/>
          <w:u w:val="single"/>
        </w:rPr>
        <w:t>5</w:t>
      </w:r>
      <w:r w:rsidR="001A02C6" w:rsidRPr="001A02C6">
        <w:rPr>
          <w:b/>
          <w:u w:val="single"/>
        </w:rPr>
        <w:t xml:space="preserve"> </w:t>
      </w:r>
      <w:r w:rsidR="008A06D0">
        <w:rPr>
          <w:b/>
          <w:u w:val="single"/>
        </w:rPr>
        <w:t xml:space="preserve">Early Years </w:t>
      </w:r>
      <w:r w:rsidR="005577D2" w:rsidRPr="001A02C6">
        <w:rPr>
          <w:b/>
          <w:u w:val="single"/>
        </w:rPr>
        <w:t>Benchmarking</w:t>
      </w:r>
      <w:r w:rsidR="005577D2" w:rsidRPr="00CF2E0D">
        <w:rPr>
          <w:b/>
          <w:u w:val="single"/>
        </w:rPr>
        <w:t xml:space="preserve"> </w:t>
      </w:r>
      <w:r w:rsidR="008F6682">
        <w:rPr>
          <w:b/>
          <w:u w:val="single"/>
        </w:rPr>
        <w:t>London Councils</w:t>
      </w:r>
      <w:r w:rsidR="005577D2">
        <w:tab/>
      </w:r>
    </w:p>
    <w:p w:rsidR="00CF2E0D" w:rsidRDefault="005577D2" w:rsidP="00C77151">
      <w:pPr>
        <w:ind w:left="720" w:hanging="720"/>
        <w:jc w:val="both"/>
      </w:pPr>
      <w:r>
        <w:tab/>
      </w:r>
    </w:p>
    <w:p w:rsidR="005577D2" w:rsidRDefault="00DC1497" w:rsidP="00C77151">
      <w:pPr>
        <w:ind w:left="720" w:hanging="720"/>
        <w:jc w:val="both"/>
      </w:pPr>
      <w:r>
        <w:t>5.4.1</w:t>
      </w:r>
      <w:r w:rsidR="00396162">
        <w:tab/>
      </w:r>
      <w:r w:rsidR="002E7E89">
        <w:t xml:space="preserve">In 2015/16 </w:t>
      </w:r>
      <w:r w:rsidR="00114079">
        <w:t>the EYSFF was reviewed and the average rate increased from £3.87 to £4.05</w:t>
      </w:r>
      <w:r w:rsidR="00396162">
        <w:t xml:space="preserve">. London Councils undertook a childcare survey in October 2015 and the results of the hourly rates are shown in Table </w:t>
      </w:r>
      <w:r w:rsidR="00526CE3">
        <w:t>5</w:t>
      </w:r>
      <w:r w:rsidR="00396162">
        <w:t xml:space="preserve"> below. The responses have been anonymised. The weighted average rate ranges from between £3.60 per hour to £4.99 per hour. The weighted average for this sample of London authorities is £4.32 per hour</w:t>
      </w:r>
      <w:r w:rsidR="009566CE">
        <w:t xml:space="preserve"> compared to the weighted average for Barking and Dagenham which is £4.05 per hour. </w:t>
      </w:r>
    </w:p>
    <w:p w:rsidR="00526CE3" w:rsidRDefault="00526CE3" w:rsidP="00B54455">
      <w:pPr>
        <w:jc w:val="both"/>
      </w:pPr>
    </w:p>
    <w:p w:rsidR="009E4F72" w:rsidRPr="00DC1497" w:rsidRDefault="00DC1497" w:rsidP="00C77151">
      <w:pPr>
        <w:ind w:left="720" w:hanging="720"/>
        <w:jc w:val="both"/>
        <w:rPr>
          <w:b/>
        </w:rPr>
      </w:pPr>
      <w:r w:rsidRPr="00DC1497">
        <w:rPr>
          <w:b/>
        </w:rPr>
        <w:lastRenderedPageBreak/>
        <w:t>Table 5: Early Years Benchmarking – London Councils</w:t>
      </w:r>
    </w:p>
    <w:tbl>
      <w:tblPr>
        <w:tblW w:w="0" w:type="auto"/>
        <w:tblBorders>
          <w:top w:val="nil"/>
          <w:left w:val="nil"/>
          <w:bottom w:val="nil"/>
          <w:right w:val="nil"/>
        </w:tblBorders>
        <w:tblLayout w:type="fixed"/>
        <w:tblLook w:val="0000"/>
      </w:tblPr>
      <w:tblGrid>
        <w:gridCol w:w="1784"/>
        <w:gridCol w:w="1784"/>
        <w:gridCol w:w="1784"/>
        <w:gridCol w:w="1784"/>
        <w:gridCol w:w="1784"/>
      </w:tblGrid>
      <w:tr w:rsidR="009E4F72" w:rsidTr="00114079">
        <w:trPr>
          <w:trHeight w:val="235"/>
        </w:trPr>
        <w:tc>
          <w:tcPr>
            <w:tcW w:w="1784" w:type="dxa"/>
            <w:tcBorders>
              <w:top w:val="single" w:sz="4" w:space="0" w:color="auto"/>
              <w:left w:val="single" w:sz="4" w:space="0" w:color="auto"/>
              <w:bottom w:val="single" w:sz="4" w:space="0" w:color="auto"/>
              <w:right w:val="single" w:sz="4" w:space="0" w:color="auto"/>
            </w:tcBorders>
          </w:tcPr>
          <w:p w:rsidR="009E4F72" w:rsidRDefault="009E4F72" w:rsidP="00114079">
            <w:pPr>
              <w:pStyle w:val="Default"/>
              <w:rPr>
                <w:sz w:val="22"/>
                <w:szCs w:val="22"/>
              </w:rPr>
            </w:pPr>
            <w:r>
              <w:rPr>
                <w:b/>
                <w:bCs/>
                <w:sz w:val="22"/>
                <w:szCs w:val="22"/>
              </w:rPr>
              <w:t xml:space="preserve">3-4 year olds </w:t>
            </w:r>
          </w:p>
        </w:tc>
        <w:tc>
          <w:tcPr>
            <w:tcW w:w="1784" w:type="dxa"/>
            <w:tcBorders>
              <w:top w:val="single" w:sz="4" w:space="0" w:color="auto"/>
              <w:left w:val="single" w:sz="4" w:space="0" w:color="auto"/>
              <w:bottom w:val="single" w:sz="4" w:space="0" w:color="auto"/>
              <w:right w:val="single" w:sz="4" w:space="0" w:color="auto"/>
            </w:tcBorders>
          </w:tcPr>
          <w:p w:rsidR="009E4F72" w:rsidRDefault="009E4F72" w:rsidP="00114079">
            <w:pPr>
              <w:pStyle w:val="Default"/>
              <w:rPr>
                <w:sz w:val="22"/>
                <w:szCs w:val="22"/>
              </w:rPr>
            </w:pPr>
            <w:r>
              <w:rPr>
                <w:b/>
                <w:bCs/>
                <w:sz w:val="22"/>
                <w:szCs w:val="22"/>
              </w:rPr>
              <w:t xml:space="preserve">Weighted average </w:t>
            </w:r>
          </w:p>
        </w:tc>
        <w:tc>
          <w:tcPr>
            <w:tcW w:w="1784" w:type="dxa"/>
            <w:tcBorders>
              <w:top w:val="single" w:sz="4" w:space="0" w:color="auto"/>
              <w:left w:val="single" w:sz="4" w:space="0" w:color="auto"/>
              <w:bottom w:val="single" w:sz="4" w:space="0" w:color="auto"/>
              <w:right w:val="single" w:sz="4" w:space="0" w:color="auto"/>
            </w:tcBorders>
          </w:tcPr>
          <w:p w:rsidR="009E4F72" w:rsidRDefault="009E4F72" w:rsidP="00114079">
            <w:pPr>
              <w:pStyle w:val="Default"/>
              <w:rPr>
                <w:sz w:val="22"/>
                <w:szCs w:val="22"/>
              </w:rPr>
            </w:pPr>
            <w:r>
              <w:rPr>
                <w:b/>
                <w:bCs/>
                <w:sz w:val="22"/>
                <w:szCs w:val="22"/>
              </w:rPr>
              <w:t xml:space="preserve">State-funded schools </w:t>
            </w:r>
          </w:p>
        </w:tc>
        <w:tc>
          <w:tcPr>
            <w:tcW w:w="1784" w:type="dxa"/>
            <w:tcBorders>
              <w:top w:val="single" w:sz="4" w:space="0" w:color="auto"/>
              <w:left w:val="single" w:sz="4" w:space="0" w:color="auto"/>
              <w:bottom w:val="single" w:sz="4" w:space="0" w:color="auto"/>
              <w:right w:val="single" w:sz="4" w:space="0" w:color="auto"/>
            </w:tcBorders>
          </w:tcPr>
          <w:p w:rsidR="009E4F72" w:rsidRDefault="009E4F72" w:rsidP="00114079">
            <w:pPr>
              <w:pStyle w:val="Default"/>
              <w:rPr>
                <w:sz w:val="22"/>
                <w:szCs w:val="22"/>
              </w:rPr>
            </w:pPr>
            <w:r>
              <w:rPr>
                <w:b/>
                <w:bCs/>
                <w:sz w:val="22"/>
                <w:szCs w:val="22"/>
              </w:rPr>
              <w:t xml:space="preserve">LA nurseries </w:t>
            </w:r>
          </w:p>
        </w:tc>
        <w:tc>
          <w:tcPr>
            <w:tcW w:w="1784" w:type="dxa"/>
            <w:tcBorders>
              <w:top w:val="single" w:sz="4" w:space="0" w:color="auto"/>
              <w:left w:val="single" w:sz="4" w:space="0" w:color="auto"/>
              <w:bottom w:val="single" w:sz="4" w:space="0" w:color="auto"/>
              <w:right w:val="single" w:sz="4" w:space="0" w:color="auto"/>
            </w:tcBorders>
          </w:tcPr>
          <w:p w:rsidR="009E4F72" w:rsidRDefault="009E4F72" w:rsidP="00114079">
            <w:pPr>
              <w:pStyle w:val="Default"/>
              <w:rPr>
                <w:sz w:val="22"/>
                <w:szCs w:val="22"/>
              </w:rPr>
            </w:pPr>
            <w:r>
              <w:rPr>
                <w:b/>
                <w:bCs/>
                <w:sz w:val="22"/>
                <w:szCs w:val="22"/>
              </w:rPr>
              <w:t xml:space="preserve">PVI </w:t>
            </w:r>
          </w:p>
        </w:tc>
      </w:tr>
      <w:tr w:rsidR="009E4F72" w:rsidTr="00114079">
        <w:trPr>
          <w:trHeight w:val="103"/>
        </w:trPr>
        <w:tc>
          <w:tcPr>
            <w:tcW w:w="1784" w:type="dxa"/>
            <w:tcBorders>
              <w:top w:val="single" w:sz="4" w:space="0" w:color="auto"/>
              <w:left w:val="single" w:sz="4" w:space="0" w:color="auto"/>
              <w:bottom w:val="single" w:sz="4" w:space="0" w:color="auto"/>
              <w:right w:val="single" w:sz="4" w:space="0" w:color="auto"/>
            </w:tcBorders>
          </w:tcPr>
          <w:p w:rsidR="009E4F72" w:rsidRDefault="009E4F72" w:rsidP="00114079">
            <w:pPr>
              <w:pStyle w:val="Default"/>
              <w:rPr>
                <w:sz w:val="22"/>
                <w:szCs w:val="22"/>
              </w:rPr>
            </w:pPr>
            <w:r>
              <w:rPr>
                <w:sz w:val="22"/>
                <w:szCs w:val="22"/>
              </w:rPr>
              <w:t xml:space="preserve">Barking and Dagenham </w:t>
            </w:r>
          </w:p>
        </w:tc>
        <w:tc>
          <w:tcPr>
            <w:tcW w:w="1784" w:type="dxa"/>
            <w:tcBorders>
              <w:top w:val="single" w:sz="4" w:space="0" w:color="auto"/>
              <w:left w:val="single" w:sz="4" w:space="0" w:color="auto"/>
              <w:bottom w:val="single" w:sz="4" w:space="0" w:color="auto"/>
              <w:right w:val="single" w:sz="4" w:space="0" w:color="auto"/>
            </w:tcBorders>
          </w:tcPr>
          <w:p w:rsidR="009E4F72" w:rsidRDefault="009E4F72" w:rsidP="00114079">
            <w:pPr>
              <w:pStyle w:val="Default"/>
              <w:rPr>
                <w:sz w:val="22"/>
                <w:szCs w:val="22"/>
              </w:rPr>
            </w:pPr>
            <w:r>
              <w:rPr>
                <w:sz w:val="22"/>
                <w:szCs w:val="22"/>
              </w:rPr>
              <w:t xml:space="preserve">4.05 </w:t>
            </w:r>
          </w:p>
        </w:tc>
        <w:tc>
          <w:tcPr>
            <w:tcW w:w="1784" w:type="dxa"/>
            <w:tcBorders>
              <w:top w:val="single" w:sz="4" w:space="0" w:color="auto"/>
              <w:left w:val="single" w:sz="4" w:space="0" w:color="auto"/>
              <w:bottom w:val="single" w:sz="4" w:space="0" w:color="auto"/>
              <w:right w:val="single" w:sz="4" w:space="0" w:color="auto"/>
            </w:tcBorders>
          </w:tcPr>
          <w:p w:rsidR="009E4F72" w:rsidRDefault="009E4F72" w:rsidP="00114079">
            <w:pPr>
              <w:pStyle w:val="Default"/>
              <w:rPr>
                <w:sz w:val="22"/>
                <w:szCs w:val="22"/>
              </w:rPr>
            </w:pPr>
            <w:r>
              <w:rPr>
                <w:sz w:val="22"/>
                <w:szCs w:val="22"/>
              </w:rPr>
              <w:t xml:space="preserve">3.80-4.30 </w:t>
            </w:r>
          </w:p>
        </w:tc>
        <w:tc>
          <w:tcPr>
            <w:tcW w:w="1784" w:type="dxa"/>
            <w:tcBorders>
              <w:top w:val="single" w:sz="4" w:space="0" w:color="auto"/>
              <w:left w:val="single" w:sz="4" w:space="0" w:color="auto"/>
              <w:bottom w:val="single" w:sz="4" w:space="0" w:color="auto"/>
              <w:right w:val="single" w:sz="4" w:space="0" w:color="auto"/>
            </w:tcBorders>
          </w:tcPr>
          <w:p w:rsidR="009E4F72" w:rsidRDefault="009E4F72" w:rsidP="00114079">
            <w:pPr>
              <w:pStyle w:val="Default"/>
              <w:rPr>
                <w:sz w:val="22"/>
                <w:szCs w:val="22"/>
              </w:rPr>
            </w:pPr>
            <w:r>
              <w:rPr>
                <w:sz w:val="22"/>
                <w:szCs w:val="22"/>
              </w:rPr>
              <w:t xml:space="preserve">3.80-4.30 </w:t>
            </w:r>
          </w:p>
        </w:tc>
        <w:tc>
          <w:tcPr>
            <w:tcW w:w="1784" w:type="dxa"/>
            <w:tcBorders>
              <w:top w:val="single" w:sz="4" w:space="0" w:color="auto"/>
              <w:left w:val="single" w:sz="4" w:space="0" w:color="auto"/>
              <w:bottom w:val="single" w:sz="4" w:space="0" w:color="auto"/>
              <w:right w:val="single" w:sz="4" w:space="0" w:color="auto"/>
            </w:tcBorders>
          </w:tcPr>
          <w:p w:rsidR="009E4F72" w:rsidRDefault="009E4F72" w:rsidP="00114079">
            <w:pPr>
              <w:pStyle w:val="Default"/>
              <w:rPr>
                <w:sz w:val="22"/>
                <w:szCs w:val="22"/>
              </w:rPr>
            </w:pPr>
            <w:r>
              <w:rPr>
                <w:sz w:val="22"/>
                <w:szCs w:val="22"/>
              </w:rPr>
              <w:t xml:space="preserve">3.80-4.30 </w:t>
            </w:r>
          </w:p>
        </w:tc>
      </w:tr>
      <w:tr w:rsidR="00396162" w:rsidTr="00396162">
        <w:trPr>
          <w:trHeight w:val="103"/>
        </w:trPr>
        <w:tc>
          <w:tcPr>
            <w:tcW w:w="1784" w:type="dxa"/>
            <w:tcBorders>
              <w:top w:val="single" w:sz="4" w:space="0" w:color="auto"/>
              <w:left w:val="single" w:sz="4" w:space="0" w:color="auto"/>
              <w:bottom w:val="single" w:sz="4" w:space="0" w:color="auto"/>
              <w:right w:val="single" w:sz="4" w:space="0" w:color="auto"/>
            </w:tcBorders>
            <w:vAlign w:val="bottom"/>
          </w:tcPr>
          <w:p w:rsidR="00396162" w:rsidRDefault="00396162">
            <w:pPr>
              <w:rPr>
                <w:rFonts w:cs="Arial"/>
                <w:color w:val="000000"/>
              </w:rPr>
            </w:pPr>
            <w:r>
              <w:rPr>
                <w:rFonts w:cs="Arial"/>
                <w:color w:val="000000"/>
              </w:rPr>
              <w:t>a</w:t>
            </w:r>
          </w:p>
        </w:tc>
        <w:tc>
          <w:tcPr>
            <w:tcW w:w="1784" w:type="dxa"/>
            <w:tcBorders>
              <w:top w:val="single" w:sz="4" w:space="0" w:color="auto"/>
              <w:left w:val="single" w:sz="4" w:space="0" w:color="auto"/>
              <w:bottom w:val="single" w:sz="4" w:space="0" w:color="auto"/>
              <w:right w:val="single" w:sz="4" w:space="0" w:color="auto"/>
            </w:tcBorders>
          </w:tcPr>
          <w:p w:rsidR="00396162" w:rsidRDefault="00396162" w:rsidP="00114079">
            <w:pPr>
              <w:pStyle w:val="Default"/>
              <w:rPr>
                <w:sz w:val="22"/>
                <w:szCs w:val="22"/>
              </w:rPr>
            </w:pPr>
            <w:r>
              <w:rPr>
                <w:sz w:val="22"/>
                <w:szCs w:val="22"/>
              </w:rPr>
              <w:t xml:space="preserve">4.40 </w:t>
            </w:r>
          </w:p>
        </w:tc>
        <w:tc>
          <w:tcPr>
            <w:tcW w:w="1784" w:type="dxa"/>
            <w:tcBorders>
              <w:top w:val="single" w:sz="4" w:space="0" w:color="auto"/>
              <w:left w:val="single" w:sz="4" w:space="0" w:color="auto"/>
              <w:bottom w:val="single" w:sz="4" w:space="0" w:color="auto"/>
              <w:right w:val="single" w:sz="4" w:space="0" w:color="auto"/>
            </w:tcBorders>
          </w:tcPr>
          <w:p w:rsidR="00396162" w:rsidRDefault="00396162" w:rsidP="00114079">
            <w:pPr>
              <w:pStyle w:val="Default"/>
              <w:rPr>
                <w:sz w:val="22"/>
                <w:szCs w:val="22"/>
              </w:rPr>
            </w:pPr>
            <w:r>
              <w:rPr>
                <w:sz w:val="22"/>
                <w:szCs w:val="22"/>
              </w:rPr>
              <w:t xml:space="preserve">4.40 </w:t>
            </w:r>
          </w:p>
        </w:tc>
        <w:tc>
          <w:tcPr>
            <w:tcW w:w="1784" w:type="dxa"/>
            <w:tcBorders>
              <w:top w:val="single" w:sz="4" w:space="0" w:color="auto"/>
              <w:left w:val="single" w:sz="4" w:space="0" w:color="auto"/>
              <w:bottom w:val="single" w:sz="4" w:space="0" w:color="auto"/>
              <w:right w:val="single" w:sz="4" w:space="0" w:color="auto"/>
            </w:tcBorders>
          </w:tcPr>
          <w:p w:rsidR="00396162" w:rsidRDefault="00396162" w:rsidP="00114079">
            <w:pPr>
              <w:pStyle w:val="Default"/>
              <w:rPr>
                <w:sz w:val="22"/>
                <w:szCs w:val="22"/>
              </w:rPr>
            </w:pPr>
            <w:r>
              <w:rPr>
                <w:sz w:val="22"/>
                <w:szCs w:val="22"/>
              </w:rPr>
              <w:t xml:space="preserve">4.40 </w:t>
            </w:r>
          </w:p>
        </w:tc>
        <w:tc>
          <w:tcPr>
            <w:tcW w:w="1784" w:type="dxa"/>
            <w:tcBorders>
              <w:top w:val="single" w:sz="4" w:space="0" w:color="auto"/>
              <w:left w:val="single" w:sz="4" w:space="0" w:color="auto"/>
              <w:bottom w:val="single" w:sz="4" w:space="0" w:color="auto"/>
              <w:right w:val="single" w:sz="4" w:space="0" w:color="auto"/>
            </w:tcBorders>
          </w:tcPr>
          <w:p w:rsidR="00396162" w:rsidRDefault="00396162" w:rsidP="00114079">
            <w:pPr>
              <w:pStyle w:val="Default"/>
              <w:rPr>
                <w:sz w:val="22"/>
                <w:szCs w:val="22"/>
              </w:rPr>
            </w:pPr>
            <w:r>
              <w:rPr>
                <w:sz w:val="22"/>
                <w:szCs w:val="22"/>
              </w:rPr>
              <w:t xml:space="preserve">4.40 </w:t>
            </w:r>
          </w:p>
        </w:tc>
      </w:tr>
      <w:tr w:rsidR="00396162" w:rsidTr="00396162">
        <w:trPr>
          <w:trHeight w:val="103"/>
        </w:trPr>
        <w:tc>
          <w:tcPr>
            <w:tcW w:w="1784" w:type="dxa"/>
            <w:tcBorders>
              <w:top w:val="single" w:sz="4" w:space="0" w:color="auto"/>
              <w:left w:val="single" w:sz="4" w:space="0" w:color="auto"/>
              <w:bottom w:val="single" w:sz="4" w:space="0" w:color="auto"/>
              <w:right w:val="single" w:sz="4" w:space="0" w:color="auto"/>
            </w:tcBorders>
            <w:vAlign w:val="bottom"/>
          </w:tcPr>
          <w:p w:rsidR="00396162" w:rsidRDefault="00396162">
            <w:pPr>
              <w:rPr>
                <w:rFonts w:cs="Arial"/>
                <w:color w:val="000000"/>
              </w:rPr>
            </w:pPr>
            <w:r>
              <w:rPr>
                <w:rFonts w:cs="Arial"/>
                <w:color w:val="000000"/>
              </w:rPr>
              <w:t>b</w:t>
            </w:r>
          </w:p>
        </w:tc>
        <w:tc>
          <w:tcPr>
            <w:tcW w:w="1784" w:type="dxa"/>
            <w:tcBorders>
              <w:top w:val="single" w:sz="4" w:space="0" w:color="auto"/>
              <w:left w:val="single" w:sz="4" w:space="0" w:color="auto"/>
              <w:bottom w:val="single" w:sz="4" w:space="0" w:color="auto"/>
              <w:right w:val="single" w:sz="4" w:space="0" w:color="auto"/>
            </w:tcBorders>
          </w:tcPr>
          <w:p w:rsidR="00396162" w:rsidRDefault="00396162" w:rsidP="00114079">
            <w:pPr>
              <w:pStyle w:val="Default"/>
              <w:rPr>
                <w:sz w:val="22"/>
                <w:szCs w:val="22"/>
              </w:rPr>
            </w:pPr>
            <w:r>
              <w:rPr>
                <w:sz w:val="22"/>
                <w:szCs w:val="22"/>
              </w:rPr>
              <w:t xml:space="preserve">4.24 </w:t>
            </w:r>
          </w:p>
        </w:tc>
        <w:tc>
          <w:tcPr>
            <w:tcW w:w="1784" w:type="dxa"/>
            <w:tcBorders>
              <w:top w:val="single" w:sz="4" w:space="0" w:color="auto"/>
              <w:left w:val="single" w:sz="4" w:space="0" w:color="auto"/>
              <w:bottom w:val="single" w:sz="4" w:space="0" w:color="auto"/>
              <w:right w:val="single" w:sz="4" w:space="0" w:color="auto"/>
            </w:tcBorders>
          </w:tcPr>
          <w:p w:rsidR="00396162" w:rsidRDefault="00396162" w:rsidP="00114079">
            <w:pPr>
              <w:pStyle w:val="Default"/>
              <w:rPr>
                <w:sz w:val="22"/>
                <w:szCs w:val="22"/>
              </w:rPr>
            </w:pPr>
            <w:r>
              <w:rPr>
                <w:sz w:val="22"/>
                <w:szCs w:val="22"/>
              </w:rPr>
              <w:t xml:space="preserve">3.73 </w:t>
            </w:r>
          </w:p>
        </w:tc>
        <w:tc>
          <w:tcPr>
            <w:tcW w:w="1784" w:type="dxa"/>
            <w:tcBorders>
              <w:top w:val="single" w:sz="4" w:space="0" w:color="auto"/>
              <w:left w:val="single" w:sz="4" w:space="0" w:color="auto"/>
              <w:bottom w:val="single" w:sz="4" w:space="0" w:color="auto"/>
              <w:right w:val="single" w:sz="4" w:space="0" w:color="auto"/>
            </w:tcBorders>
          </w:tcPr>
          <w:p w:rsidR="00396162" w:rsidRDefault="00396162" w:rsidP="00114079">
            <w:pPr>
              <w:pStyle w:val="Default"/>
              <w:rPr>
                <w:sz w:val="22"/>
                <w:szCs w:val="22"/>
              </w:rPr>
            </w:pPr>
            <w:r>
              <w:rPr>
                <w:sz w:val="22"/>
                <w:szCs w:val="22"/>
              </w:rPr>
              <w:t xml:space="preserve">4.49 </w:t>
            </w:r>
          </w:p>
        </w:tc>
        <w:tc>
          <w:tcPr>
            <w:tcW w:w="1784" w:type="dxa"/>
            <w:tcBorders>
              <w:top w:val="single" w:sz="4" w:space="0" w:color="auto"/>
              <w:left w:val="single" w:sz="4" w:space="0" w:color="auto"/>
              <w:bottom w:val="single" w:sz="4" w:space="0" w:color="auto"/>
              <w:right w:val="single" w:sz="4" w:space="0" w:color="auto"/>
            </w:tcBorders>
          </w:tcPr>
          <w:p w:rsidR="00396162" w:rsidRDefault="00396162" w:rsidP="00114079">
            <w:pPr>
              <w:pStyle w:val="Default"/>
              <w:rPr>
                <w:sz w:val="22"/>
                <w:szCs w:val="22"/>
              </w:rPr>
            </w:pPr>
            <w:r>
              <w:rPr>
                <w:sz w:val="22"/>
                <w:szCs w:val="22"/>
              </w:rPr>
              <w:t xml:space="preserve">4.49 </w:t>
            </w:r>
          </w:p>
        </w:tc>
      </w:tr>
      <w:tr w:rsidR="00396162" w:rsidTr="00396162">
        <w:trPr>
          <w:trHeight w:val="103"/>
        </w:trPr>
        <w:tc>
          <w:tcPr>
            <w:tcW w:w="1784" w:type="dxa"/>
            <w:tcBorders>
              <w:top w:val="single" w:sz="4" w:space="0" w:color="auto"/>
              <w:left w:val="single" w:sz="4" w:space="0" w:color="auto"/>
              <w:bottom w:val="single" w:sz="4" w:space="0" w:color="auto"/>
              <w:right w:val="single" w:sz="4" w:space="0" w:color="auto"/>
            </w:tcBorders>
            <w:vAlign w:val="bottom"/>
          </w:tcPr>
          <w:p w:rsidR="00396162" w:rsidRDefault="00396162">
            <w:pPr>
              <w:rPr>
                <w:rFonts w:cs="Arial"/>
                <w:color w:val="000000"/>
              </w:rPr>
            </w:pPr>
            <w:r>
              <w:rPr>
                <w:rFonts w:cs="Arial"/>
                <w:color w:val="000000"/>
              </w:rPr>
              <w:t>c</w:t>
            </w:r>
          </w:p>
        </w:tc>
        <w:tc>
          <w:tcPr>
            <w:tcW w:w="1784" w:type="dxa"/>
            <w:tcBorders>
              <w:top w:val="single" w:sz="4" w:space="0" w:color="auto"/>
              <w:left w:val="single" w:sz="4" w:space="0" w:color="auto"/>
              <w:bottom w:val="single" w:sz="4" w:space="0" w:color="auto"/>
              <w:right w:val="single" w:sz="4" w:space="0" w:color="auto"/>
            </w:tcBorders>
          </w:tcPr>
          <w:p w:rsidR="00396162" w:rsidRDefault="00396162" w:rsidP="00114079">
            <w:pPr>
              <w:pStyle w:val="Default"/>
              <w:rPr>
                <w:sz w:val="22"/>
                <w:szCs w:val="22"/>
              </w:rPr>
            </w:pPr>
            <w:r>
              <w:rPr>
                <w:sz w:val="22"/>
                <w:szCs w:val="22"/>
              </w:rPr>
              <w:t xml:space="preserve">4.44 </w:t>
            </w:r>
          </w:p>
        </w:tc>
        <w:tc>
          <w:tcPr>
            <w:tcW w:w="1784" w:type="dxa"/>
            <w:tcBorders>
              <w:top w:val="single" w:sz="4" w:space="0" w:color="auto"/>
              <w:left w:val="single" w:sz="4" w:space="0" w:color="auto"/>
              <w:bottom w:val="single" w:sz="4" w:space="0" w:color="auto"/>
              <w:right w:val="single" w:sz="4" w:space="0" w:color="auto"/>
            </w:tcBorders>
          </w:tcPr>
          <w:p w:rsidR="00396162" w:rsidRDefault="00396162" w:rsidP="00114079">
            <w:pPr>
              <w:pStyle w:val="Default"/>
              <w:rPr>
                <w:sz w:val="22"/>
                <w:szCs w:val="22"/>
              </w:rPr>
            </w:pPr>
            <w:r>
              <w:rPr>
                <w:sz w:val="22"/>
                <w:szCs w:val="22"/>
              </w:rPr>
              <w:t xml:space="preserve">4.33 </w:t>
            </w:r>
          </w:p>
        </w:tc>
        <w:tc>
          <w:tcPr>
            <w:tcW w:w="1784" w:type="dxa"/>
            <w:tcBorders>
              <w:top w:val="single" w:sz="4" w:space="0" w:color="auto"/>
              <w:left w:val="single" w:sz="4" w:space="0" w:color="auto"/>
              <w:bottom w:val="single" w:sz="4" w:space="0" w:color="auto"/>
              <w:right w:val="single" w:sz="4" w:space="0" w:color="auto"/>
            </w:tcBorders>
          </w:tcPr>
          <w:p w:rsidR="00396162" w:rsidRDefault="00396162" w:rsidP="00114079">
            <w:pPr>
              <w:pStyle w:val="Default"/>
              <w:rPr>
                <w:sz w:val="22"/>
                <w:szCs w:val="22"/>
              </w:rPr>
            </w:pPr>
            <w:r>
              <w:rPr>
                <w:sz w:val="22"/>
                <w:szCs w:val="22"/>
              </w:rPr>
              <w:t xml:space="preserve">4.45 </w:t>
            </w:r>
          </w:p>
        </w:tc>
        <w:tc>
          <w:tcPr>
            <w:tcW w:w="1784" w:type="dxa"/>
            <w:tcBorders>
              <w:top w:val="single" w:sz="4" w:space="0" w:color="auto"/>
              <w:left w:val="single" w:sz="4" w:space="0" w:color="auto"/>
              <w:bottom w:val="single" w:sz="4" w:space="0" w:color="auto"/>
              <w:right w:val="single" w:sz="4" w:space="0" w:color="auto"/>
            </w:tcBorders>
          </w:tcPr>
          <w:p w:rsidR="00396162" w:rsidRDefault="00396162" w:rsidP="00114079">
            <w:pPr>
              <w:pStyle w:val="Default"/>
              <w:rPr>
                <w:sz w:val="22"/>
                <w:szCs w:val="22"/>
              </w:rPr>
            </w:pPr>
            <w:r>
              <w:rPr>
                <w:sz w:val="22"/>
                <w:szCs w:val="22"/>
              </w:rPr>
              <w:t xml:space="preserve">4.45 </w:t>
            </w:r>
          </w:p>
        </w:tc>
      </w:tr>
      <w:tr w:rsidR="00396162" w:rsidTr="00396162">
        <w:trPr>
          <w:trHeight w:val="103"/>
        </w:trPr>
        <w:tc>
          <w:tcPr>
            <w:tcW w:w="1784" w:type="dxa"/>
            <w:tcBorders>
              <w:top w:val="single" w:sz="4" w:space="0" w:color="auto"/>
              <w:left w:val="single" w:sz="4" w:space="0" w:color="auto"/>
              <w:bottom w:val="single" w:sz="4" w:space="0" w:color="auto"/>
              <w:right w:val="single" w:sz="4" w:space="0" w:color="auto"/>
            </w:tcBorders>
            <w:vAlign w:val="bottom"/>
          </w:tcPr>
          <w:p w:rsidR="00396162" w:rsidRDefault="00396162">
            <w:pPr>
              <w:rPr>
                <w:rFonts w:cs="Arial"/>
                <w:color w:val="000000"/>
              </w:rPr>
            </w:pPr>
            <w:r>
              <w:rPr>
                <w:rFonts w:cs="Arial"/>
                <w:color w:val="000000"/>
              </w:rPr>
              <w:t>d</w:t>
            </w:r>
          </w:p>
        </w:tc>
        <w:tc>
          <w:tcPr>
            <w:tcW w:w="1784" w:type="dxa"/>
            <w:tcBorders>
              <w:top w:val="single" w:sz="4" w:space="0" w:color="auto"/>
              <w:left w:val="single" w:sz="4" w:space="0" w:color="auto"/>
              <w:bottom w:val="single" w:sz="4" w:space="0" w:color="auto"/>
              <w:right w:val="single" w:sz="4" w:space="0" w:color="auto"/>
            </w:tcBorders>
          </w:tcPr>
          <w:p w:rsidR="00396162" w:rsidRDefault="00396162" w:rsidP="00114079">
            <w:pPr>
              <w:pStyle w:val="Default"/>
              <w:rPr>
                <w:sz w:val="22"/>
                <w:szCs w:val="22"/>
              </w:rPr>
            </w:pPr>
            <w:r>
              <w:rPr>
                <w:sz w:val="22"/>
                <w:szCs w:val="22"/>
              </w:rPr>
              <w:t xml:space="preserve">4.50 </w:t>
            </w:r>
          </w:p>
        </w:tc>
        <w:tc>
          <w:tcPr>
            <w:tcW w:w="1784" w:type="dxa"/>
            <w:tcBorders>
              <w:top w:val="single" w:sz="4" w:space="0" w:color="auto"/>
              <w:left w:val="single" w:sz="4" w:space="0" w:color="auto"/>
              <w:bottom w:val="single" w:sz="4" w:space="0" w:color="auto"/>
              <w:right w:val="single" w:sz="4" w:space="0" w:color="auto"/>
            </w:tcBorders>
          </w:tcPr>
          <w:p w:rsidR="00396162" w:rsidRDefault="00396162" w:rsidP="00114079">
            <w:pPr>
              <w:pStyle w:val="Default"/>
              <w:rPr>
                <w:sz w:val="22"/>
                <w:szCs w:val="22"/>
              </w:rPr>
            </w:pPr>
            <w:r>
              <w:rPr>
                <w:sz w:val="22"/>
                <w:szCs w:val="22"/>
              </w:rPr>
              <w:t xml:space="preserve">3.71 </w:t>
            </w:r>
          </w:p>
        </w:tc>
        <w:tc>
          <w:tcPr>
            <w:tcW w:w="1784" w:type="dxa"/>
            <w:tcBorders>
              <w:top w:val="single" w:sz="4" w:space="0" w:color="auto"/>
              <w:left w:val="single" w:sz="4" w:space="0" w:color="auto"/>
              <w:bottom w:val="single" w:sz="4" w:space="0" w:color="auto"/>
              <w:right w:val="single" w:sz="4" w:space="0" w:color="auto"/>
            </w:tcBorders>
          </w:tcPr>
          <w:p w:rsidR="00396162" w:rsidRDefault="00396162" w:rsidP="00114079">
            <w:pPr>
              <w:pStyle w:val="Default"/>
              <w:rPr>
                <w:sz w:val="22"/>
                <w:szCs w:val="22"/>
              </w:rPr>
            </w:pPr>
            <w:r>
              <w:rPr>
                <w:sz w:val="22"/>
                <w:szCs w:val="22"/>
              </w:rPr>
              <w:t xml:space="preserve">6.08 </w:t>
            </w:r>
          </w:p>
        </w:tc>
        <w:tc>
          <w:tcPr>
            <w:tcW w:w="1784" w:type="dxa"/>
            <w:tcBorders>
              <w:top w:val="single" w:sz="4" w:space="0" w:color="auto"/>
              <w:left w:val="single" w:sz="4" w:space="0" w:color="auto"/>
              <w:bottom w:val="single" w:sz="4" w:space="0" w:color="auto"/>
              <w:right w:val="single" w:sz="4" w:space="0" w:color="auto"/>
            </w:tcBorders>
          </w:tcPr>
          <w:p w:rsidR="00396162" w:rsidRDefault="00396162" w:rsidP="00114079">
            <w:pPr>
              <w:pStyle w:val="Default"/>
              <w:rPr>
                <w:sz w:val="22"/>
                <w:szCs w:val="22"/>
              </w:rPr>
            </w:pPr>
            <w:r>
              <w:rPr>
                <w:sz w:val="22"/>
                <w:szCs w:val="22"/>
              </w:rPr>
              <w:t xml:space="preserve">3.71 </w:t>
            </w:r>
          </w:p>
        </w:tc>
      </w:tr>
      <w:tr w:rsidR="00396162" w:rsidTr="00396162">
        <w:trPr>
          <w:trHeight w:val="103"/>
        </w:trPr>
        <w:tc>
          <w:tcPr>
            <w:tcW w:w="1784" w:type="dxa"/>
            <w:tcBorders>
              <w:top w:val="single" w:sz="4" w:space="0" w:color="auto"/>
              <w:left w:val="single" w:sz="4" w:space="0" w:color="auto"/>
              <w:bottom w:val="single" w:sz="4" w:space="0" w:color="auto"/>
              <w:right w:val="single" w:sz="4" w:space="0" w:color="auto"/>
            </w:tcBorders>
            <w:vAlign w:val="bottom"/>
          </w:tcPr>
          <w:p w:rsidR="00396162" w:rsidRDefault="00396162">
            <w:pPr>
              <w:rPr>
                <w:rFonts w:cs="Arial"/>
                <w:color w:val="000000"/>
              </w:rPr>
            </w:pPr>
            <w:r>
              <w:rPr>
                <w:rFonts w:cs="Arial"/>
                <w:color w:val="000000"/>
              </w:rPr>
              <w:t>e</w:t>
            </w:r>
          </w:p>
        </w:tc>
        <w:tc>
          <w:tcPr>
            <w:tcW w:w="1784" w:type="dxa"/>
            <w:tcBorders>
              <w:top w:val="single" w:sz="4" w:space="0" w:color="auto"/>
              <w:left w:val="single" w:sz="4" w:space="0" w:color="auto"/>
              <w:bottom w:val="single" w:sz="4" w:space="0" w:color="auto"/>
              <w:right w:val="single" w:sz="4" w:space="0" w:color="auto"/>
            </w:tcBorders>
          </w:tcPr>
          <w:p w:rsidR="00396162" w:rsidRDefault="00396162" w:rsidP="00114079">
            <w:pPr>
              <w:pStyle w:val="Default"/>
              <w:rPr>
                <w:sz w:val="22"/>
                <w:szCs w:val="22"/>
              </w:rPr>
            </w:pPr>
            <w:r>
              <w:rPr>
                <w:sz w:val="22"/>
                <w:szCs w:val="22"/>
              </w:rPr>
              <w:t xml:space="preserve">4.80 </w:t>
            </w:r>
          </w:p>
        </w:tc>
        <w:tc>
          <w:tcPr>
            <w:tcW w:w="1784" w:type="dxa"/>
            <w:tcBorders>
              <w:top w:val="single" w:sz="4" w:space="0" w:color="auto"/>
              <w:left w:val="single" w:sz="4" w:space="0" w:color="auto"/>
              <w:bottom w:val="single" w:sz="4" w:space="0" w:color="auto"/>
              <w:right w:val="single" w:sz="4" w:space="0" w:color="auto"/>
            </w:tcBorders>
          </w:tcPr>
          <w:p w:rsidR="00396162" w:rsidRDefault="00396162" w:rsidP="00114079">
            <w:pPr>
              <w:pStyle w:val="Default"/>
              <w:rPr>
                <w:sz w:val="22"/>
                <w:szCs w:val="22"/>
              </w:rPr>
            </w:pPr>
            <w:r>
              <w:rPr>
                <w:sz w:val="22"/>
                <w:szCs w:val="22"/>
              </w:rPr>
              <w:t xml:space="preserve">4.97 </w:t>
            </w:r>
          </w:p>
        </w:tc>
        <w:tc>
          <w:tcPr>
            <w:tcW w:w="1784" w:type="dxa"/>
            <w:tcBorders>
              <w:top w:val="single" w:sz="4" w:space="0" w:color="auto"/>
              <w:left w:val="single" w:sz="4" w:space="0" w:color="auto"/>
              <w:bottom w:val="single" w:sz="4" w:space="0" w:color="auto"/>
              <w:right w:val="single" w:sz="4" w:space="0" w:color="auto"/>
            </w:tcBorders>
          </w:tcPr>
          <w:p w:rsidR="00396162" w:rsidRDefault="00396162" w:rsidP="00114079">
            <w:pPr>
              <w:pStyle w:val="Default"/>
              <w:rPr>
                <w:sz w:val="22"/>
                <w:szCs w:val="22"/>
              </w:rPr>
            </w:pPr>
            <w:r>
              <w:rPr>
                <w:sz w:val="22"/>
                <w:szCs w:val="22"/>
              </w:rPr>
              <w:t xml:space="preserve">4.76 </w:t>
            </w:r>
          </w:p>
        </w:tc>
        <w:tc>
          <w:tcPr>
            <w:tcW w:w="1784" w:type="dxa"/>
            <w:tcBorders>
              <w:top w:val="single" w:sz="4" w:space="0" w:color="auto"/>
              <w:left w:val="single" w:sz="4" w:space="0" w:color="auto"/>
              <w:bottom w:val="single" w:sz="4" w:space="0" w:color="auto"/>
              <w:right w:val="single" w:sz="4" w:space="0" w:color="auto"/>
            </w:tcBorders>
          </w:tcPr>
          <w:p w:rsidR="00396162" w:rsidRDefault="00396162" w:rsidP="00114079">
            <w:pPr>
              <w:pStyle w:val="Default"/>
              <w:rPr>
                <w:sz w:val="22"/>
                <w:szCs w:val="22"/>
              </w:rPr>
            </w:pPr>
            <w:r>
              <w:rPr>
                <w:sz w:val="22"/>
                <w:szCs w:val="22"/>
              </w:rPr>
              <w:t xml:space="preserve">4.66 </w:t>
            </w:r>
          </w:p>
        </w:tc>
      </w:tr>
      <w:tr w:rsidR="00396162" w:rsidTr="00396162">
        <w:trPr>
          <w:trHeight w:val="103"/>
        </w:trPr>
        <w:tc>
          <w:tcPr>
            <w:tcW w:w="1784" w:type="dxa"/>
            <w:tcBorders>
              <w:top w:val="single" w:sz="4" w:space="0" w:color="auto"/>
              <w:left w:val="single" w:sz="4" w:space="0" w:color="auto"/>
              <w:bottom w:val="single" w:sz="4" w:space="0" w:color="auto"/>
              <w:right w:val="single" w:sz="4" w:space="0" w:color="auto"/>
            </w:tcBorders>
            <w:vAlign w:val="bottom"/>
          </w:tcPr>
          <w:p w:rsidR="00396162" w:rsidRDefault="00396162">
            <w:pPr>
              <w:rPr>
                <w:rFonts w:cs="Arial"/>
                <w:color w:val="000000"/>
              </w:rPr>
            </w:pPr>
            <w:r>
              <w:rPr>
                <w:rFonts w:cs="Arial"/>
                <w:color w:val="000000"/>
              </w:rPr>
              <w:t>f</w:t>
            </w:r>
          </w:p>
        </w:tc>
        <w:tc>
          <w:tcPr>
            <w:tcW w:w="1784" w:type="dxa"/>
            <w:tcBorders>
              <w:top w:val="single" w:sz="4" w:space="0" w:color="auto"/>
              <w:left w:val="single" w:sz="4" w:space="0" w:color="auto"/>
              <w:bottom w:val="single" w:sz="4" w:space="0" w:color="auto"/>
              <w:right w:val="single" w:sz="4" w:space="0" w:color="auto"/>
            </w:tcBorders>
          </w:tcPr>
          <w:p w:rsidR="00396162" w:rsidRDefault="00396162" w:rsidP="00114079">
            <w:pPr>
              <w:pStyle w:val="Default"/>
              <w:rPr>
                <w:sz w:val="22"/>
                <w:szCs w:val="22"/>
              </w:rPr>
            </w:pPr>
            <w:r>
              <w:rPr>
                <w:sz w:val="22"/>
                <w:szCs w:val="22"/>
              </w:rPr>
              <w:t xml:space="preserve">4.66 </w:t>
            </w:r>
          </w:p>
        </w:tc>
        <w:tc>
          <w:tcPr>
            <w:tcW w:w="1784" w:type="dxa"/>
            <w:tcBorders>
              <w:top w:val="single" w:sz="4" w:space="0" w:color="auto"/>
              <w:left w:val="single" w:sz="4" w:space="0" w:color="auto"/>
              <w:bottom w:val="single" w:sz="4" w:space="0" w:color="auto"/>
              <w:right w:val="single" w:sz="4" w:space="0" w:color="auto"/>
            </w:tcBorders>
          </w:tcPr>
          <w:p w:rsidR="00396162" w:rsidRDefault="00396162" w:rsidP="00114079">
            <w:pPr>
              <w:pStyle w:val="Default"/>
              <w:rPr>
                <w:sz w:val="22"/>
                <w:szCs w:val="22"/>
              </w:rPr>
            </w:pPr>
            <w:r>
              <w:rPr>
                <w:sz w:val="22"/>
                <w:szCs w:val="22"/>
              </w:rPr>
              <w:t xml:space="preserve">4.82 </w:t>
            </w:r>
          </w:p>
        </w:tc>
        <w:tc>
          <w:tcPr>
            <w:tcW w:w="1784" w:type="dxa"/>
            <w:tcBorders>
              <w:top w:val="single" w:sz="4" w:space="0" w:color="auto"/>
              <w:left w:val="single" w:sz="4" w:space="0" w:color="auto"/>
              <w:bottom w:val="single" w:sz="4" w:space="0" w:color="auto"/>
              <w:right w:val="single" w:sz="4" w:space="0" w:color="auto"/>
            </w:tcBorders>
          </w:tcPr>
          <w:p w:rsidR="00396162" w:rsidRDefault="00396162" w:rsidP="00114079">
            <w:pPr>
              <w:pStyle w:val="Default"/>
              <w:rPr>
                <w:sz w:val="22"/>
                <w:szCs w:val="22"/>
              </w:rPr>
            </w:pPr>
            <w:r>
              <w:rPr>
                <w:sz w:val="22"/>
                <w:szCs w:val="22"/>
              </w:rPr>
              <w:t xml:space="preserve">4.87 </w:t>
            </w:r>
          </w:p>
        </w:tc>
        <w:tc>
          <w:tcPr>
            <w:tcW w:w="1784" w:type="dxa"/>
            <w:tcBorders>
              <w:top w:val="single" w:sz="4" w:space="0" w:color="auto"/>
              <w:left w:val="single" w:sz="4" w:space="0" w:color="auto"/>
              <w:bottom w:val="single" w:sz="4" w:space="0" w:color="auto"/>
              <w:right w:val="single" w:sz="4" w:space="0" w:color="auto"/>
            </w:tcBorders>
          </w:tcPr>
          <w:p w:rsidR="00396162" w:rsidRDefault="00396162" w:rsidP="00114079">
            <w:pPr>
              <w:pStyle w:val="Default"/>
              <w:rPr>
                <w:sz w:val="22"/>
                <w:szCs w:val="22"/>
              </w:rPr>
            </w:pPr>
            <w:r>
              <w:rPr>
                <w:sz w:val="22"/>
                <w:szCs w:val="22"/>
              </w:rPr>
              <w:t xml:space="preserve">4.59 </w:t>
            </w:r>
          </w:p>
        </w:tc>
      </w:tr>
      <w:tr w:rsidR="00396162" w:rsidTr="00396162">
        <w:trPr>
          <w:trHeight w:val="103"/>
        </w:trPr>
        <w:tc>
          <w:tcPr>
            <w:tcW w:w="1784" w:type="dxa"/>
            <w:tcBorders>
              <w:top w:val="single" w:sz="4" w:space="0" w:color="auto"/>
              <w:left w:val="single" w:sz="4" w:space="0" w:color="auto"/>
              <w:bottom w:val="single" w:sz="4" w:space="0" w:color="auto"/>
              <w:right w:val="single" w:sz="4" w:space="0" w:color="auto"/>
            </w:tcBorders>
            <w:vAlign w:val="bottom"/>
          </w:tcPr>
          <w:p w:rsidR="00396162" w:rsidRDefault="00396162">
            <w:pPr>
              <w:rPr>
                <w:rFonts w:cs="Arial"/>
                <w:color w:val="000000"/>
              </w:rPr>
            </w:pPr>
            <w:r>
              <w:rPr>
                <w:rFonts w:cs="Arial"/>
                <w:color w:val="000000"/>
              </w:rPr>
              <w:t>g</w:t>
            </w:r>
          </w:p>
        </w:tc>
        <w:tc>
          <w:tcPr>
            <w:tcW w:w="1784" w:type="dxa"/>
            <w:tcBorders>
              <w:top w:val="single" w:sz="4" w:space="0" w:color="auto"/>
              <w:left w:val="single" w:sz="4" w:space="0" w:color="auto"/>
              <w:bottom w:val="single" w:sz="4" w:space="0" w:color="auto"/>
              <w:right w:val="single" w:sz="4" w:space="0" w:color="auto"/>
            </w:tcBorders>
          </w:tcPr>
          <w:p w:rsidR="00396162" w:rsidRDefault="00396162" w:rsidP="00114079">
            <w:pPr>
              <w:pStyle w:val="Default"/>
              <w:rPr>
                <w:sz w:val="22"/>
                <w:szCs w:val="22"/>
              </w:rPr>
            </w:pPr>
            <w:r>
              <w:rPr>
                <w:sz w:val="22"/>
                <w:szCs w:val="22"/>
              </w:rPr>
              <w:t xml:space="preserve">4.99 </w:t>
            </w:r>
          </w:p>
        </w:tc>
        <w:tc>
          <w:tcPr>
            <w:tcW w:w="1784" w:type="dxa"/>
            <w:tcBorders>
              <w:top w:val="single" w:sz="4" w:space="0" w:color="auto"/>
              <w:left w:val="single" w:sz="4" w:space="0" w:color="auto"/>
              <w:bottom w:val="single" w:sz="4" w:space="0" w:color="auto"/>
              <w:right w:val="single" w:sz="4" w:space="0" w:color="auto"/>
            </w:tcBorders>
          </w:tcPr>
          <w:p w:rsidR="00396162" w:rsidRDefault="00396162" w:rsidP="00114079">
            <w:pPr>
              <w:pStyle w:val="Default"/>
              <w:rPr>
                <w:sz w:val="22"/>
                <w:szCs w:val="22"/>
              </w:rPr>
            </w:pPr>
            <w:r>
              <w:rPr>
                <w:sz w:val="22"/>
                <w:szCs w:val="22"/>
              </w:rPr>
              <w:t xml:space="preserve">6.11 </w:t>
            </w:r>
          </w:p>
        </w:tc>
        <w:tc>
          <w:tcPr>
            <w:tcW w:w="1784" w:type="dxa"/>
            <w:tcBorders>
              <w:top w:val="single" w:sz="4" w:space="0" w:color="auto"/>
              <w:left w:val="single" w:sz="4" w:space="0" w:color="auto"/>
              <w:bottom w:val="single" w:sz="4" w:space="0" w:color="auto"/>
              <w:right w:val="single" w:sz="4" w:space="0" w:color="auto"/>
            </w:tcBorders>
          </w:tcPr>
          <w:p w:rsidR="00396162" w:rsidRDefault="00396162" w:rsidP="00114079">
            <w:pPr>
              <w:pStyle w:val="Default"/>
              <w:rPr>
                <w:sz w:val="22"/>
                <w:szCs w:val="22"/>
              </w:rPr>
            </w:pPr>
            <w:r>
              <w:rPr>
                <w:sz w:val="22"/>
                <w:szCs w:val="22"/>
              </w:rPr>
              <w:t xml:space="preserve">3.38 </w:t>
            </w:r>
          </w:p>
        </w:tc>
        <w:tc>
          <w:tcPr>
            <w:tcW w:w="1784" w:type="dxa"/>
            <w:tcBorders>
              <w:top w:val="single" w:sz="4" w:space="0" w:color="auto"/>
              <w:left w:val="single" w:sz="4" w:space="0" w:color="auto"/>
              <w:bottom w:val="single" w:sz="4" w:space="0" w:color="auto"/>
              <w:right w:val="single" w:sz="4" w:space="0" w:color="auto"/>
            </w:tcBorders>
          </w:tcPr>
          <w:p w:rsidR="00396162" w:rsidRDefault="00396162" w:rsidP="00114079">
            <w:pPr>
              <w:pStyle w:val="Default"/>
              <w:rPr>
                <w:sz w:val="22"/>
                <w:szCs w:val="22"/>
              </w:rPr>
            </w:pPr>
            <w:r>
              <w:rPr>
                <w:sz w:val="22"/>
                <w:szCs w:val="22"/>
              </w:rPr>
              <w:t xml:space="preserve">4.00 </w:t>
            </w:r>
          </w:p>
        </w:tc>
      </w:tr>
      <w:tr w:rsidR="00396162" w:rsidTr="00396162">
        <w:trPr>
          <w:trHeight w:val="103"/>
        </w:trPr>
        <w:tc>
          <w:tcPr>
            <w:tcW w:w="1784" w:type="dxa"/>
            <w:tcBorders>
              <w:top w:val="single" w:sz="4" w:space="0" w:color="auto"/>
              <w:left w:val="single" w:sz="4" w:space="0" w:color="auto"/>
              <w:bottom w:val="single" w:sz="4" w:space="0" w:color="auto"/>
              <w:right w:val="single" w:sz="4" w:space="0" w:color="auto"/>
            </w:tcBorders>
            <w:vAlign w:val="bottom"/>
          </w:tcPr>
          <w:p w:rsidR="00396162" w:rsidRDefault="00396162">
            <w:pPr>
              <w:rPr>
                <w:rFonts w:cs="Arial"/>
                <w:color w:val="000000"/>
              </w:rPr>
            </w:pPr>
            <w:r>
              <w:rPr>
                <w:rFonts w:cs="Arial"/>
                <w:color w:val="000000"/>
              </w:rPr>
              <w:t>h</w:t>
            </w:r>
          </w:p>
        </w:tc>
        <w:tc>
          <w:tcPr>
            <w:tcW w:w="1784" w:type="dxa"/>
            <w:tcBorders>
              <w:top w:val="single" w:sz="4" w:space="0" w:color="auto"/>
              <w:left w:val="single" w:sz="4" w:space="0" w:color="auto"/>
              <w:bottom w:val="single" w:sz="4" w:space="0" w:color="auto"/>
              <w:right w:val="single" w:sz="4" w:space="0" w:color="auto"/>
            </w:tcBorders>
          </w:tcPr>
          <w:p w:rsidR="00396162" w:rsidRDefault="00396162" w:rsidP="00114079">
            <w:pPr>
              <w:pStyle w:val="Default"/>
              <w:rPr>
                <w:sz w:val="22"/>
                <w:szCs w:val="22"/>
              </w:rPr>
            </w:pPr>
            <w:r>
              <w:rPr>
                <w:sz w:val="22"/>
                <w:szCs w:val="22"/>
              </w:rPr>
              <w:t xml:space="preserve">4.08 </w:t>
            </w:r>
          </w:p>
        </w:tc>
        <w:tc>
          <w:tcPr>
            <w:tcW w:w="1784" w:type="dxa"/>
            <w:tcBorders>
              <w:top w:val="single" w:sz="4" w:space="0" w:color="auto"/>
              <w:left w:val="single" w:sz="4" w:space="0" w:color="auto"/>
              <w:bottom w:val="single" w:sz="4" w:space="0" w:color="auto"/>
              <w:right w:val="single" w:sz="4" w:space="0" w:color="auto"/>
            </w:tcBorders>
          </w:tcPr>
          <w:p w:rsidR="00396162" w:rsidRDefault="00396162" w:rsidP="00114079">
            <w:pPr>
              <w:pStyle w:val="Default"/>
              <w:rPr>
                <w:sz w:val="22"/>
                <w:szCs w:val="22"/>
              </w:rPr>
            </w:pPr>
            <w:r>
              <w:rPr>
                <w:sz w:val="22"/>
                <w:szCs w:val="22"/>
              </w:rPr>
              <w:t xml:space="preserve">4.08 </w:t>
            </w:r>
          </w:p>
        </w:tc>
        <w:tc>
          <w:tcPr>
            <w:tcW w:w="1784" w:type="dxa"/>
            <w:tcBorders>
              <w:top w:val="single" w:sz="4" w:space="0" w:color="auto"/>
              <w:left w:val="single" w:sz="4" w:space="0" w:color="auto"/>
              <w:bottom w:val="single" w:sz="4" w:space="0" w:color="auto"/>
              <w:right w:val="single" w:sz="4" w:space="0" w:color="auto"/>
            </w:tcBorders>
          </w:tcPr>
          <w:p w:rsidR="00396162" w:rsidRDefault="00396162" w:rsidP="00114079">
            <w:pPr>
              <w:pStyle w:val="Default"/>
              <w:rPr>
                <w:sz w:val="22"/>
                <w:szCs w:val="22"/>
              </w:rPr>
            </w:pPr>
            <w:r>
              <w:rPr>
                <w:sz w:val="22"/>
                <w:szCs w:val="22"/>
              </w:rPr>
              <w:t xml:space="preserve">8.35 </w:t>
            </w:r>
          </w:p>
        </w:tc>
        <w:tc>
          <w:tcPr>
            <w:tcW w:w="1784" w:type="dxa"/>
            <w:tcBorders>
              <w:top w:val="single" w:sz="4" w:space="0" w:color="auto"/>
              <w:left w:val="single" w:sz="4" w:space="0" w:color="auto"/>
              <w:bottom w:val="single" w:sz="4" w:space="0" w:color="auto"/>
              <w:right w:val="single" w:sz="4" w:space="0" w:color="auto"/>
            </w:tcBorders>
          </w:tcPr>
          <w:p w:rsidR="00396162" w:rsidRDefault="00396162" w:rsidP="00114079">
            <w:pPr>
              <w:pStyle w:val="Default"/>
              <w:rPr>
                <w:sz w:val="22"/>
                <w:szCs w:val="22"/>
              </w:rPr>
            </w:pPr>
            <w:r>
              <w:rPr>
                <w:sz w:val="22"/>
                <w:szCs w:val="22"/>
              </w:rPr>
              <w:t xml:space="preserve">4.08 </w:t>
            </w:r>
          </w:p>
        </w:tc>
      </w:tr>
      <w:tr w:rsidR="00396162" w:rsidTr="00396162">
        <w:trPr>
          <w:trHeight w:val="103"/>
        </w:trPr>
        <w:tc>
          <w:tcPr>
            <w:tcW w:w="1784" w:type="dxa"/>
            <w:tcBorders>
              <w:top w:val="single" w:sz="4" w:space="0" w:color="auto"/>
              <w:left w:val="single" w:sz="4" w:space="0" w:color="auto"/>
              <w:bottom w:val="single" w:sz="4" w:space="0" w:color="auto"/>
              <w:right w:val="single" w:sz="4" w:space="0" w:color="auto"/>
            </w:tcBorders>
            <w:vAlign w:val="bottom"/>
          </w:tcPr>
          <w:p w:rsidR="00396162" w:rsidRDefault="00396162">
            <w:pPr>
              <w:rPr>
                <w:rFonts w:cs="Arial"/>
                <w:color w:val="000000"/>
              </w:rPr>
            </w:pPr>
            <w:r>
              <w:rPr>
                <w:rFonts w:cs="Arial"/>
                <w:color w:val="000000"/>
              </w:rPr>
              <w:t>i</w:t>
            </w:r>
          </w:p>
        </w:tc>
        <w:tc>
          <w:tcPr>
            <w:tcW w:w="1784" w:type="dxa"/>
            <w:tcBorders>
              <w:top w:val="single" w:sz="4" w:space="0" w:color="auto"/>
              <w:left w:val="single" w:sz="4" w:space="0" w:color="auto"/>
              <w:bottom w:val="single" w:sz="4" w:space="0" w:color="auto"/>
              <w:right w:val="single" w:sz="4" w:space="0" w:color="auto"/>
            </w:tcBorders>
          </w:tcPr>
          <w:p w:rsidR="00396162" w:rsidRDefault="00396162" w:rsidP="00114079">
            <w:pPr>
              <w:pStyle w:val="Default"/>
              <w:rPr>
                <w:sz w:val="22"/>
                <w:szCs w:val="22"/>
              </w:rPr>
            </w:pPr>
            <w:r>
              <w:rPr>
                <w:sz w:val="22"/>
                <w:szCs w:val="22"/>
              </w:rPr>
              <w:t>3.83</w:t>
            </w:r>
          </w:p>
        </w:tc>
        <w:tc>
          <w:tcPr>
            <w:tcW w:w="1784" w:type="dxa"/>
            <w:tcBorders>
              <w:top w:val="single" w:sz="4" w:space="0" w:color="auto"/>
              <w:left w:val="single" w:sz="4" w:space="0" w:color="auto"/>
              <w:bottom w:val="single" w:sz="4" w:space="0" w:color="auto"/>
              <w:right w:val="single" w:sz="4" w:space="0" w:color="auto"/>
            </w:tcBorders>
          </w:tcPr>
          <w:p w:rsidR="00396162" w:rsidRDefault="00396162" w:rsidP="00114079">
            <w:pPr>
              <w:pStyle w:val="Default"/>
              <w:rPr>
                <w:sz w:val="22"/>
                <w:szCs w:val="22"/>
              </w:rPr>
            </w:pPr>
            <w:r>
              <w:rPr>
                <w:sz w:val="22"/>
                <w:szCs w:val="22"/>
              </w:rPr>
              <w:t>3.68</w:t>
            </w:r>
          </w:p>
        </w:tc>
        <w:tc>
          <w:tcPr>
            <w:tcW w:w="1784" w:type="dxa"/>
            <w:tcBorders>
              <w:top w:val="single" w:sz="4" w:space="0" w:color="auto"/>
              <w:left w:val="single" w:sz="4" w:space="0" w:color="auto"/>
              <w:bottom w:val="single" w:sz="4" w:space="0" w:color="auto"/>
              <w:right w:val="single" w:sz="4" w:space="0" w:color="auto"/>
            </w:tcBorders>
          </w:tcPr>
          <w:p w:rsidR="00396162" w:rsidRDefault="00396162" w:rsidP="00114079">
            <w:pPr>
              <w:pStyle w:val="Default"/>
              <w:rPr>
                <w:sz w:val="22"/>
                <w:szCs w:val="22"/>
              </w:rPr>
            </w:pPr>
          </w:p>
        </w:tc>
        <w:tc>
          <w:tcPr>
            <w:tcW w:w="1784" w:type="dxa"/>
            <w:tcBorders>
              <w:top w:val="single" w:sz="4" w:space="0" w:color="auto"/>
              <w:left w:val="single" w:sz="4" w:space="0" w:color="auto"/>
              <w:bottom w:val="single" w:sz="4" w:space="0" w:color="auto"/>
              <w:right w:val="single" w:sz="4" w:space="0" w:color="auto"/>
            </w:tcBorders>
          </w:tcPr>
          <w:p w:rsidR="00396162" w:rsidRDefault="00396162" w:rsidP="00114079">
            <w:pPr>
              <w:pStyle w:val="Default"/>
              <w:rPr>
                <w:sz w:val="22"/>
                <w:szCs w:val="22"/>
              </w:rPr>
            </w:pPr>
            <w:r>
              <w:rPr>
                <w:sz w:val="22"/>
                <w:szCs w:val="22"/>
              </w:rPr>
              <w:t>3.98</w:t>
            </w:r>
          </w:p>
        </w:tc>
      </w:tr>
      <w:tr w:rsidR="00396162" w:rsidTr="00396162">
        <w:trPr>
          <w:trHeight w:val="103"/>
        </w:trPr>
        <w:tc>
          <w:tcPr>
            <w:tcW w:w="1784" w:type="dxa"/>
            <w:tcBorders>
              <w:top w:val="single" w:sz="4" w:space="0" w:color="auto"/>
              <w:left w:val="single" w:sz="4" w:space="0" w:color="auto"/>
              <w:bottom w:val="single" w:sz="4" w:space="0" w:color="auto"/>
              <w:right w:val="single" w:sz="4" w:space="0" w:color="auto"/>
            </w:tcBorders>
            <w:vAlign w:val="bottom"/>
          </w:tcPr>
          <w:p w:rsidR="00396162" w:rsidRDefault="00396162">
            <w:pPr>
              <w:rPr>
                <w:rFonts w:cs="Arial"/>
                <w:color w:val="000000"/>
              </w:rPr>
            </w:pPr>
            <w:r>
              <w:rPr>
                <w:rFonts w:cs="Arial"/>
                <w:color w:val="000000"/>
              </w:rPr>
              <w:t>j</w:t>
            </w:r>
          </w:p>
        </w:tc>
        <w:tc>
          <w:tcPr>
            <w:tcW w:w="1784" w:type="dxa"/>
            <w:tcBorders>
              <w:top w:val="single" w:sz="4" w:space="0" w:color="auto"/>
              <w:left w:val="single" w:sz="4" w:space="0" w:color="auto"/>
              <w:bottom w:val="single" w:sz="4" w:space="0" w:color="auto"/>
              <w:right w:val="single" w:sz="4" w:space="0" w:color="auto"/>
            </w:tcBorders>
          </w:tcPr>
          <w:p w:rsidR="00396162" w:rsidRDefault="00396162" w:rsidP="00114079">
            <w:pPr>
              <w:pStyle w:val="Default"/>
              <w:rPr>
                <w:sz w:val="22"/>
                <w:szCs w:val="22"/>
              </w:rPr>
            </w:pPr>
            <w:r>
              <w:rPr>
                <w:sz w:val="22"/>
                <w:szCs w:val="22"/>
              </w:rPr>
              <w:t xml:space="preserve">4.28 </w:t>
            </w:r>
          </w:p>
        </w:tc>
        <w:tc>
          <w:tcPr>
            <w:tcW w:w="1784" w:type="dxa"/>
            <w:tcBorders>
              <w:top w:val="single" w:sz="4" w:space="0" w:color="auto"/>
              <w:left w:val="single" w:sz="4" w:space="0" w:color="auto"/>
              <w:bottom w:val="single" w:sz="4" w:space="0" w:color="auto"/>
              <w:right w:val="single" w:sz="4" w:space="0" w:color="auto"/>
            </w:tcBorders>
          </w:tcPr>
          <w:p w:rsidR="00396162" w:rsidRDefault="00396162" w:rsidP="00114079">
            <w:pPr>
              <w:pStyle w:val="Default"/>
              <w:rPr>
                <w:sz w:val="22"/>
                <w:szCs w:val="22"/>
              </w:rPr>
            </w:pPr>
            <w:r>
              <w:rPr>
                <w:sz w:val="22"/>
                <w:szCs w:val="22"/>
              </w:rPr>
              <w:t xml:space="preserve">3.51 </w:t>
            </w:r>
          </w:p>
        </w:tc>
        <w:tc>
          <w:tcPr>
            <w:tcW w:w="1784" w:type="dxa"/>
            <w:tcBorders>
              <w:top w:val="single" w:sz="4" w:space="0" w:color="auto"/>
              <w:left w:val="single" w:sz="4" w:space="0" w:color="auto"/>
              <w:bottom w:val="single" w:sz="4" w:space="0" w:color="auto"/>
              <w:right w:val="single" w:sz="4" w:space="0" w:color="auto"/>
            </w:tcBorders>
          </w:tcPr>
          <w:p w:rsidR="00396162" w:rsidRDefault="00396162" w:rsidP="00114079">
            <w:pPr>
              <w:pStyle w:val="Default"/>
              <w:rPr>
                <w:sz w:val="22"/>
                <w:szCs w:val="22"/>
              </w:rPr>
            </w:pPr>
            <w:r>
              <w:rPr>
                <w:sz w:val="22"/>
                <w:szCs w:val="22"/>
              </w:rPr>
              <w:t xml:space="preserve">7.23 </w:t>
            </w:r>
          </w:p>
        </w:tc>
        <w:tc>
          <w:tcPr>
            <w:tcW w:w="1784" w:type="dxa"/>
            <w:tcBorders>
              <w:top w:val="single" w:sz="4" w:space="0" w:color="auto"/>
              <w:left w:val="single" w:sz="4" w:space="0" w:color="auto"/>
              <w:bottom w:val="single" w:sz="4" w:space="0" w:color="auto"/>
              <w:right w:val="single" w:sz="4" w:space="0" w:color="auto"/>
            </w:tcBorders>
          </w:tcPr>
          <w:p w:rsidR="00396162" w:rsidRDefault="00396162" w:rsidP="00114079">
            <w:pPr>
              <w:pStyle w:val="Default"/>
              <w:rPr>
                <w:sz w:val="22"/>
                <w:szCs w:val="22"/>
              </w:rPr>
            </w:pPr>
            <w:r>
              <w:rPr>
                <w:sz w:val="22"/>
                <w:szCs w:val="22"/>
              </w:rPr>
              <w:t xml:space="preserve">4.32 </w:t>
            </w:r>
          </w:p>
        </w:tc>
      </w:tr>
      <w:tr w:rsidR="00396162" w:rsidTr="00396162">
        <w:trPr>
          <w:trHeight w:val="103"/>
        </w:trPr>
        <w:tc>
          <w:tcPr>
            <w:tcW w:w="1784" w:type="dxa"/>
            <w:tcBorders>
              <w:top w:val="single" w:sz="4" w:space="0" w:color="auto"/>
              <w:left w:val="single" w:sz="4" w:space="0" w:color="auto"/>
              <w:bottom w:val="single" w:sz="4" w:space="0" w:color="auto"/>
              <w:right w:val="single" w:sz="4" w:space="0" w:color="auto"/>
            </w:tcBorders>
            <w:vAlign w:val="bottom"/>
          </w:tcPr>
          <w:p w:rsidR="00396162" w:rsidRDefault="00396162">
            <w:pPr>
              <w:rPr>
                <w:rFonts w:cs="Arial"/>
                <w:color w:val="000000"/>
              </w:rPr>
            </w:pPr>
            <w:r>
              <w:rPr>
                <w:rFonts w:cs="Arial"/>
                <w:color w:val="000000"/>
              </w:rPr>
              <w:t>k</w:t>
            </w:r>
          </w:p>
        </w:tc>
        <w:tc>
          <w:tcPr>
            <w:tcW w:w="1784" w:type="dxa"/>
            <w:tcBorders>
              <w:top w:val="single" w:sz="4" w:space="0" w:color="auto"/>
              <w:left w:val="single" w:sz="4" w:space="0" w:color="auto"/>
              <w:bottom w:val="single" w:sz="4" w:space="0" w:color="auto"/>
              <w:right w:val="single" w:sz="4" w:space="0" w:color="auto"/>
            </w:tcBorders>
          </w:tcPr>
          <w:p w:rsidR="00396162" w:rsidRDefault="00396162" w:rsidP="00114079">
            <w:pPr>
              <w:pStyle w:val="Default"/>
              <w:rPr>
                <w:sz w:val="22"/>
                <w:szCs w:val="22"/>
              </w:rPr>
            </w:pPr>
            <w:r>
              <w:rPr>
                <w:sz w:val="22"/>
                <w:szCs w:val="22"/>
              </w:rPr>
              <w:t>3.60</w:t>
            </w:r>
          </w:p>
        </w:tc>
        <w:tc>
          <w:tcPr>
            <w:tcW w:w="1784" w:type="dxa"/>
            <w:tcBorders>
              <w:top w:val="single" w:sz="4" w:space="0" w:color="auto"/>
              <w:left w:val="single" w:sz="4" w:space="0" w:color="auto"/>
              <w:bottom w:val="single" w:sz="4" w:space="0" w:color="auto"/>
              <w:right w:val="single" w:sz="4" w:space="0" w:color="auto"/>
            </w:tcBorders>
          </w:tcPr>
          <w:p w:rsidR="00396162" w:rsidRDefault="00396162" w:rsidP="00114079">
            <w:pPr>
              <w:pStyle w:val="Default"/>
              <w:rPr>
                <w:sz w:val="22"/>
                <w:szCs w:val="22"/>
              </w:rPr>
            </w:pPr>
            <w:r>
              <w:rPr>
                <w:sz w:val="22"/>
                <w:szCs w:val="22"/>
              </w:rPr>
              <w:t xml:space="preserve">3.60 </w:t>
            </w:r>
          </w:p>
        </w:tc>
        <w:tc>
          <w:tcPr>
            <w:tcW w:w="1784" w:type="dxa"/>
            <w:tcBorders>
              <w:top w:val="single" w:sz="4" w:space="0" w:color="auto"/>
              <w:left w:val="single" w:sz="4" w:space="0" w:color="auto"/>
              <w:bottom w:val="single" w:sz="4" w:space="0" w:color="auto"/>
              <w:right w:val="single" w:sz="4" w:space="0" w:color="auto"/>
            </w:tcBorders>
          </w:tcPr>
          <w:p w:rsidR="00396162" w:rsidRDefault="00396162" w:rsidP="00114079">
            <w:pPr>
              <w:pStyle w:val="Default"/>
              <w:rPr>
                <w:sz w:val="22"/>
                <w:szCs w:val="22"/>
              </w:rPr>
            </w:pPr>
          </w:p>
        </w:tc>
        <w:tc>
          <w:tcPr>
            <w:tcW w:w="1784" w:type="dxa"/>
            <w:tcBorders>
              <w:top w:val="single" w:sz="4" w:space="0" w:color="auto"/>
              <w:left w:val="single" w:sz="4" w:space="0" w:color="auto"/>
              <w:bottom w:val="single" w:sz="4" w:space="0" w:color="auto"/>
              <w:right w:val="single" w:sz="4" w:space="0" w:color="auto"/>
            </w:tcBorders>
          </w:tcPr>
          <w:p w:rsidR="00396162" w:rsidRDefault="00396162" w:rsidP="00114079">
            <w:pPr>
              <w:pStyle w:val="Default"/>
              <w:rPr>
                <w:sz w:val="22"/>
                <w:szCs w:val="22"/>
              </w:rPr>
            </w:pPr>
            <w:r>
              <w:rPr>
                <w:sz w:val="22"/>
                <w:szCs w:val="22"/>
              </w:rPr>
              <w:t xml:space="preserve">3.66 </w:t>
            </w:r>
          </w:p>
        </w:tc>
      </w:tr>
      <w:tr w:rsidR="00396162" w:rsidTr="00114079">
        <w:trPr>
          <w:trHeight w:val="103"/>
        </w:trPr>
        <w:tc>
          <w:tcPr>
            <w:tcW w:w="1784" w:type="dxa"/>
            <w:tcBorders>
              <w:top w:val="single" w:sz="4" w:space="0" w:color="auto"/>
              <w:left w:val="single" w:sz="4" w:space="0" w:color="auto"/>
              <w:bottom w:val="single" w:sz="4" w:space="0" w:color="auto"/>
              <w:right w:val="single" w:sz="4" w:space="0" w:color="auto"/>
            </w:tcBorders>
          </w:tcPr>
          <w:p w:rsidR="00396162" w:rsidRDefault="00396162">
            <w:pPr>
              <w:rPr>
                <w:rFonts w:cs="Arial"/>
                <w:color w:val="000000"/>
                <w:sz w:val="22"/>
                <w:szCs w:val="22"/>
              </w:rPr>
            </w:pPr>
            <w:r>
              <w:rPr>
                <w:rFonts w:cs="Arial"/>
                <w:color w:val="000000"/>
                <w:sz w:val="22"/>
                <w:szCs w:val="22"/>
              </w:rPr>
              <w:t>l</w:t>
            </w:r>
          </w:p>
        </w:tc>
        <w:tc>
          <w:tcPr>
            <w:tcW w:w="1784" w:type="dxa"/>
            <w:tcBorders>
              <w:top w:val="single" w:sz="4" w:space="0" w:color="auto"/>
              <w:left w:val="single" w:sz="4" w:space="0" w:color="auto"/>
              <w:bottom w:val="single" w:sz="4" w:space="0" w:color="auto"/>
              <w:right w:val="single" w:sz="4" w:space="0" w:color="auto"/>
            </w:tcBorders>
          </w:tcPr>
          <w:p w:rsidR="00396162" w:rsidRDefault="00396162" w:rsidP="00114079">
            <w:pPr>
              <w:pStyle w:val="Default"/>
              <w:rPr>
                <w:sz w:val="22"/>
                <w:szCs w:val="22"/>
              </w:rPr>
            </w:pPr>
          </w:p>
        </w:tc>
        <w:tc>
          <w:tcPr>
            <w:tcW w:w="1784" w:type="dxa"/>
            <w:tcBorders>
              <w:top w:val="single" w:sz="4" w:space="0" w:color="auto"/>
              <w:left w:val="single" w:sz="4" w:space="0" w:color="auto"/>
              <w:bottom w:val="single" w:sz="4" w:space="0" w:color="auto"/>
              <w:right w:val="single" w:sz="4" w:space="0" w:color="auto"/>
            </w:tcBorders>
          </w:tcPr>
          <w:p w:rsidR="00396162" w:rsidRDefault="00396162" w:rsidP="00114079">
            <w:pPr>
              <w:pStyle w:val="Default"/>
              <w:rPr>
                <w:sz w:val="22"/>
                <w:szCs w:val="22"/>
              </w:rPr>
            </w:pPr>
            <w:r>
              <w:rPr>
                <w:sz w:val="22"/>
                <w:szCs w:val="22"/>
              </w:rPr>
              <w:t xml:space="preserve">4.22 (base) </w:t>
            </w:r>
          </w:p>
        </w:tc>
        <w:tc>
          <w:tcPr>
            <w:tcW w:w="1784" w:type="dxa"/>
            <w:tcBorders>
              <w:top w:val="single" w:sz="4" w:space="0" w:color="auto"/>
              <w:left w:val="single" w:sz="4" w:space="0" w:color="auto"/>
              <w:bottom w:val="single" w:sz="4" w:space="0" w:color="auto"/>
              <w:right w:val="single" w:sz="4" w:space="0" w:color="auto"/>
            </w:tcBorders>
          </w:tcPr>
          <w:p w:rsidR="00396162" w:rsidRDefault="00396162" w:rsidP="00114079">
            <w:pPr>
              <w:pStyle w:val="Default"/>
              <w:rPr>
                <w:sz w:val="22"/>
                <w:szCs w:val="22"/>
              </w:rPr>
            </w:pPr>
            <w:r>
              <w:rPr>
                <w:sz w:val="22"/>
                <w:szCs w:val="22"/>
              </w:rPr>
              <w:t>7.32 (base)</w:t>
            </w:r>
          </w:p>
        </w:tc>
        <w:tc>
          <w:tcPr>
            <w:tcW w:w="1784" w:type="dxa"/>
            <w:tcBorders>
              <w:top w:val="single" w:sz="4" w:space="0" w:color="auto"/>
              <w:left w:val="single" w:sz="4" w:space="0" w:color="auto"/>
              <w:bottom w:val="single" w:sz="4" w:space="0" w:color="auto"/>
              <w:right w:val="single" w:sz="4" w:space="0" w:color="auto"/>
            </w:tcBorders>
          </w:tcPr>
          <w:p w:rsidR="00396162" w:rsidRDefault="00396162" w:rsidP="00114079">
            <w:pPr>
              <w:pStyle w:val="Default"/>
              <w:rPr>
                <w:sz w:val="22"/>
                <w:szCs w:val="22"/>
              </w:rPr>
            </w:pPr>
            <w:r>
              <w:rPr>
                <w:sz w:val="22"/>
                <w:szCs w:val="22"/>
              </w:rPr>
              <w:t>3.66 (base)</w:t>
            </w:r>
          </w:p>
        </w:tc>
      </w:tr>
      <w:tr w:rsidR="00396162" w:rsidTr="00396162">
        <w:trPr>
          <w:trHeight w:val="103"/>
        </w:trPr>
        <w:tc>
          <w:tcPr>
            <w:tcW w:w="1784" w:type="dxa"/>
            <w:tcBorders>
              <w:top w:val="single" w:sz="4" w:space="0" w:color="auto"/>
              <w:left w:val="single" w:sz="4" w:space="0" w:color="auto"/>
              <w:bottom w:val="single" w:sz="4" w:space="0" w:color="auto"/>
              <w:right w:val="single" w:sz="4" w:space="0" w:color="auto"/>
            </w:tcBorders>
            <w:vAlign w:val="bottom"/>
          </w:tcPr>
          <w:p w:rsidR="00396162" w:rsidRDefault="00396162">
            <w:pPr>
              <w:rPr>
                <w:rFonts w:cs="Arial"/>
                <w:color w:val="000000"/>
              </w:rPr>
            </w:pPr>
            <w:r>
              <w:rPr>
                <w:rFonts w:cs="Arial"/>
                <w:color w:val="000000"/>
              </w:rPr>
              <w:t>m</w:t>
            </w:r>
          </w:p>
        </w:tc>
        <w:tc>
          <w:tcPr>
            <w:tcW w:w="1784" w:type="dxa"/>
            <w:tcBorders>
              <w:top w:val="single" w:sz="4" w:space="0" w:color="auto"/>
              <w:left w:val="single" w:sz="4" w:space="0" w:color="auto"/>
              <w:bottom w:val="single" w:sz="4" w:space="0" w:color="auto"/>
              <w:right w:val="single" w:sz="4" w:space="0" w:color="auto"/>
            </w:tcBorders>
          </w:tcPr>
          <w:p w:rsidR="00396162" w:rsidRDefault="00396162" w:rsidP="00114079">
            <w:pPr>
              <w:pStyle w:val="Default"/>
              <w:rPr>
                <w:sz w:val="22"/>
                <w:szCs w:val="22"/>
              </w:rPr>
            </w:pPr>
          </w:p>
        </w:tc>
        <w:tc>
          <w:tcPr>
            <w:tcW w:w="1784" w:type="dxa"/>
            <w:tcBorders>
              <w:top w:val="single" w:sz="4" w:space="0" w:color="auto"/>
              <w:left w:val="single" w:sz="4" w:space="0" w:color="auto"/>
              <w:bottom w:val="single" w:sz="4" w:space="0" w:color="auto"/>
              <w:right w:val="single" w:sz="4" w:space="0" w:color="auto"/>
            </w:tcBorders>
          </w:tcPr>
          <w:p w:rsidR="00396162" w:rsidRDefault="00396162" w:rsidP="00114079">
            <w:pPr>
              <w:pStyle w:val="Default"/>
              <w:rPr>
                <w:sz w:val="22"/>
                <w:szCs w:val="22"/>
              </w:rPr>
            </w:pPr>
            <w:r>
              <w:rPr>
                <w:sz w:val="22"/>
                <w:szCs w:val="22"/>
              </w:rPr>
              <w:t xml:space="preserve">4.42 </w:t>
            </w:r>
          </w:p>
        </w:tc>
        <w:tc>
          <w:tcPr>
            <w:tcW w:w="1784" w:type="dxa"/>
            <w:tcBorders>
              <w:top w:val="single" w:sz="4" w:space="0" w:color="auto"/>
              <w:left w:val="single" w:sz="4" w:space="0" w:color="auto"/>
              <w:bottom w:val="single" w:sz="4" w:space="0" w:color="auto"/>
              <w:right w:val="single" w:sz="4" w:space="0" w:color="auto"/>
            </w:tcBorders>
          </w:tcPr>
          <w:p w:rsidR="00396162" w:rsidRDefault="00396162" w:rsidP="00114079">
            <w:pPr>
              <w:pStyle w:val="Default"/>
              <w:rPr>
                <w:sz w:val="22"/>
                <w:szCs w:val="22"/>
              </w:rPr>
            </w:pPr>
            <w:r>
              <w:rPr>
                <w:sz w:val="22"/>
                <w:szCs w:val="22"/>
              </w:rPr>
              <w:t xml:space="preserve">7.87-8.95 </w:t>
            </w:r>
          </w:p>
        </w:tc>
        <w:tc>
          <w:tcPr>
            <w:tcW w:w="1784" w:type="dxa"/>
            <w:tcBorders>
              <w:top w:val="single" w:sz="4" w:space="0" w:color="auto"/>
              <w:left w:val="single" w:sz="4" w:space="0" w:color="auto"/>
              <w:bottom w:val="single" w:sz="4" w:space="0" w:color="auto"/>
              <w:right w:val="single" w:sz="4" w:space="0" w:color="auto"/>
            </w:tcBorders>
          </w:tcPr>
          <w:p w:rsidR="00396162" w:rsidRDefault="00396162" w:rsidP="00114079">
            <w:pPr>
              <w:pStyle w:val="Default"/>
              <w:rPr>
                <w:sz w:val="22"/>
                <w:szCs w:val="22"/>
              </w:rPr>
            </w:pPr>
            <w:r>
              <w:rPr>
                <w:sz w:val="22"/>
                <w:szCs w:val="22"/>
              </w:rPr>
              <w:t>4.72</w:t>
            </w:r>
          </w:p>
        </w:tc>
      </w:tr>
    </w:tbl>
    <w:p w:rsidR="009E4F72" w:rsidRDefault="009E4F72" w:rsidP="00C77151">
      <w:pPr>
        <w:ind w:left="720" w:hanging="720"/>
        <w:jc w:val="both"/>
      </w:pPr>
    </w:p>
    <w:p w:rsidR="001A02C6" w:rsidRDefault="001A02C6" w:rsidP="005317E1">
      <w:pPr>
        <w:jc w:val="both"/>
      </w:pPr>
    </w:p>
    <w:p w:rsidR="00273968" w:rsidRDefault="002B4D11" w:rsidP="009E4F72">
      <w:pPr>
        <w:pStyle w:val="ListParagraph"/>
        <w:numPr>
          <w:ilvl w:val="0"/>
          <w:numId w:val="14"/>
        </w:numPr>
        <w:pBdr>
          <w:top w:val="single" w:sz="4" w:space="1" w:color="auto"/>
          <w:left w:val="single" w:sz="4" w:space="4" w:color="auto"/>
          <w:bottom w:val="single" w:sz="4" w:space="1" w:color="auto"/>
          <w:right w:val="single" w:sz="4" w:space="4" w:color="auto"/>
        </w:pBdr>
        <w:ind w:left="709" w:hanging="709"/>
        <w:jc w:val="both"/>
      </w:pPr>
      <w:r w:rsidRPr="00FC582B">
        <w:rPr>
          <w:b/>
          <w:i/>
        </w:rPr>
        <w:t xml:space="preserve">Decision – School Forum to approve </w:t>
      </w:r>
      <w:r w:rsidR="00FC582B" w:rsidRPr="00FC582B">
        <w:rPr>
          <w:b/>
          <w:i/>
        </w:rPr>
        <w:t>to maintain the existing hourly rates.</w:t>
      </w:r>
      <w:r w:rsidR="00FC582B">
        <w:t xml:space="preserve"> </w:t>
      </w:r>
    </w:p>
    <w:p w:rsidR="00483FA7" w:rsidRDefault="00483FA7" w:rsidP="00483FA7">
      <w:pPr>
        <w:jc w:val="both"/>
      </w:pPr>
    </w:p>
    <w:p w:rsidR="00885890" w:rsidRDefault="00885890" w:rsidP="00C77151">
      <w:pPr>
        <w:ind w:left="720" w:hanging="720"/>
        <w:jc w:val="both"/>
        <w:rPr>
          <w:b/>
        </w:rPr>
      </w:pPr>
      <w:r>
        <w:rPr>
          <w:b/>
        </w:rPr>
        <w:t>6.</w:t>
      </w:r>
      <w:r>
        <w:rPr>
          <w:b/>
        </w:rPr>
        <w:tab/>
        <w:t>Growth Fund Update</w:t>
      </w:r>
    </w:p>
    <w:p w:rsidR="00885890" w:rsidRDefault="00885890" w:rsidP="00C77151">
      <w:pPr>
        <w:ind w:left="720" w:hanging="720"/>
        <w:jc w:val="both"/>
        <w:rPr>
          <w:b/>
        </w:rPr>
      </w:pPr>
    </w:p>
    <w:p w:rsidR="00885890" w:rsidRDefault="005622D3" w:rsidP="00C77151">
      <w:pPr>
        <w:ind w:left="720" w:hanging="720"/>
        <w:jc w:val="both"/>
        <w:rPr>
          <w:b/>
        </w:rPr>
      </w:pPr>
      <w:r>
        <w:t>6.1</w:t>
      </w:r>
      <w:r>
        <w:tab/>
        <w:t xml:space="preserve">Schools Forum requested a presentation on the Growth Fund and PAN Funding. The criteria for the Growth Fund and PAN funding was agreed at Schools Forum on 12 January. The </w:t>
      </w:r>
      <w:r w:rsidR="00425046">
        <w:t xml:space="preserve">current </w:t>
      </w:r>
      <w:r>
        <w:t>allocation for 2016/17 is attached in Appendix B.</w:t>
      </w:r>
      <w:r w:rsidR="00425046">
        <w:t xml:space="preserve"> Further requests will place a pressure on the Growth Fund and will be managed from the DSG reserve.</w:t>
      </w:r>
    </w:p>
    <w:p w:rsidR="00885890" w:rsidRDefault="00885890" w:rsidP="00C77151">
      <w:pPr>
        <w:ind w:left="720" w:hanging="720"/>
        <w:jc w:val="both"/>
        <w:rPr>
          <w:b/>
        </w:rPr>
      </w:pPr>
    </w:p>
    <w:p w:rsidR="0077588E" w:rsidRPr="00605CEF" w:rsidRDefault="000754BD" w:rsidP="00C77151">
      <w:pPr>
        <w:ind w:left="720" w:hanging="720"/>
        <w:jc w:val="both"/>
        <w:rPr>
          <w:b/>
        </w:rPr>
      </w:pPr>
      <w:r w:rsidRPr="00605CEF">
        <w:rPr>
          <w:b/>
        </w:rPr>
        <w:t>7</w:t>
      </w:r>
      <w:r w:rsidR="00DC392E" w:rsidRPr="00605CEF">
        <w:rPr>
          <w:b/>
        </w:rPr>
        <w:t>.</w:t>
      </w:r>
      <w:r w:rsidR="00DC392E" w:rsidRPr="00605CEF">
        <w:tab/>
      </w:r>
      <w:r w:rsidR="0077588E" w:rsidRPr="00605CEF">
        <w:rPr>
          <w:b/>
        </w:rPr>
        <w:t>High Needs Working Group update</w:t>
      </w:r>
    </w:p>
    <w:p w:rsidR="0077588E" w:rsidRDefault="0077588E" w:rsidP="00C77151">
      <w:pPr>
        <w:ind w:left="720" w:hanging="720"/>
        <w:jc w:val="both"/>
      </w:pPr>
    </w:p>
    <w:p w:rsidR="00E41F6D" w:rsidRDefault="000754BD" w:rsidP="00E41F6D">
      <w:pPr>
        <w:ind w:left="720" w:hanging="720"/>
        <w:jc w:val="both"/>
      </w:pPr>
      <w:r>
        <w:t>7</w:t>
      </w:r>
      <w:r w:rsidR="00E41F6D">
        <w:t>.1</w:t>
      </w:r>
      <w:r w:rsidR="00E41F6D">
        <w:tab/>
        <w:t>The Schools Forum HNB working sub group met 26</w:t>
      </w:r>
      <w:r w:rsidR="00E41F6D" w:rsidRPr="00287A1C">
        <w:rPr>
          <w:vertAlign w:val="superscript"/>
        </w:rPr>
        <w:t>th</w:t>
      </w:r>
      <w:r w:rsidR="00E41F6D">
        <w:t xml:space="preserve"> January 2016 and reported that the 10% (£1.3m) saving cuts across areas within the HNB is reported on track for delivery 2015/16.</w:t>
      </w:r>
    </w:p>
    <w:p w:rsidR="00E41F6D" w:rsidRDefault="00E41F6D" w:rsidP="00E41F6D">
      <w:pPr>
        <w:ind w:left="720"/>
        <w:jc w:val="both"/>
      </w:pPr>
    </w:p>
    <w:p w:rsidR="00E41F6D" w:rsidRDefault="000754BD" w:rsidP="00E41F6D">
      <w:pPr>
        <w:ind w:left="720" w:hanging="720"/>
        <w:jc w:val="both"/>
      </w:pPr>
      <w:r>
        <w:t>7</w:t>
      </w:r>
      <w:r w:rsidR="00E41F6D">
        <w:t>.2</w:t>
      </w:r>
      <w:r w:rsidR="00E41F6D">
        <w:tab/>
        <w:t xml:space="preserve">2016/17 proposed savings was discussed and areas of support to realign some of the savings for 2016/17 were discussed.  Each budget line was reported for budget setting 2016/17 HNB budget.  In total £2.634m (9%) savings was proposed and £1.184m realigned to support reporting pressures for 2016/17.  Appendix </w:t>
      </w:r>
      <w:r w:rsidR="00425046">
        <w:t xml:space="preserve">C </w:t>
      </w:r>
      <w:r w:rsidR="00E41F6D">
        <w:t>attached summarises the 2016/17 HNB.</w:t>
      </w:r>
    </w:p>
    <w:p w:rsidR="00E41F6D" w:rsidRDefault="00E41F6D" w:rsidP="00E41F6D">
      <w:pPr>
        <w:ind w:left="1440" w:hanging="720"/>
        <w:jc w:val="both"/>
      </w:pPr>
    </w:p>
    <w:p w:rsidR="00E41F6D" w:rsidRDefault="000754BD" w:rsidP="00E41F6D">
      <w:pPr>
        <w:ind w:left="720" w:hanging="720"/>
        <w:jc w:val="both"/>
      </w:pPr>
      <w:r>
        <w:t>7</w:t>
      </w:r>
      <w:r w:rsidR="00E41F6D">
        <w:t>.3</w:t>
      </w:r>
      <w:r w:rsidR="00E41F6D">
        <w:tab/>
        <w:t>Modelling work on the Additional Resource Provision (ARP) vacancies covering the last 2 financial years was discussed and it was agreed that “realignment of places” was a more suitable outcome rather than recoupment for 2016/17 from schools.</w:t>
      </w:r>
    </w:p>
    <w:p w:rsidR="00E41F6D" w:rsidRDefault="00E41F6D" w:rsidP="00E41F6D">
      <w:pPr>
        <w:ind w:left="720"/>
        <w:jc w:val="both"/>
      </w:pPr>
    </w:p>
    <w:p w:rsidR="00E41F6D" w:rsidRDefault="000754BD" w:rsidP="00E41F6D">
      <w:pPr>
        <w:ind w:left="720" w:hanging="720"/>
        <w:jc w:val="both"/>
      </w:pPr>
      <w:r>
        <w:t>7</w:t>
      </w:r>
      <w:r w:rsidR="00E41F6D">
        <w:t>.4</w:t>
      </w:r>
      <w:r w:rsidR="00E41F6D">
        <w:tab/>
        <w:t xml:space="preserve">In place planning for the academic year, Trinity Special School currently holds 273 filled places and 12 ARP filled places (285 total), and due to increased demand and LBBD strategy to return out of borough placed children to quality in-house provision, it is proposed to increase the school’s places to 278 and 12 ARP, totalling 290 places commencing the academic year.  Resources for this provision will be to </w:t>
      </w:r>
      <w:r w:rsidR="00E41F6D">
        <w:lastRenderedPageBreak/>
        <w:t>realign the planned additional vacant budgeted places from Riverside Bridge to Trinity School.</w:t>
      </w:r>
    </w:p>
    <w:p w:rsidR="00E41F6D" w:rsidRDefault="00E41F6D" w:rsidP="00E41F6D">
      <w:pPr>
        <w:ind w:left="720"/>
        <w:jc w:val="both"/>
      </w:pPr>
    </w:p>
    <w:p w:rsidR="00E41F6D" w:rsidRDefault="00E41F6D" w:rsidP="00E41F6D">
      <w:pPr>
        <w:ind w:left="720" w:hanging="720"/>
        <w:jc w:val="both"/>
      </w:pPr>
      <w:r>
        <w:t xml:space="preserve"> </w:t>
      </w:r>
      <w:r w:rsidR="000754BD">
        <w:t>7</w:t>
      </w:r>
      <w:r>
        <w:t>.5</w:t>
      </w:r>
      <w:r>
        <w:tab/>
        <w:t xml:space="preserve">The Isos work strands was updated including `desktop reviews’ and a proposal agreed to invite a representative from Health to the next sub group meeting. </w:t>
      </w:r>
    </w:p>
    <w:p w:rsidR="00E41F6D" w:rsidRDefault="00E41F6D" w:rsidP="00E41F6D">
      <w:pPr>
        <w:jc w:val="both"/>
        <w:rPr>
          <w:rFonts w:cs="Arial"/>
          <w:b/>
          <w:i/>
        </w:rPr>
      </w:pPr>
    </w:p>
    <w:p w:rsidR="00E41F6D" w:rsidRDefault="000754BD" w:rsidP="00E41F6D">
      <w:pPr>
        <w:ind w:left="720" w:hanging="720"/>
        <w:jc w:val="both"/>
        <w:rPr>
          <w:rFonts w:cs="Arial"/>
        </w:rPr>
      </w:pPr>
      <w:r>
        <w:rPr>
          <w:rFonts w:cs="Arial"/>
        </w:rPr>
        <w:t>7</w:t>
      </w:r>
      <w:r w:rsidR="00E41F6D">
        <w:rPr>
          <w:rFonts w:cs="Arial"/>
        </w:rPr>
        <w:t>.6</w:t>
      </w:r>
      <w:r w:rsidR="00E41F6D">
        <w:rPr>
          <w:rFonts w:cs="Arial"/>
        </w:rPr>
        <w:tab/>
        <w:t>The next proposed HNB working sub group meeting is planned for 22</w:t>
      </w:r>
      <w:r w:rsidR="00E41F6D" w:rsidRPr="00ED0C39">
        <w:rPr>
          <w:rFonts w:cs="Arial"/>
          <w:vertAlign w:val="superscript"/>
        </w:rPr>
        <w:t>nd</w:t>
      </w:r>
      <w:r w:rsidR="00E41F6D">
        <w:rPr>
          <w:rFonts w:cs="Arial"/>
        </w:rPr>
        <w:t xml:space="preserve"> March 2016, 11am to 1pm, at Sydney Russell School.</w:t>
      </w:r>
    </w:p>
    <w:p w:rsidR="00E41F6D" w:rsidRPr="001C7931" w:rsidRDefault="00E41F6D" w:rsidP="00E41F6D">
      <w:pPr>
        <w:ind w:left="720" w:hanging="720"/>
        <w:jc w:val="both"/>
      </w:pPr>
    </w:p>
    <w:p w:rsidR="00E41F6D" w:rsidRDefault="00E41F6D" w:rsidP="00E41F6D">
      <w:pPr>
        <w:pStyle w:val="ListParagraph"/>
        <w:numPr>
          <w:ilvl w:val="0"/>
          <w:numId w:val="14"/>
        </w:numPr>
        <w:pBdr>
          <w:top w:val="single" w:sz="4" w:space="1" w:color="auto"/>
          <w:left w:val="single" w:sz="4" w:space="4" w:color="auto"/>
          <w:bottom w:val="single" w:sz="4" w:space="1" w:color="auto"/>
          <w:right w:val="single" w:sz="4" w:space="4" w:color="auto"/>
        </w:pBdr>
        <w:ind w:left="709" w:hanging="709"/>
        <w:jc w:val="both"/>
        <w:rPr>
          <w:b/>
          <w:i/>
        </w:rPr>
      </w:pPr>
      <w:r w:rsidRPr="006B1741">
        <w:rPr>
          <w:b/>
          <w:i/>
        </w:rPr>
        <w:t xml:space="preserve">Decision – School Forum to approve </w:t>
      </w:r>
      <w:r>
        <w:rPr>
          <w:b/>
          <w:i/>
        </w:rPr>
        <w:t xml:space="preserve">proposed </w:t>
      </w:r>
      <w:r w:rsidRPr="006B1741">
        <w:rPr>
          <w:b/>
          <w:i/>
        </w:rPr>
        <w:t xml:space="preserve">9% savings £2.634m within the </w:t>
      </w:r>
      <w:r>
        <w:rPr>
          <w:b/>
          <w:i/>
        </w:rPr>
        <w:t xml:space="preserve">2016/17 </w:t>
      </w:r>
      <w:r w:rsidRPr="006B1741">
        <w:rPr>
          <w:b/>
          <w:i/>
        </w:rPr>
        <w:t>HNB and realign £1.184m in support of future pressures</w:t>
      </w:r>
      <w:r>
        <w:rPr>
          <w:b/>
          <w:i/>
        </w:rPr>
        <w:t>.</w:t>
      </w:r>
    </w:p>
    <w:p w:rsidR="00E41F6D" w:rsidRDefault="00E41F6D" w:rsidP="00E41F6D">
      <w:pPr>
        <w:ind w:left="720"/>
        <w:rPr>
          <w:b/>
          <w:i/>
        </w:rPr>
      </w:pPr>
    </w:p>
    <w:p w:rsidR="00E41F6D" w:rsidRPr="006B1741" w:rsidRDefault="00E41F6D" w:rsidP="00E41F6D">
      <w:pPr>
        <w:pStyle w:val="ListParagraph"/>
        <w:numPr>
          <w:ilvl w:val="0"/>
          <w:numId w:val="14"/>
        </w:numPr>
        <w:pBdr>
          <w:top w:val="single" w:sz="4" w:space="1" w:color="auto"/>
          <w:left w:val="single" w:sz="4" w:space="4" w:color="auto"/>
          <w:bottom w:val="single" w:sz="4" w:space="1" w:color="auto"/>
          <w:right w:val="single" w:sz="4" w:space="4" w:color="auto"/>
        </w:pBdr>
        <w:ind w:left="709" w:hanging="709"/>
        <w:jc w:val="both"/>
        <w:rPr>
          <w:b/>
          <w:i/>
        </w:rPr>
      </w:pPr>
      <w:r>
        <w:rPr>
          <w:b/>
          <w:i/>
        </w:rPr>
        <w:t>Decision – School Forum to approve the increase in place provision at Trinity School to 290 in total (including 12 ARP) and utilise vacant place resources from Riverside Bridge to Trinity School.</w:t>
      </w:r>
    </w:p>
    <w:p w:rsidR="003F7012" w:rsidRDefault="003F7012" w:rsidP="00E41F6D">
      <w:pPr>
        <w:ind w:left="720" w:hanging="720"/>
        <w:jc w:val="both"/>
      </w:pPr>
    </w:p>
    <w:p w:rsidR="00526CE3" w:rsidRDefault="00526CE3" w:rsidP="00526CE3">
      <w:pPr>
        <w:pStyle w:val="ListParagraph"/>
        <w:numPr>
          <w:ilvl w:val="0"/>
          <w:numId w:val="14"/>
        </w:numPr>
        <w:pBdr>
          <w:top w:val="single" w:sz="4" w:space="1" w:color="auto"/>
          <w:left w:val="single" w:sz="4" w:space="4" w:color="auto"/>
          <w:bottom w:val="single" w:sz="4" w:space="1" w:color="auto"/>
          <w:right w:val="single" w:sz="4" w:space="4" w:color="auto"/>
        </w:pBdr>
        <w:ind w:left="709" w:hanging="709"/>
        <w:jc w:val="both"/>
        <w:rPr>
          <w:b/>
          <w:i/>
        </w:rPr>
      </w:pPr>
      <w:r w:rsidRPr="006B1741">
        <w:rPr>
          <w:b/>
          <w:i/>
        </w:rPr>
        <w:t xml:space="preserve">Decision – School Forum </w:t>
      </w:r>
      <w:r>
        <w:rPr>
          <w:b/>
          <w:i/>
        </w:rPr>
        <w:t xml:space="preserve">agree </w:t>
      </w:r>
      <w:r w:rsidRPr="006B1741">
        <w:rPr>
          <w:b/>
          <w:i/>
        </w:rPr>
        <w:t xml:space="preserve">to </w:t>
      </w:r>
      <w:r>
        <w:rPr>
          <w:b/>
          <w:i/>
        </w:rPr>
        <w:t xml:space="preserve">the retention of the High Needs consultant for 3 days per week, for a further academic year to continue </w:t>
      </w:r>
      <w:r w:rsidR="00820DC8">
        <w:rPr>
          <w:b/>
          <w:i/>
        </w:rPr>
        <w:t xml:space="preserve">supporting the HNB. </w:t>
      </w:r>
      <w:r w:rsidR="00FE5D12">
        <w:rPr>
          <w:b/>
          <w:i/>
        </w:rPr>
        <w:t>This is to be funded from the HNB.</w:t>
      </w:r>
    </w:p>
    <w:p w:rsidR="00A903F7" w:rsidRDefault="00A903F7" w:rsidP="00A903F7"/>
    <w:p w:rsidR="00B54455" w:rsidRDefault="00B54455" w:rsidP="00A903F7">
      <w:pPr>
        <w:rPr>
          <w:b/>
          <w:u w:val="single"/>
        </w:rPr>
      </w:pPr>
    </w:p>
    <w:p w:rsidR="00605CEF" w:rsidRPr="00B221E7" w:rsidRDefault="00605CEF" w:rsidP="00605CEF">
      <w:pPr>
        <w:ind w:left="720" w:hanging="720"/>
        <w:jc w:val="both"/>
        <w:rPr>
          <w:b/>
        </w:rPr>
      </w:pPr>
      <w:r>
        <w:rPr>
          <w:b/>
        </w:rPr>
        <w:t>8.</w:t>
      </w:r>
      <w:r>
        <w:rPr>
          <w:b/>
        </w:rPr>
        <w:tab/>
      </w:r>
      <w:r w:rsidRPr="00B221E7">
        <w:rPr>
          <w:b/>
        </w:rPr>
        <w:t>High Needs Exceptional one year SEND Funding</w:t>
      </w:r>
      <w:r>
        <w:rPr>
          <w:b/>
        </w:rPr>
        <w:t xml:space="preserve"> 2016-17</w:t>
      </w:r>
    </w:p>
    <w:p w:rsidR="00605CEF" w:rsidRDefault="00605CEF" w:rsidP="00605CEF">
      <w:pPr>
        <w:ind w:left="720" w:hanging="720"/>
        <w:jc w:val="both"/>
      </w:pPr>
    </w:p>
    <w:p w:rsidR="00605CEF" w:rsidRPr="00605CEF" w:rsidRDefault="00605CEF" w:rsidP="00605CEF">
      <w:pPr>
        <w:ind w:left="720" w:hanging="720"/>
        <w:jc w:val="both"/>
        <w:rPr>
          <w:rFonts w:cs="Arial"/>
        </w:rPr>
      </w:pPr>
      <w:r w:rsidRPr="00605CEF">
        <w:rPr>
          <w:rFonts w:cs="Arial"/>
        </w:rPr>
        <w:t>8.1</w:t>
      </w:r>
      <w:r w:rsidRPr="00605CEF">
        <w:rPr>
          <w:rFonts w:cs="Arial"/>
        </w:rPr>
        <w:tab/>
        <w:t>The High Needs Exceptional one year funding in support of the SEND Strategy was</w:t>
      </w:r>
      <w:r>
        <w:rPr>
          <w:rFonts w:cs="Arial"/>
        </w:rPr>
        <w:t xml:space="preserve"> discussed </w:t>
      </w:r>
      <w:r w:rsidRPr="00605CEF">
        <w:rPr>
          <w:rFonts w:cs="Arial"/>
        </w:rPr>
        <w:t xml:space="preserve">and reported bids submitted to the local authority at the last HNB working </w:t>
      </w:r>
      <w:r>
        <w:rPr>
          <w:rFonts w:cs="Arial"/>
        </w:rPr>
        <w:t>sub group meeting.</w:t>
      </w:r>
    </w:p>
    <w:p w:rsidR="00605CEF" w:rsidRDefault="00605CEF" w:rsidP="00605CEF">
      <w:pPr>
        <w:ind w:left="720" w:hanging="720"/>
        <w:jc w:val="both"/>
      </w:pPr>
    </w:p>
    <w:p w:rsidR="00605CEF" w:rsidRDefault="00605CEF" w:rsidP="00605CEF">
      <w:pPr>
        <w:ind w:left="720" w:hanging="720"/>
        <w:jc w:val="both"/>
        <w:rPr>
          <w:rFonts w:cs="Arial"/>
        </w:rPr>
      </w:pPr>
      <w:r w:rsidRPr="00605CEF">
        <w:rPr>
          <w:rFonts w:cs="Arial"/>
        </w:rPr>
        <w:t>8.2</w:t>
      </w:r>
      <w:r w:rsidRPr="00605CEF">
        <w:rPr>
          <w:rFonts w:cs="Arial"/>
        </w:rPr>
        <w:tab/>
        <w:t xml:space="preserve">A proposal was suggested for the Early Years settings, including PVI’s for a flat rate </w:t>
      </w:r>
      <w:r>
        <w:rPr>
          <w:rFonts w:cs="Arial"/>
        </w:rPr>
        <w:t xml:space="preserve">of </w:t>
      </w:r>
      <w:r w:rsidRPr="00605CEF">
        <w:rPr>
          <w:rFonts w:cs="Arial"/>
        </w:rPr>
        <w:t xml:space="preserve">£40 per census count in support of the SEND Strategy and,  due to reporting </w:t>
      </w:r>
      <w:r>
        <w:rPr>
          <w:rFonts w:cs="Arial"/>
        </w:rPr>
        <w:t>timescales</w:t>
      </w:r>
      <w:r w:rsidRPr="00605CEF">
        <w:rPr>
          <w:rFonts w:cs="Arial"/>
        </w:rPr>
        <w:t xml:space="preserve"> and the legal requirements for School Forum  approval, an email was </w:t>
      </w:r>
      <w:r>
        <w:rPr>
          <w:rFonts w:cs="Arial"/>
        </w:rPr>
        <w:t xml:space="preserve">distributed </w:t>
      </w:r>
      <w:r w:rsidRPr="00605CEF">
        <w:rPr>
          <w:rFonts w:cs="Arial"/>
        </w:rPr>
        <w:t>with voting buttons for acceptance of this.  This was accepted and</w:t>
      </w:r>
      <w:r>
        <w:rPr>
          <w:rFonts w:cs="Arial"/>
        </w:rPr>
        <w:t xml:space="preserve"> proposed by sub group members.</w:t>
      </w:r>
    </w:p>
    <w:p w:rsidR="00605CEF" w:rsidRPr="00605CEF" w:rsidRDefault="00605CEF" w:rsidP="00605CEF">
      <w:pPr>
        <w:ind w:left="720" w:hanging="720"/>
        <w:jc w:val="both"/>
        <w:rPr>
          <w:rFonts w:cs="Arial"/>
        </w:rPr>
      </w:pPr>
      <w:r w:rsidRPr="00605CEF">
        <w:rPr>
          <w:rFonts w:cs="Arial"/>
        </w:rPr>
        <w:t xml:space="preserve"> </w:t>
      </w:r>
    </w:p>
    <w:p w:rsidR="00605CEF" w:rsidRDefault="00605CEF" w:rsidP="00605CEF">
      <w:pPr>
        <w:ind w:left="720" w:hanging="720"/>
        <w:jc w:val="both"/>
      </w:pPr>
      <w:r>
        <w:t>8.3</w:t>
      </w:r>
      <w:r>
        <w:tab/>
        <w:t>The HNB working sub group are proposing one year funding for early years settings of £40 in support of the SEND Strategy for 2016-17</w:t>
      </w:r>
    </w:p>
    <w:p w:rsidR="00605CEF" w:rsidRDefault="00605CEF" w:rsidP="00605CEF">
      <w:pPr>
        <w:ind w:left="720" w:hanging="720"/>
        <w:jc w:val="both"/>
      </w:pPr>
    </w:p>
    <w:p w:rsidR="00605CEF" w:rsidRPr="00605CEF" w:rsidRDefault="00605CEF" w:rsidP="00605CEF">
      <w:pPr>
        <w:pStyle w:val="ListParagraph"/>
        <w:numPr>
          <w:ilvl w:val="0"/>
          <w:numId w:val="14"/>
        </w:numPr>
        <w:pBdr>
          <w:top w:val="single" w:sz="4" w:space="1" w:color="auto"/>
          <w:left w:val="single" w:sz="4" w:space="4" w:color="auto"/>
          <w:bottom w:val="single" w:sz="4" w:space="1" w:color="auto"/>
          <w:right w:val="single" w:sz="4" w:space="4" w:color="auto"/>
        </w:pBdr>
        <w:ind w:left="709" w:hanging="709"/>
        <w:jc w:val="both"/>
        <w:rPr>
          <w:b/>
          <w:i/>
        </w:rPr>
      </w:pPr>
      <w:r w:rsidRPr="00605CEF">
        <w:rPr>
          <w:b/>
          <w:i/>
        </w:rPr>
        <w:t xml:space="preserve">Decision – School forum to approve one year funding </w:t>
      </w:r>
      <w:r>
        <w:rPr>
          <w:b/>
          <w:i/>
        </w:rPr>
        <w:t xml:space="preserve">for </w:t>
      </w:r>
      <w:r w:rsidRPr="00605CEF">
        <w:rPr>
          <w:b/>
          <w:i/>
        </w:rPr>
        <w:t>2016-17 of £40 per child in support of the SEND Strategy.</w:t>
      </w:r>
    </w:p>
    <w:p w:rsidR="00605CEF" w:rsidRDefault="00605CEF" w:rsidP="00605CEF"/>
    <w:p w:rsidR="00605CEF" w:rsidRPr="00B30540" w:rsidRDefault="00605CEF" w:rsidP="00605CEF"/>
    <w:p w:rsidR="00605CEF" w:rsidRDefault="00B54455" w:rsidP="00605CEF">
      <w:r>
        <w:t>8.4</w:t>
      </w:r>
      <w:r>
        <w:tab/>
        <w:t>An u</w:t>
      </w:r>
      <w:r w:rsidR="00605CEF">
        <w:t>pdate of bids per sector a</w:t>
      </w:r>
      <w:r>
        <w:t xml:space="preserve">re detailed in Table 6 </w:t>
      </w:r>
      <w:r w:rsidR="00605CEF">
        <w:t>below:</w:t>
      </w:r>
    </w:p>
    <w:p w:rsidR="00605CEF" w:rsidRDefault="00605CEF" w:rsidP="00605CEF"/>
    <w:p w:rsidR="00605CEF" w:rsidRDefault="00605CEF" w:rsidP="00605CEF"/>
    <w:p w:rsidR="00B54455" w:rsidRDefault="00B54455" w:rsidP="00605CEF"/>
    <w:p w:rsidR="00B54455" w:rsidRDefault="00B54455" w:rsidP="00605CEF"/>
    <w:p w:rsidR="00B54455" w:rsidRDefault="00B54455" w:rsidP="00605CEF"/>
    <w:p w:rsidR="00B54455" w:rsidRDefault="00B54455" w:rsidP="00605CEF"/>
    <w:p w:rsidR="00B54455" w:rsidRDefault="00B54455" w:rsidP="00605CEF"/>
    <w:p w:rsidR="00B54455" w:rsidRDefault="00B54455" w:rsidP="00605CEF"/>
    <w:p w:rsidR="00B54455" w:rsidRDefault="00B54455" w:rsidP="00605CEF"/>
    <w:p w:rsidR="00B54455" w:rsidRDefault="00B54455" w:rsidP="00605CEF"/>
    <w:p w:rsidR="00B54455" w:rsidRPr="00B54455" w:rsidRDefault="00B54455" w:rsidP="00605CEF">
      <w:pPr>
        <w:rPr>
          <w:b/>
        </w:rPr>
      </w:pPr>
      <w:r w:rsidRPr="00B54455">
        <w:rPr>
          <w:b/>
        </w:rPr>
        <w:lastRenderedPageBreak/>
        <w:t>Table 6: Bids by sector</w:t>
      </w:r>
    </w:p>
    <w:bookmarkStart w:id="1" w:name="_MON_1518961660"/>
    <w:bookmarkEnd w:id="1"/>
    <w:p w:rsidR="00605CEF" w:rsidRDefault="00605CEF" w:rsidP="00605CEF">
      <w:r>
        <w:object w:dxaOrig="9629" w:dyaOrig="3791">
          <v:shape id="_x0000_i1042" type="#_x0000_t75" style="width:481.5pt;height:189.75pt" o:ole="">
            <v:imagedata r:id="rId8" o:title=""/>
          </v:shape>
          <o:OLEObject Type="Embed" ProgID="Excel.Sheet.12" ShapeID="_x0000_i1042" DrawAspect="Content" ObjectID="_1518964940" r:id="rId9"/>
        </w:object>
      </w:r>
    </w:p>
    <w:p w:rsidR="00605CEF" w:rsidRDefault="00605CEF" w:rsidP="00605CEF"/>
    <w:p w:rsidR="00605CEF" w:rsidRDefault="00B54455" w:rsidP="00B54455">
      <w:pPr>
        <w:ind w:left="720" w:hanging="720"/>
      </w:pPr>
      <w:r>
        <w:t>8.5</w:t>
      </w:r>
      <w:r>
        <w:tab/>
      </w:r>
      <w:r w:rsidR="00605CEF">
        <w:t xml:space="preserve">The panel are due to meet and approve all bids and schools will be notified in due </w:t>
      </w:r>
      <w:r>
        <w:t>course</w:t>
      </w:r>
      <w:r w:rsidR="00605CEF">
        <w:t xml:space="preserve"> of the funding allocations.  Elutec unfortunately missed the deadline date.</w:t>
      </w:r>
    </w:p>
    <w:p w:rsidR="00605CEF" w:rsidRPr="00D10905" w:rsidRDefault="00605CEF" w:rsidP="00605CEF"/>
    <w:p w:rsidR="00605CEF" w:rsidRPr="00B221E7" w:rsidRDefault="00605CEF" w:rsidP="00605CEF">
      <w:pPr>
        <w:pStyle w:val="ListParagraph"/>
        <w:numPr>
          <w:ilvl w:val="0"/>
          <w:numId w:val="14"/>
        </w:numPr>
        <w:pBdr>
          <w:top w:val="single" w:sz="4" w:space="1" w:color="auto"/>
          <w:left w:val="single" w:sz="4" w:space="4" w:color="auto"/>
          <w:bottom w:val="single" w:sz="4" w:space="1" w:color="auto"/>
          <w:right w:val="single" w:sz="4" w:space="4" w:color="auto"/>
        </w:pBdr>
        <w:ind w:left="709" w:hanging="709"/>
        <w:jc w:val="both"/>
        <w:rPr>
          <w:b/>
          <w:i/>
        </w:rPr>
      </w:pPr>
      <w:r w:rsidRPr="00B221E7">
        <w:rPr>
          <w:b/>
          <w:i/>
        </w:rPr>
        <w:t>Decision – School Forum to approve one off exceptional</w:t>
      </w:r>
      <w:r>
        <w:rPr>
          <w:b/>
          <w:i/>
        </w:rPr>
        <w:t xml:space="preserve"> funding to Elutec due to late</w:t>
      </w:r>
      <w:r w:rsidRPr="00B221E7">
        <w:rPr>
          <w:b/>
          <w:i/>
        </w:rPr>
        <w:t xml:space="preserve"> deadline date submission.</w:t>
      </w:r>
    </w:p>
    <w:p w:rsidR="00605CEF" w:rsidRDefault="00605CEF" w:rsidP="00A903F7">
      <w:pPr>
        <w:rPr>
          <w:b/>
          <w:u w:val="single"/>
        </w:rPr>
      </w:pPr>
    </w:p>
    <w:p w:rsidR="00605CEF" w:rsidRDefault="00605CEF" w:rsidP="00A903F7">
      <w:pPr>
        <w:rPr>
          <w:b/>
          <w:u w:val="single"/>
        </w:rPr>
      </w:pPr>
    </w:p>
    <w:p w:rsidR="008F6682" w:rsidRDefault="00B54455" w:rsidP="00A903F7">
      <w:pPr>
        <w:rPr>
          <w:b/>
        </w:rPr>
      </w:pPr>
      <w:r>
        <w:rPr>
          <w:b/>
        </w:rPr>
        <w:t>9</w:t>
      </w:r>
      <w:r w:rsidR="00040944">
        <w:rPr>
          <w:b/>
        </w:rPr>
        <w:t>.</w:t>
      </w:r>
      <w:r w:rsidR="00040944">
        <w:rPr>
          <w:b/>
        </w:rPr>
        <w:tab/>
      </w:r>
      <w:r w:rsidR="008F6682" w:rsidRPr="008F6682">
        <w:rPr>
          <w:b/>
        </w:rPr>
        <w:t>National Funding Formula</w:t>
      </w:r>
    </w:p>
    <w:p w:rsidR="00DC1497" w:rsidRDefault="00DC1497" w:rsidP="00A903F7">
      <w:pPr>
        <w:rPr>
          <w:b/>
        </w:rPr>
      </w:pPr>
    </w:p>
    <w:p w:rsidR="00A20071" w:rsidRDefault="00B54455" w:rsidP="00DC1497">
      <w:pPr>
        <w:ind w:left="720" w:hanging="720"/>
        <w:jc w:val="both"/>
        <w:rPr>
          <w:rFonts w:cs="Arial"/>
        </w:rPr>
      </w:pPr>
      <w:r>
        <w:rPr>
          <w:rFonts w:cs="Arial"/>
        </w:rPr>
        <w:t>9</w:t>
      </w:r>
      <w:r w:rsidR="00040944" w:rsidRPr="00DC1497">
        <w:rPr>
          <w:rFonts w:cs="Arial"/>
        </w:rPr>
        <w:t>.1</w:t>
      </w:r>
      <w:r w:rsidR="00040944" w:rsidRPr="00DC1497">
        <w:rPr>
          <w:rFonts w:cs="Arial"/>
        </w:rPr>
        <w:tab/>
      </w:r>
      <w:r w:rsidR="00C6576A" w:rsidRPr="00DC1497">
        <w:rPr>
          <w:rFonts w:cs="Arial"/>
        </w:rPr>
        <w:t xml:space="preserve">On Monday 7th March 2016, the </w:t>
      </w:r>
      <w:r w:rsidR="004C58F2">
        <w:rPr>
          <w:rFonts w:cs="Arial"/>
        </w:rPr>
        <w:t xml:space="preserve">Secretary of State for Education announced </w:t>
      </w:r>
      <w:r w:rsidR="00C6576A" w:rsidRPr="00DC1497">
        <w:rPr>
          <w:rFonts w:cs="Arial"/>
        </w:rPr>
        <w:t>the launch of the ‘nationa</w:t>
      </w:r>
      <w:r w:rsidR="00A20071" w:rsidRPr="00DC1497">
        <w:rPr>
          <w:rFonts w:cs="Arial"/>
        </w:rPr>
        <w:t>l funding formula’ for schools ‘to tackle uneven levels of funding across England’</w:t>
      </w:r>
    </w:p>
    <w:p w:rsidR="00C6576A" w:rsidRPr="00DC1497" w:rsidRDefault="00C6576A" w:rsidP="004C58F2">
      <w:pPr>
        <w:jc w:val="both"/>
        <w:rPr>
          <w:rFonts w:cs="Arial"/>
        </w:rPr>
      </w:pPr>
      <w:r w:rsidRPr="00DC1497">
        <w:rPr>
          <w:rFonts w:cs="Arial"/>
        </w:rPr>
        <w:t xml:space="preserve"> </w:t>
      </w:r>
    </w:p>
    <w:p w:rsidR="00A20071" w:rsidRDefault="00B54455" w:rsidP="00DC1497">
      <w:pPr>
        <w:ind w:left="720" w:hanging="720"/>
        <w:jc w:val="both"/>
        <w:rPr>
          <w:rFonts w:cs="Arial"/>
        </w:rPr>
      </w:pPr>
      <w:r>
        <w:rPr>
          <w:rFonts w:cs="Arial"/>
        </w:rPr>
        <w:t>9</w:t>
      </w:r>
      <w:r w:rsidR="004C58F2">
        <w:rPr>
          <w:rFonts w:cs="Arial"/>
        </w:rPr>
        <w:t>.2</w:t>
      </w:r>
      <w:r w:rsidR="007731C3" w:rsidRPr="00DC1497">
        <w:rPr>
          <w:rFonts w:cs="Arial"/>
        </w:rPr>
        <w:tab/>
      </w:r>
      <w:r w:rsidR="00A20071" w:rsidRPr="00DC1497">
        <w:rPr>
          <w:rFonts w:cs="Arial"/>
        </w:rPr>
        <w:t xml:space="preserve">The </w:t>
      </w:r>
      <w:r w:rsidR="004C58F2">
        <w:rPr>
          <w:rFonts w:cs="Arial"/>
        </w:rPr>
        <w:t>Department for Education</w:t>
      </w:r>
      <w:r w:rsidR="00A20071" w:rsidRPr="00DC1497">
        <w:rPr>
          <w:rFonts w:cs="Arial"/>
        </w:rPr>
        <w:t xml:space="preserve"> </w:t>
      </w:r>
      <w:r w:rsidR="004C58F2">
        <w:rPr>
          <w:rFonts w:cs="Arial"/>
        </w:rPr>
        <w:t xml:space="preserve">has announced </w:t>
      </w:r>
      <w:r w:rsidR="00A20071" w:rsidRPr="00DC1497">
        <w:rPr>
          <w:rFonts w:cs="Arial"/>
        </w:rPr>
        <w:t>that for the new funding formula there will be a basic level of per pupil funding, with extra support allocated depending on need, such as high levels of deprivation or for schools in high-cost areas.</w:t>
      </w:r>
    </w:p>
    <w:p w:rsidR="00DC1497" w:rsidRPr="00DC1497" w:rsidRDefault="00DC1497" w:rsidP="00DC1497">
      <w:pPr>
        <w:ind w:left="720" w:hanging="720"/>
        <w:jc w:val="both"/>
        <w:rPr>
          <w:rFonts w:cs="Arial"/>
        </w:rPr>
      </w:pPr>
    </w:p>
    <w:p w:rsidR="00DC1497" w:rsidRDefault="00B54455" w:rsidP="00DC1497">
      <w:pPr>
        <w:ind w:left="720" w:hanging="720"/>
        <w:jc w:val="both"/>
        <w:rPr>
          <w:rFonts w:cs="Arial"/>
        </w:rPr>
      </w:pPr>
      <w:r>
        <w:rPr>
          <w:rFonts w:cs="Arial"/>
        </w:rPr>
        <w:t>9</w:t>
      </w:r>
      <w:r w:rsidR="004C58F2">
        <w:rPr>
          <w:rFonts w:cs="Arial"/>
        </w:rPr>
        <w:t>.3</w:t>
      </w:r>
      <w:r w:rsidR="007731C3" w:rsidRPr="00DC1497">
        <w:rPr>
          <w:rFonts w:cs="Arial"/>
        </w:rPr>
        <w:tab/>
      </w:r>
      <w:r w:rsidR="00A20071" w:rsidRPr="00DC1497">
        <w:rPr>
          <w:rFonts w:cs="Arial"/>
        </w:rPr>
        <w:t>For local a</w:t>
      </w:r>
      <w:r w:rsidR="004C58F2">
        <w:rPr>
          <w:rFonts w:cs="Arial"/>
        </w:rPr>
        <w:t xml:space="preserve">uthority schools, </w:t>
      </w:r>
      <w:r w:rsidR="00A20071" w:rsidRPr="00DC1497">
        <w:rPr>
          <w:rFonts w:cs="Arial"/>
        </w:rPr>
        <w:t xml:space="preserve">there will be a two year transition period, </w:t>
      </w:r>
      <w:r w:rsidR="004C58F2">
        <w:rPr>
          <w:rFonts w:cs="Arial"/>
        </w:rPr>
        <w:t>at the end of which funding will be distributed directly to schools</w:t>
      </w:r>
    </w:p>
    <w:p w:rsidR="004C58F2" w:rsidRPr="00DC1497" w:rsidRDefault="004C58F2" w:rsidP="00DC1497">
      <w:pPr>
        <w:ind w:left="720" w:hanging="720"/>
        <w:jc w:val="both"/>
        <w:rPr>
          <w:rFonts w:cs="Arial"/>
        </w:rPr>
      </w:pPr>
    </w:p>
    <w:p w:rsidR="00A20071" w:rsidRDefault="00B54455" w:rsidP="00DC1497">
      <w:pPr>
        <w:ind w:left="720" w:hanging="720"/>
        <w:jc w:val="both"/>
        <w:rPr>
          <w:rFonts w:cs="Arial"/>
        </w:rPr>
      </w:pPr>
      <w:r>
        <w:rPr>
          <w:rFonts w:cs="Arial"/>
        </w:rPr>
        <w:t>9</w:t>
      </w:r>
      <w:r w:rsidR="004C58F2">
        <w:rPr>
          <w:rFonts w:cs="Arial"/>
        </w:rPr>
        <w:t>.4</w:t>
      </w:r>
      <w:r w:rsidR="007731C3" w:rsidRPr="00DC1497">
        <w:rPr>
          <w:rFonts w:cs="Arial"/>
        </w:rPr>
        <w:tab/>
      </w:r>
      <w:r w:rsidR="00A20071" w:rsidRPr="00DC1497">
        <w:rPr>
          <w:rFonts w:cs="Arial"/>
        </w:rPr>
        <w:t>Councils will have a funding role in areas with "high-level special educational needs", but will no longer be involved as a channel for basic funding for schools.</w:t>
      </w:r>
    </w:p>
    <w:p w:rsidR="004C58F2" w:rsidRDefault="004C58F2" w:rsidP="00DC1497">
      <w:pPr>
        <w:ind w:left="720" w:hanging="720"/>
        <w:jc w:val="both"/>
        <w:rPr>
          <w:rFonts w:cs="Arial"/>
        </w:rPr>
      </w:pPr>
    </w:p>
    <w:p w:rsidR="004C58F2" w:rsidRDefault="00B54455" w:rsidP="00526CE3">
      <w:pPr>
        <w:ind w:left="720" w:hanging="720"/>
        <w:rPr>
          <w:rFonts w:cs="Arial"/>
        </w:rPr>
      </w:pPr>
      <w:r>
        <w:rPr>
          <w:rFonts w:cs="Arial"/>
        </w:rPr>
        <w:t>9</w:t>
      </w:r>
      <w:r w:rsidR="004C58F2">
        <w:rPr>
          <w:rFonts w:cs="Arial"/>
        </w:rPr>
        <w:t>.5</w:t>
      </w:r>
      <w:r w:rsidR="004C58F2">
        <w:rPr>
          <w:rFonts w:cs="Arial"/>
        </w:rPr>
        <w:tab/>
        <w:t>There are two consultations on the new national funding</w:t>
      </w:r>
      <w:r w:rsidR="00526CE3">
        <w:rPr>
          <w:rFonts w:cs="Arial"/>
        </w:rPr>
        <w:t xml:space="preserve">, </w:t>
      </w:r>
      <w:r w:rsidR="004C58F2">
        <w:rPr>
          <w:rFonts w:cs="Arial"/>
        </w:rPr>
        <w:t xml:space="preserve">both with a deadline </w:t>
      </w:r>
      <w:r w:rsidR="002B19D9">
        <w:rPr>
          <w:rFonts w:cs="Arial"/>
        </w:rPr>
        <w:t xml:space="preserve">of </w:t>
      </w:r>
      <w:r w:rsidR="004C58F2">
        <w:rPr>
          <w:rFonts w:cs="Arial"/>
        </w:rPr>
        <w:t xml:space="preserve"> the </w:t>
      </w:r>
      <w:r w:rsidR="004C58F2" w:rsidRPr="00526CE3">
        <w:rPr>
          <w:rFonts w:cs="Arial"/>
          <w:b/>
        </w:rPr>
        <w:t>17</w:t>
      </w:r>
      <w:r w:rsidR="004C58F2" w:rsidRPr="00526CE3">
        <w:rPr>
          <w:rFonts w:cs="Arial"/>
          <w:b/>
          <w:vertAlign w:val="superscript"/>
        </w:rPr>
        <w:t>th</w:t>
      </w:r>
      <w:r w:rsidR="004C58F2" w:rsidRPr="00526CE3">
        <w:rPr>
          <w:rFonts w:cs="Arial"/>
          <w:b/>
        </w:rPr>
        <w:t xml:space="preserve"> April 2016</w:t>
      </w:r>
      <w:r w:rsidR="004C58F2">
        <w:rPr>
          <w:rFonts w:cs="Arial"/>
        </w:rPr>
        <w:t xml:space="preserve">. </w:t>
      </w:r>
      <w:r w:rsidR="00526CE3">
        <w:rPr>
          <w:rFonts w:cs="Arial"/>
        </w:rPr>
        <w:t>There is one consultation on the schools block and ESG, and a separate consultation on high needs. Links to the consultation are attached below:</w:t>
      </w:r>
    </w:p>
    <w:p w:rsidR="004C58F2" w:rsidRDefault="004C58F2" w:rsidP="004C58F2">
      <w:pPr>
        <w:rPr>
          <w:rFonts w:cs="Arial"/>
        </w:rPr>
      </w:pPr>
    </w:p>
    <w:p w:rsidR="004C58F2" w:rsidRDefault="004C58F2" w:rsidP="00526CE3">
      <w:pPr>
        <w:ind w:firstLine="720"/>
        <w:rPr>
          <w:rFonts w:ascii="Calibri" w:hAnsi="Calibri"/>
        </w:rPr>
      </w:pPr>
      <w:r>
        <w:rPr>
          <w:rFonts w:cs="Arial"/>
        </w:rPr>
        <w:t xml:space="preserve">Schools: </w:t>
      </w:r>
      <w:hyperlink r:id="rId10" w:history="1">
        <w:r>
          <w:rPr>
            <w:rStyle w:val="Hyperlink"/>
            <w:rFonts w:cs="Arial"/>
          </w:rPr>
          <w:t>https://consult.education.gov.uk/funding-policy-unit/schools-national-funding-formula</w:t>
        </w:r>
      </w:hyperlink>
    </w:p>
    <w:p w:rsidR="004C58F2" w:rsidRDefault="004C58F2" w:rsidP="004C58F2">
      <w:pPr>
        <w:rPr>
          <w:rFonts w:cs="Arial"/>
        </w:rPr>
      </w:pPr>
    </w:p>
    <w:p w:rsidR="004C58F2" w:rsidRDefault="004C58F2" w:rsidP="004C58F2">
      <w:pPr>
        <w:ind w:firstLine="720"/>
        <w:rPr>
          <w:rFonts w:cs="Arial"/>
        </w:rPr>
      </w:pPr>
      <w:r>
        <w:rPr>
          <w:rFonts w:cs="Arial"/>
        </w:rPr>
        <w:t xml:space="preserve">High needs: </w:t>
      </w:r>
      <w:hyperlink r:id="rId11" w:history="1">
        <w:r>
          <w:rPr>
            <w:rStyle w:val="Hyperlink"/>
            <w:rFonts w:cs="Arial"/>
          </w:rPr>
          <w:t>https://consult.education.gov.uk/funding-policy-unit/high-needs-funding-reform</w:t>
        </w:r>
      </w:hyperlink>
    </w:p>
    <w:p w:rsidR="004C58F2" w:rsidRDefault="004C58F2" w:rsidP="004C58F2">
      <w:pPr>
        <w:rPr>
          <w:rFonts w:cs="Arial"/>
        </w:rPr>
      </w:pPr>
    </w:p>
    <w:p w:rsidR="004C58F2" w:rsidRDefault="00B54455" w:rsidP="00526CE3">
      <w:pPr>
        <w:ind w:left="720" w:hanging="720"/>
        <w:rPr>
          <w:rFonts w:cs="Arial"/>
        </w:rPr>
      </w:pPr>
      <w:r>
        <w:rPr>
          <w:rFonts w:cs="Arial"/>
        </w:rPr>
        <w:t>9</w:t>
      </w:r>
      <w:r w:rsidR="00526CE3">
        <w:rPr>
          <w:rFonts w:cs="Arial"/>
        </w:rPr>
        <w:t>.6</w:t>
      </w:r>
      <w:r w:rsidR="00526CE3">
        <w:rPr>
          <w:rFonts w:cs="Arial"/>
        </w:rPr>
        <w:tab/>
      </w:r>
      <w:r w:rsidR="004C58F2">
        <w:rPr>
          <w:rFonts w:cs="Arial"/>
        </w:rPr>
        <w:t xml:space="preserve">DfE have announced that this is ‘stage one’ of the consultation process which will seek views on the general principles and the factors to be used in a formula. </w:t>
      </w:r>
      <w:r w:rsidR="004C58F2">
        <w:rPr>
          <w:rFonts w:cs="Arial"/>
        </w:rPr>
        <w:lastRenderedPageBreak/>
        <w:t xml:space="preserve">Complete proposals, including the fully worked out impact of the change, will not be known until the second stage later in the year. </w:t>
      </w:r>
    </w:p>
    <w:p w:rsidR="004C58F2" w:rsidRDefault="004C58F2" w:rsidP="00DC1497">
      <w:pPr>
        <w:ind w:left="720" w:hanging="720"/>
        <w:jc w:val="both"/>
        <w:rPr>
          <w:rFonts w:cs="Arial"/>
        </w:rPr>
      </w:pPr>
    </w:p>
    <w:p w:rsidR="000754BD" w:rsidRPr="00DC1497" w:rsidRDefault="000754BD" w:rsidP="00DC1497">
      <w:pPr>
        <w:ind w:left="720" w:hanging="720"/>
        <w:jc w:val="both"/>
        <w:rPr>
          <w:rFonts w:cs="Arial"/>
        </w:rPr>
      </w:pPr>
    </w:p>
    <w:p w:rsidR="00A20071" w:rsidRPr="000754BD" w:rsidRDefault="00A20071" w:rsidP="000754BD">
      <w:pPr>
        <w:pStyle w:val="ListParagraph"/>
        <w:numPr>
          <w:ilvl w:val="0"/>
          <w:numId w:val="14"/>
        </w:numPr>
        <w:pBdr>
          <w:top w:val="single" w:sz="4" w:space="1" w:color="auto"/>
          <w:left w:val="single" w:sz="4" w:space="4" w:color="auto"/>
          <w:bottom w:val="single" w:sz="4" w:space="1" w:color="auto"/>
          <w:right w:val="single" w:sz="4" w:space="4" w:color="auto"/>
        </w:pBdr>
        <w:ind w:left="709" w:hanging="709"/>
        <w:jc w:val="both"/>
        <w:rPr>
          <w:b/>
          <w:i/>
        </w:rPr>
      </w:pPr>
      <w:r w:rsidRPr="000754BD">
        <w:rPr>
          <w:b/>
          <w:i/>
        </w:rPr>
        <w:t xml:space="preserve">Decision – Schools Forum </w:t>
      </w:r>
      <w:r w:rsidR="009566CE">
        <w:rPr>
          <w:b/>
          <w:i/>
        </w:rPr>
        <w:t>approve the establishment of a national funding formula w</w:t>
      </w:r>
      <w:r w:rsidRPr="000754BD">
        <w:rPr>
          <w:b/>
          <w:i/>
        </w:rPr>
        <w:t xml:space="preserve">orking </w:t>
      </w:r>
      <w:r w:rsidR="009566CE">
        <w:rPr>
          <w:b/>
          <w:i/>
        </w:rPr>
        <w:t>g</w:t>
      </w:r>
      <w:r w:rsidRPr="000754BD">
        <w:rPr>
          <w:b/>
          <w:i/>
        </w:rPr>
        <w:t xml:space="preserve">roup to consider the impact of the consultation. Schools Forum </w:t>
      </w:r>
      <w:r w:rsidR="008F2EAD">
        <w:rPr>
          <w:b/>
          <w:i/>
        </w:rPr>
        <w:t>is</w:t>
      </w:r>
      <w:r w:rsidR="009566CE">
        <w:rPr>
          <w:b/>
          <w:i/>
        </w:rPr>
        <w:t xml:space="preserve"> </w:t>
      </w:r>
      <w:r w:rsidRPr="000754BD">
        <w:rPr>
          <w:b/>
          <w:i/>
        </w:rPr>
        <w:t xml:space="preserve">also </w:t>
      </w:r>
      <w:r w:rsidR="009566CE">
        <w:rPr>
          <w:b/>
          <w:i/>
        </w:rPr>
        <w:t xml:space="preserve">asked to </w:t>
      </w:r>
      <w:r w:rsidRPr="000754BD">
        <w:rPr>
          <w:b/>
          <w:i/>
        </w:rPr>
        <w:t>provide nominations for the working group.</w:t>
      </w:r>
    </w:p>
    <w:p w:rsidR="008213BE" w:rsidRDefault="008213BE" w:rsidP="00A903F7">
      <w:pPr>
        <w:rPr>
          <w:b/>
        </w:rPr>
      </w:pPr>
    </w:p>
    <w:p w:rsidR="000754BD" w:rsidRPr="00B54455" w:rsidRDefault="00B54455" w:rsidP="00B54455">
      <w:pPr>
        <w:rPr>
          <w:b/>
        </w:rPr>
      </w:pPr>
      <w:r>
        <w:rPr>
          <w:b/>
        </w:rPr>
        <w:t>10</w:t>
      </w:r>
      <w:r>
        <w:rPr>
          <w:b/>
        </w:rPr>
        <w:tab/>
      </w:r>
      <w:r w:rsidR="000754BD" w:rsidRPr="00B54455">
        <w:rPr>
          <w:b/>
        </w:rPr>
        <w:t>Closure of School Accounts</w:t>
      </w:r>
    </w:p>
    <w:p w:rsidR="008F6682" w:rsidRPr="000754BD" w:rsidRDefault="008F6682" w:rsidP="000754BD">
      <w:pPr>
        <w:rPr>
          <w:b/>
        </w:rPr>
      </w:pPr>
    </w:p>
    <w:p w:rsidR="000754BD" w:rsidRDefault="00B54455" w:rsidP="000754BD">
      <w:pPr>
        <w:pStyle w:val="ListParagraph"/>
        <w:ind w:left="709" w:hanging="709"/>
      </w:pPr>
      <w:r>
        <w:t>10</w:t>
      </w:r>
      <w:r w:rsidR="000754BD" w:rsidRPr="00A903F7">
        <w:t>.1</w:t>
      </w:r>
      <w:r w:rsidR="000754BD">
        <w:tab/>
        <w:t>Detailed guidance for the closure of accounts was sent out on 4</w:t>
      </w:r>
      <w:r w:rsidR="000754BD" w:rsidRPr="000754BD">
        <w:rPr>
          <w:vertAlign w:val="superscript"/>
        </w:rPr>
        <w:t>th</w:t>
      </w:r>
      <w:r w:rsidR="000754BD">
        <w:t xml:space="preserve"> March 2016.</w:t>
      </w:r>
      <w:r w:rsidR="0050018E">
        <w:t xml:space="preserve"> Schools are reminded to complete reconciled electronic returns and all relevant authorised referenced background papers and supporting documents as per the closure timetable. </w:t>
      </w:r>
      <w:r w:rsidR="00A32D0A">
        <w:t xml:space="preserve"> The deadline for submission of Non-Oracle School workbooks is </w:t>
      </w:r>
      <w:r w:rsidR="00A32D0A" w:rsidRPr="00A32D0A">
        <w:rPr>
          <w:b/>
        </w:rPr>
        <w:t>Monday 18</w:t>
      </w:r>
      <w:r w:rsidR="00A32D0A" w:rsidRPr="00A32D0A">
        <w:rPr>
          <w:b/>
          <w:vertAlign w:val="superscript"/>
        </w:rPr>
        <w:t>th</w:t>
      </w:r>
      <w:r w:rsidR="00A32D0A" w:rsidRPr="00A32D0A">
        <w:rPr>
          <w:b/>
        </w:rPr>
        <w:t xml:space="preserve"> April</w:t>
      </w:r>
      <w:r w:rsidR="00A32D0A">
        <w:t xml:space="preserve"> and it is critical that this deadline is met in order for the overall LBBD closure of accounts deadlines to be met.</w:t>
      </w:r>
    </w:p>
    <w:p w:rsidR="000754BD" w:rsidRDefault="000754BD" w:rsidP="00A903F7">
      <w:pPr>
        <w:rPr>
          <w:b/>
        </w:rPr>
      </w:pPr>
    </w:p>
    <w:p w:rsidR="00A903F7" w:rsidRPr="00B54455" w:rsidRDefault="00B54455" w:rsidP="00B54455">
      <w:pPr>
        <w:rPr>
          <w:b/>
        </w:rPr>
      </w:pPr>
      <w:r>
        <w:rPr>
          <w:b/>
        </w:rPr>
        <w:t>11</w:t>
      </w:r>
      <w:r>
        <w:rPr>
          <w:b/>
        </w:rPr>
        <w:tab/>
      </w:r>
      <w:r w:rsidR="00A903F7" w:rsidRPr="00B54455">
        <w:rPr>
          <w:b/>
        </w:rPr>
        <w:t>Future Work Plan</w:t>
      </w:r>
    </w:p>
    <w:p w:rsidR="00774FF6" w:rsidRDefault="00774FF6" w:rsidP="00774FF6">
      <w:pPr>
        <w:pStyle w:val="ListParagraph"/>
        <w:ind w:left="709"/>
        <w:rPr>
          <w:b/>
          <w:u w:val="single"/>
        </w:rPr>
      </w:pPr>
    </w:p>
    <w:p w:rsidR="00A903F7" w:rsidRDefault="00B54455" w:rsidP="00A903F7">
      <w:pPr>
        <w:pStyle w:val="ListParagraph"/>
        <w:ind w:left="709" w:hanging="709"/>
      </w:pPr>
      <w:r>
        <w:t>11</w:t>
      </w:r>
      <w:r w:rsidR="001B2A73">
        <w:t>.1</w:t>
      </w:r>
      <w:r w:rsidR="00A903F7">
        <w:tab/>
        <w:t>Future work plan and proposed dates for reporting items to Schools Forum:</w:t>
      </w:r>
    </w:p>
    <w:p w:rsidR="00A903F7" w:rsidRDefault="00A903F7" w:rsidP="00A903F7">
      <w:pPr>
        <w:pStyle w:val="ListParagraph"/>
        <w:ind w:left="709"/>
      </w:pPr>
    </w:p>
    <w:p w:rsidR="00BB1707" w:rsidRDefault="001B2A73" w:rsidP="00B54455">
      <w:pPr>
        <w:ind w:left="710"/>
      </w:pPr>
      <w:r>
        <w:t>1</w:t>
      </w:r>
      <w:r w:rsidR="00B54455">
        <w:t>1</w:t>
      </w:r>
      <w:r w:rsidR="000754BD">
        <w:t>.1.1</w:t>
      </w:r>
      <w:r w:rsidR="000754BD">
        <w:tab/>
      </w:r>
      <w:r w:rsidR="00BB1707">
        <w:t>Agree dates of next years meetings</w:t>
      </w:r>
      <w:r w:rsidR="00F425FB">
        <w:t>:</w:t>
      </w:r>
    </w:p>
    <w:p w:rsidR="00F425FB" w:rsidRDefault="00F425FB" w:rsidP="00F425FB">
      <w:pPr>
        <w:pStyle w:val="ListParagraph"/>
        <w:numPr>
          <w:ilvl w:val="0"/>
          <w:numId w:val="28"/>
        </w:numPr>
      </w:pPr>
      <w:r>
        <w:t>2</w:t>
      </w:r>
      <w:r w:rsidR="00D4556A">
        <w:t>1</w:t>
      </w:r>
      <w:r>
        <w:t xml:space="preserve"> June 201</w:t>
      </w:r>
      <w:r w:rsidR="00D4556A">
        <w:t>6</w:t>
      </w:r>
      <w:r w:rsidR="00C82176">
        <w:t xml:space="preserve"> (already agreed)</w:t>
      </w:r>
    </w:p>
    <w:p w:rsidR="00F425FB" w:rsidRDefault="00D4556A" w:rsidP="00F425FB">
      <w:pPr>
        <w:pStyle w:val="ListParagraph"/>
        <w:numPr>
          <w:ilvl w:val="0"/>
          <w:numId w:val="28"/>
        </w:numPr>
      </w:pPr>
      <w:r>
        <w:t>4</w:t>
      </w:r>
      <w:r w:rsidR="00F425FB">
        <w:t xml:space="preserve"> October 201</w:t>
      </w:r>
      <w:r>
        <w:t>6</w:t>
      </w:r>
    </w:p>
    <w:p w:rsidR="00F425FB" w:rsidRDefault="00F425FB" w:rsidP="00F425FB">
      <w:pPr>
        <w:pStyle w:val="ListParagraph"/>
        <w:numPr>
          <w:ilvl w:val="0"/>
          <w:numId w:val="28"/>
        </w:numPr>
      </w:pPr>
      <w:r>
        <w:t>1</w:t>
      </w:r>
      <w:r w:rsidR="00D4556A">
        <w:t>7 January 2017</w:t>
      </w:r>
    </w:p>
    <w:p w:rsidR="00F425FB" w:rsidRDefault="00D4556A" w:rsidP="00F425FB">
      <w:pPr>
        <w:pStyle w:val="ListParagraph"/>
        <w:numPr>
          <w:ilvl w:val="0"/>
          <w:numId w:val="28"/>
        </w:numPr>
      </w:pPr>
      <w:r>
        <w:t>21</w:t>
      </w:r>
      <w:r w:rsidR="00F425FB">
        <w:t xml:space="preserve"> March 201</w:t>
      </w:r>
      <w:r>
        <w:t>7</w:t>
      </w:r>
    </w:p>
    <w:p w:rsidR="00F425FB" w:rsidRDefault="00D4556A" w:rsidP="00F425FB">
      <w:pPr>
        <w:pStyle w:val="ListParagraph"/>
        <w:numPr>
          <w:ilvl w:val="0"/>
          <w:numId w:val="28"/>
        </w:numPr>
      </w:pPr>
      <w:r>
        <w:t>20</w:t>
      </w:r>
      <w:r w:rsidR="00F425FB">
        <w:t xml:space="preserve"> June 201</w:t>
      </w:r>
      <w:r>
        <w:t>7</w:t>
      </w:r>
    </w:p>
    <w:p w:rsidR="00A903F7" w:rsidRDefault="00A903F7" w:rsidP="00B54455">
      <w:pPr>
        <w:pStyle w:val="ListParagraph"/>
        <w:numPr>
          <w:ilvl w:val="2"/>
          <w:numId w:val="38"/>
        </w:numPr>
      </w:pPr>
      <w:r>
        <w:t>Final DSG outturn</w:t>
      </w:r>
      <w:r w:rsidR="00785A8B">
        <w:t xml:space="preserve"> 201</w:t>
      </w:r>
      <w:r w:rsidR="00D4556A">
        <w:t>6</w:t>
      </w:r>
      <w:r w:rsidR="00785A8B">
        <w:t>-1</w:t>
      </w:r>
      <w:r w:rsidR="00D4556A">
        <w:t>7</w:t>
      </w:r>
      <w:r>
        <w:t xml:space="preserve"> </w:t>
      </w:r>
      <w:r w:rsidR="00C82176">
        <w:t>–</w:t>
      </w:r>
      <w:r>
        <w:t xml:space="preserve"> June</w:t>
      </w:r>
    </w:p>
    <w:p w:rsidR="00C82176" w:rsidRDefault="00A740AF" w:rsidP="00B54455">
      <w:pPr>
        <w:pStyle w:val="ListParagraph"/>
        <w:numPr>
          <w:ilvl w:val="2"/>
          <w:numId w:val="38"/>
        </w:numPr>
      </w:pPr>
      <w:r>
        <w:t xml:space="preserve">Schools in Financial Difficulties Sub Group  </w:t>
      </w:r>
    </w:p>
    <w:p w:rsidR="00977B2F" w:rsidRDefault="00977B2F" w:rsidP="00B54455">
      <w:pPr>
        <w:pStyle w:val="ListParagraph"/>
        <w:numPr>
          <w:ilvl w:val="2"/>
          <w:numId w:val="38"/>
        </w:numPr>
      </w:pPr>
      <w:r>
        <w:t>Scho</w:t>
      </w:r>
      <w:r w:rsidR="00BB1707">
        <w:t>ol Balances 201</w:t>
      </w:r>
      <w:r w:rsidR="00D4556A">
        <w:t>5</w:t>
      </w:r>
      <w:r w:rsidR="00BB1707">
        <w:t>-1</w:t>
      </w:r>
      <w:r w:rsidR="00D4556A">
        <w:t>6</w:t>
      </w:r>
      <w:r w:rsidR="00BB1707">
        <w:t xml:space="preserve">  - </w:t>
      </w:r>
      <w:r w:rsidR="00D4556A">
        <w:t>June</w:t>
      </w:r>
    </w:p>
    <w:p w:rsidR="00A903F7" w:rsidRDefault="00A903F7" w:rsidP="00B54455">
      <w:pPr>
        <w:pStyle w:val="ListParagraph"/>
        <w:numPr>
          <w:ilvl w:val="2"/>
          <w:numId w:val="38"/>
        </w:numPr>
      </w:pPr>
      <w:r>
        <w:t>School Forum Constitution</w:t>
      </w:r>
      <w:r w:rsidR="00977B2F">
        <w:t xml:space="preserve">, membership </w:t>
      </w:r>
      <w:r>
        <w:t xml:space="preserve"> </w:t>
      </w:r>
      <w:r w:rsidR="00BB1707">
        <w:t>and election of chair(s)</w:t>
      </w:r>
      <w:r w:rsidR="00C82176">
        <w:t xml:space="preserve"> </w:t>
      </w:r>
      <w:r w:rsidR="00BB1707">
        <w:t>- Octo</w:t>
      </w:r>
      <w:r>
        <w:t>ber</w:t>
      </w:r>
    </w:p>
    <w:p w:rsidR="00977B2F" w:rsidRDefault="00977B2F" w:rsidP="00B54455">
      <w:pPr>
        <w:pStyle w:val="ListParagraph"/>
        <w:numPr>
          <w:ilvl w:val="2"/>
          <w:numId w:val="38"/>
        </w:numPr>
      </w:pPr>
      <w:r>
        <w:t>Local Sch</w:t>
      </w:r>
      <w:r w:rsidR="00BB1707">
        <w:t>ool Funding Formula – October</w:t>
      </w:r>
    </w:p>
    <w:p w:rsidR="00977B2F" w:rsidRDefault="00B54455" w:rsidP="00B54455">
      <w:pPr>
        <w:ind w:left="709"/>
      </w:pPr>
      <w:r>
        <w:t>11.1.7</w:t>
      </w:r>
      <w:r>
        <w:tab/>
      </w:r>
      <w:r w:rsidR="00BB1707">
        <w:t xml:space="preserve">Scheme for Financing - </w:t>
      </w:r>
      <w:r w:rsidR="00D4556A">
        <w:t>October</w:t>
      </w:r>
    </w:p>
    <w:p w:rsidR="00A903F7" w:rsidRPr="00A903F7" w:rsidRDefault="00A903F7" w:rsidP="00A903F7">
      <w:pPr>
        <w:pStyle w:val="ListParagraph"/>
        <w:ind w:left="709" w:hanging="709"/>
      </w:pPr>
    </w:p>
    <w:p w:rsidR="00A903F7" w:rsidRDefault="00A903F7" w:rsidP="00A903F7">
      <w:pPr>
        <w:pStyle w:val="ListParagraph"/>
        <w:ind w:left="709"/>
        <w:rPr>
          <w:b/>
          <w:u w:val="single"/>
        </w:rPr>
      </w:pPr>
    </w:p>
    <w:p w:rsidR="00C52505" w:rsidRPr="00166E5E" w:rsidRDefault="00C52505" w:rsidP="00B54455">
      <w:pPr>
        <w:pStyle w:val="ListParagraph"/>
        <w:numPr>
          <w:ilvl w:val="0"/>
          <w:numId w:val="38"/>
        </w:numPr>
        <w:ind w:left="709" w:hanging="709"/>
        <w:rPr>
          <w:b/>
          <w:u w:val="single"/>
        </w:rPr>
      </w:pPr>
      <w:r w:rsidRPr="00166E5E">
        <w:rPr>
          <w:b/>
          <w:u w:val="single"/>
        </w:rPr>
        <w:t xml:space="preserve">Options Appraisal </w:t>
      </w:r>
    </w:p>
    <w:p w:rsidR="00C52505" w:rsidRDefault="00C52505" w:rsidP="001370FE">
      <w:pPr>
        <w:ind w:left="709" w:hanging="709"/>
      </w:pPr>
    </w:p>
    <w:p w:rsidR="000404CF" w:rsidRPr="00C67870" w:rsidRDefault="000754BD" w:rsidP="00C67870">
      <w:pPr>
        <w:ind w:left="709" w:hanging="709"/>
      </w:pPr>
      <w:r>
        <w:t>1</w:t>
      </w:r>
      <w:r w:rsidR="001B2A73">
        <w:t>1</w:t>
      </w:r>
      <w:r w:rsidR="00C52505">
        <w:t>.1</w:t>
      </w:r>
      <w:r w:rsidR="00C43EE1">
        <w:tab/>
      </w:r>
      <w:r w:rsidR="00EA0195">
        <w:t xml:space="preserve">Not applicable.  </w:t>
      </w:r>
    </w:p>
    <w:p w:rsidR="00A903F7" w:rsidRDefault="00A903F7" w:rsidP="001370FE">
      <w:pPr>
        <w:ind w:left="709" w:hanging="709"/>
        <w:rPr>
          <w:rFonts w:cs="Arial"/>
        </w:rPr>
      </w:pPr>
    </w:p>
    <w:p w:rsidR="006E145D" w:rsidRPr="00E86584" w:rsidRDefault="006E145D" w:rsidP="00B54455">
      <w:pPr>
        <w:numPr>
          <w:ilvl w:val="0"/>
          <w:numId w:val="38"/>
        </w:numPr>
        <w:autoSpaceDE w:val="0"/>
        <w:autoSpaceDN w:val="0"/>
        <w:adjustRightInd w:val="0"/>
        <w:ind w:left="709" w:hanging="709"/>
        <w:rPr>
          <w:rFonts w:cs="Arial"/>
          <w:b/>
          <w:u w:val="single"/>
        </w:rPr>
      </w:pPr>
      <w:r w:rsidRPr="00E86584">
        <w:rPr>
          <w:rFonts w:cs="Arial"/>
          <w:b/>
          <w:u w:val="single"/>
        </w:rPr>
        <w:t xml:space="preserve">Consultation </w:t>
      </w:r>
    </w:p>
    <w:p w:rsidR="006E145D" w:rsidRDefault="006E145D" w:rsidP="001370FE">
      <w:pPr>
        <w:autoSpaceDE w:val="0"/>
        <w:autoSpaceDN w:val="0"/>
        <w:adjustRightInd w:val="0"/>
        <w:ind w:left="709" w:hanging="709"/>
        <w:rPr>
          <w:rFonts w:cs="Arial"/>
          <w:b/>
        </w:rPr>
      </w:pPr>
    </w:p>
    <w:p w:rsidR="006E145D" w:rsidRDefault="00A903F7" w:rsidP="00785A8B">
      <w:pPr>
        <w:autoSpaceDE w:val="0"/>
        <w:autoSpaceDN w:val="0"/>
        <w:adjustRightInd w:val="0"/>
        <w:ind w:left="709" w:hanging="709"/>
        <w:rPr>
          <w:rFonts w:cs="Arial"/>
        </w:rPr>
      </w:pPr>
      <w:r>
        <w:rPr>
          <w:rFonts w:cs="Arial"/>
        </w:rPr>
        <w:t>1</w:t>
      </w:r>
      <w:r w:rsidR="001B2A73">
        <w:rPr>
          <w:rFonts w:cs="Arial"/>
        </w:rPr>
        <w:t>2</w:t>
      </w:r>
      <w:r w:rsidR="006E145D" w:rsidRPr="006E145D">
        <w:rPr>
          <w:rFonts w:cs="Arial"/>
        </w:rPr>
        <w:t>.1</w:t>
      </w:r>
      <w:r w:rsidR="006E145D" w:rsidRPr="006E145D">
        <w:rPr>
          <w:rFonts w:cs="Arial"/>
        </w:rPr>
        <w:tab/>
      </w:r>
      <w:r w:rsidR="00785A8B">
        <w:rPr>
          <w:rFonts w:cs="Arial"/>
        </w:rPr>
        <w:t>Not applicable.</w:t>
      </w:r>
    </w:p>
    <w:p w:rsidR="00A903F7" w:rsidRDefault="00A903F7" w:rsidP="001370FE">
      <w:pPr>
        <w:autoSpaceDE w:val="0"/>
        <w:autoSpaceDN w:val="0"/>
        <w:adjustRightInd w:val="0"/>
        <w:ind w:left="709" w:hanging="709"/>
        <w:rPr>
          <w:rFonts w:cs="Arial"/>
        </w:rPr>
      </w:pPr>
    </w:p>
    <w:p w:rsidR="00627CCF" w:rsidRPr="00FF0EFC" w:rsidRDefault="00B448CA" w:rsidP="00B54455">
      <w:pPr>
        <w:numPr>
          <w:ilvl w:val="0"/>
          <w:numId w:val="38"/>
        </w:numPr>
        <w:autoSpaceDE w:val="0"/>
        <w:autoSpaceDN w:val="0"/>
        <w:adjustRightInd w:val="0"/>
        <w:ind w:left="709" w:hanging="709"/>
        <w:rPr>
          <w:rFonts w:cs="Arial"/>
          <w:b/>
          <w:u w:val="single"/>
        </w:rPr>
      </w:pPr>
      <w:r w:rsidRPr="00FF0EFC">
        <w:rPr>
          <w:rFonts w:cs="Arial"/>
          <w:b/>
          <w:u w:val="single"/>
        </w:rPr>
        <w:t>Financial I</w:t>
      </w:r>
      <w:r w:rsidR="006E145D" w:rsidRPr="00FF0EFC">
        <w:rPr>
          <w:rFonts w:cs="Arial"/>
          <w:b/>
          <w:u w:val="single"/>
        </w:rPr>
        <w:t>mplications</w:t>
      </w:r>
      <w:r w:rsidR="00627CCF" w:rsidRPr="00FF0EFC">
        <w:rPr>
          <w:rFonts w:cs="Arial"/>
          <w:b/>
          <w:u w:val="single"/>
        </w:rPr>
        <w:t xml:space="preserve"> </w:t>
      </w:r>
    </w:p>
    <w:p w:rsidR="00B448CA" w:rsidRPr="00B448CA" w:rsidRDefault="00B448CA" w:rsidP="001370FE">
      <w:pPr>
        <w:autoSpaceDE w:val="0"/>
        <w:autoSpaceDN w:val="0"/>
        <w:adjustRightInd w:val="0"/>
        <w:ind w:left="709" w:hanging="709"/>
        <w:rPr>
          <w:rFonts w:cs="Arial"/>
        </w:rPr>
      </w:pPr>
    </w:p>
    <w:p w:rsidR="00B448CA" w:rsidRPr="00A903F7" w:rsidRDefault="001370FE" w:rsidP="00A903F7">
      <w:pPr>
        <w:ind w:left="709" w:hanging="709"/>
        <w:rPr>
          <w:rFonts w:cs="Arial"/>
          <w:color w:val="0000FF"/>
        </w:rPr>
      </w:pPr>
      <w:r>
        <w:rPr>
          <w:rFonts w:cs="Arial"/>
        </w:rPr>
        <w:t>1</w:t>
      </w:r>
      <w:r w:rsidR="001B2A73">
        <w:rPr>
          <w:rFonts w:cs="Arial"/>
        </w:rPr>
        <w:t>3</w:t>
      </w:r>
      <w:r w:rsidR="00B448CA" w:rsidRPr="00B448CA">
        <w:rPr>
          <w:rFonts w:cs="Arial"/>
        </w:rPr>
        <w:t>.1</w:t>
      </w:r>
      <w:r w:rsidR="00B448CA" w:rsidRPr="00B448CA">
        <w:rPr>
          <w:rFonts w:cs="Arial"/>
        </w:rPr>
        <w:tab/>
      </w:r>
      <w:r w:rsidR="00A14F53">
        <w:rPr>
          <w:rFonts w:cs="Arial"/>
        </w:rPr>
        <w:t>The School Funding Formula is contained within the Dedicated Schools Grant</w:t>
      </w:r>
    </w:p>
    <w:p w:rsidR="000404CF" w:rsidRDefault="000404CF" w:rsidP="001370FE">
      <w:pPr>
        <w:autoSpaceDE w:val="0"/>
        <w:autoSpaceDN w:val="0"/>
        <w:adjustRightInd w:val="0"/>
        <w:ind w:left="709" w:hanging="709"/>
        <w:rPr>
          <w:rFonts w:cs="Arial"/>
        </w:rPr>
      </w:pPr>
    </w:p>
    <w:p w:rsidR="00627CCF" w:rsidRPr="00FF0EFC" w:rsidRDefault="00B448CA" w:rsidP="00B54455">
      <w:pPr>
        <w:numPr>
          <w:ilvl w:val="0"/>
          <w:numId w:val="38"/>
        </w:numPr>
        <w:autoSpaceDE w:val="0"/>
        <w:autoSpaceDN w:val="0"/>
        <w:adjustRightInd w:val="0"/>
        <w:ind w:left="709" w:hanging="709"/>
        <w:rPr>
          <w:rFonts w:cs="Arial"/>
          <w:b/>
          <w:u w:val="single"/>
        </w:rPr>
      </w:pPr>
      <w:r w:rsidRPr="00FF0EFC">
        <w:rPr>
          <w:rFonts w:cs="Arial"/>
          <w:b/>
          <w:u w:val="single"/>
        </w:rPr>
        <w:t xml:space="preserve">Legal </w:t>
      </w:r>
      <w:r w:rsidR="006E145D" w:rsidRPr="00FF0EFC">
        <w:rPr>
          <w:rFonts w:cs="Arial"/>
          <w:b/>
          <w:u w:val="single"/>
        </w:rPr>
        <w:t xml:space="preserve">Implications </w:t>
      </w:r>
    </w:p>
    <w:p w:rsidR="007C1C4A" w:rsidRDefault="007C1C4A" w:rsidP="001370FE">
      <w:pPr>
        <w:autoSpaceDE w:val="0"/>
        <w:autoSpaceDN w:val="0"/>
        <w:adjustRightInd w:val="0"/>
        <w:ind w:left="709" w:hanging="709"/>
        <w:rPr>
          <w:rFonts w:cs="Arial"/>
          <w:b/>
        </w:rPr>
      </w:pPr>
    </w:p>
    <w:p w:rsidR="0083710B" w:rsidRPr="00785A8B" w:rsidRDefault="00A903F7" w:rsidP="00785A8B">
      <w:pPr>
        <w:ind w:left="709" w:hanging="709"/>
        <w:rPr>
          <w:rFonts w:cs="Arial"/>
        </w:rPr>
      </w:pPr>
      <w:r>
        <w:rPr>
          <w:rFonts w:cs="Arial"/>
        </w:rPr>
        <w:t>1</w:t>
      </w:r>
      <w:r w:rsidR="001B2A73">
        <w:rPr>
          <w:rFonts w:cs="Arial"/>
        </w:rPr>
        <w:t>4</w:t>
      </w:r>
      <w:r w:rsidR="007C1C4A" w:rsidRPr="00945AC3">
        <w:rPr>
          <w:rFonts w:cs="Arial"/>
        </w:rPr>
        <w:t>.1</w:t>
      </w:r>
      <w:r w:rsidR="007C1C4A" w:rsidRPr="00945AC3">
        <w:rPr>
          <w:rFonts w:cs="Arial"/>
        </w:rPr>
        <w:tab/>
      </w:r>
      <w:r w:rsidR="00B42641">
        <w:rPr>
          <w:rFonts w:cs="Arial"/>
        </w:rPr>
        <w:t>The Schools Forums (England) Regulations 2012 govern the</w:t>
      </w:r>
      <w:r w:rsidR="00D804FB">
        <w:rPr>
          <w:rFonts w:cs="Arial"/>
        </w:rPr>
        <w:t xml:space="preserve"> constitution and conduct of meetings of the Forum.  The Schools Finance (England) Regulations 2012 determine those matters on which the Local Authority must or may consult the </w:t>
      </w:r>
      <w:r w:rsidR="00D804FB">
        <w:rPr>
          <w:rFonts w:cs="Arial"/>
        </w:rPr>
        <w:lastRenderedPageBreak/>
        <w:t>Schools Forum and those in respect of which the Schools Forum can make decisions.  These Regulations make provision for the financial arrangements of local authorities in relation to the funding of maintained schools and providers of prescribed early years provision in England</w:t>
      </w:r>
      <w:r w:rsidR="00FF0EFC">
        <w:rPr>
          <w:rFonts w:cs="Arial"/>
        </w:rPr>
        <w:t>, for</w:t>
      </w:r>
      <w:r w:rsidR="00D804FB">
        <w:rPr>
          <w:rFonts w:cs="Arial"/>
        </w:rPr>
        <w:t xml:space="preserve"> the financial year 2013/14.  </w:t>
      </w:r>
    </w:p>
    <w:p w:rsidR="00944FB8" w:rsidRDefault="00944FB8" w:rsidP="001370FE">
      <w:pPr>
        <w:autoSpaceDE w:val="0"/>
        <w:autoSpaceDN w:val="0"/>
        <w:adjustRightInd w:val="0"/>
        <w:ind w:left="709" w:hanging="709"/>
        <w:rPr>
          <w:rFonts w:cs="Arial"/>
          <w:color w:val="000000"/>
        </w:rPr>
      </w:pPr>
    </w:p>
    <w:p w:rsidR="003B6610" w:rsidRPr="00FF0EFC" w:rsidRDefault="00B448CA" w:rsidP="00B54455">
      <w:pPr>
        <w:numPr>
          <w:ilvl w:val="0"/>
          <w:numId w:val="38"/>
        </w:numPr>
        <w:autoSpaceDE w:val="0"/>
        <w:autoSpaceDN w:val="0"/>
        <w:adjustRightInd w:val="0"/>
        <w:ind w:left="709" w:hanging="709"/>
        <w:rPr>
          <w:rFonts w:cs="Arial"/>
          <w:color w:val="000000"/>
          <w:u w:val="single"/>
        </w:rPr>
      </w:pPr>
      <w:r>
        <w:rPr>
          <w:rFonts w:cs="Arial"/>
          <w:b/>
        </w:rPr>
        <w:tab/>
      </w:r>
      <w:r w:rsidR="003B6610" w:rsidRPr="00FF0EFC">
        <w:rPr>
          <w:rFonts w:cs="Arial"/>
          <w:b/>
          <w:u w:val="single"/>
        </w:rPr>
        <w:t>Other Implications</w:t>
      </w:r>
    </w:p>
    <w:p w:rsidR="003B6610" w:rsidRDefault="003B6610" w:rsidP="001370FE">
      <w:pPr>
        <w:autoSpaceDE w:val="0"/>
        <w:autoSpaceDN w:val="0"/>
        <w:adjustRightInd w:val="0"/>
        <w:ind w:left="709" w:hanging="709"/>
        <w:rPr>
          <w:rFonts w:cs="Arial"/>
          <w:color w:val="0000FF"/>
        </w:rPr>
      </w:pPr>
    </w:p>
    <w:p w:rsidR="00B448CA" w:rsidRPr="001102BC" w:rsidRDefault="00B448CA" w:rsidP="00B54455">
      <w:pPr>
        <w:numPr>
          <w:ilvl w:val="1"/>
          <w:numId w:val="38"/>
        </w:numPr>
        <w:autoSpaceDE w:val="0"/>
        <w:autoSpaceDN w:val="0"/>
        <w:adjustRightInd w:val="0"/>
        <w:ind w:left="709" w:hanging="709"/>
        <w:rPr>
          <w:rFonts w:cs="Arial"/>
        </w:rPr>
      </w:pPr>
      <w:r>
        <w:rPr>
          <w:rFonts w:cs="Arial"/>
          <w:b/>
        </w:rPr>
        <w:t xml:space="preserve">Risk Management </w:t>
      </w:r>
      <w:r w:rsidR="001102BC">
        <w:rPr>
          <w:rFonts w:cs="Arial"/>
          <w:b/>
        </w:rPr>
        <w:t xml:space="preserve">- </w:t>
      </w:r>
      <w:r w:rsidR="001102BC">
        <w:rPr>
          <w:rFonts w:cs="Arial"/>
        </w:rPr>
        <w:t>None</w:t>
      </w:r>
    </w:p>
    <w:p w:rsidR="000D030E" w:rsidRDefault="000D030E" w:rsidP="001370FE">
      <w:pPr>
        <w:autoSpaceDE w:val="0"/>
        <w:autoSpaceDN w:val="0"/>
        <w:adjustRightInd w:val="0"/>
        <w:ind w:left="709" w:hanging="709"/>
        <w:rPr>
          <w:rFonts w:cs="Arial"/>
        </w:rPr>
      </w:pPr>
    </w:p>
    <w:p w:rsidR="0046701F" w:rsidRDefault="00B448CA" w:rsidP="00B54455">
      <w:pPr>
        <w:numPr>
          <w:ilvl w:val="1"/>
          <w:numId w:val="38"/>
        </w:numPr>
        <w:autoSpaceDE w:val="0"/>
        <w:autoSpaceDN w:val="0"/>
        <w:adjustRightInd w:val="0"/>
        <w:ind w:left="709" w:hanging="709"/>
        <w:rPr>
          <w:rFonts w:cs="Arial"/>
          <w:color w:val="000000" w:themeColor="text1"/>
        </w:rPr>
      </w:pPr>
      <w:r w:rsidRPr="0046701F">
        <w:rPr>
          <w:rFonts w:cs="Arial"/>
          <w:b/>
        </w:rPr>
        <w:t>Contr</w:t>
      </w:r>
      <w:r w:rsidRPr="0046701F">
        <w:rPr>
          <w:rFonts w:cs="Arial"/>
          <w:b/>
          <w:color w:val="000000" w:themeColor="text1"/>
        </w:rPr>
        <w:t>actual Issues</w:t>
      </w:r>
      <w:r w:rsidR="001102BC" w:rsidRPr="0046701F">
        <w:rPr>
          <w:rFonts w:cs="Arial"/>
          <w:color w:val="000000" w:themeColor="text1"/>
        </w:rPr>
        <w:t xml:space="preserve"> - None</w:t>
      </w:r>
      <w:r w:rsidR="002F3F9A" w:rsidRPr="0046701F">
        <w:rPr>
          <w:rFonts w:cs="Arial"/>
          <w:color w:val="000000" w:themeColor="text1"/>
        </w:rPr>
        <w:t xml:space="preserve"> </w:t>
      </w:r>
    </w:p>
    <w:p w:rsidR="0046701F" w:rsidRDefault="0046701F" w:rsidP="0046701F">
      <w:pPr>
        <w:pStyle w:val="ListParagraph"/>
        <w:rPr>
          <w:rFonts w:cs="Arial"/>
        </w:rPr>
      </w:pPr>
    </w:p>
    <w:p w:rsidR="00B448CA" w:rsidRPr="0046701F" w:rsidRDefault="00B448CA" w:rsidP="00B54455">
      <w:pPr>
        <w:numPr>
          <w:ilvl w:val="1"/>
          <w:numId w:val="38"/>
        </w:numPr>
        <w:autoSpaceDE w:val="0"/>
        <w:autoSpaceDN w:val="0"/>
        <w:adjustRightInd w:val="0"/>
        <w:ind w:left="709" w:hanging="709"/>
        <w:rPr>
          <w:rFonts w:cs="Arial"/>
          <w:color w:val="000000" w:themeColor="text1"/>
        </w:rPr>
      </w:pPr>
      <w:r w:rsidRPr="0046701F">
        <w:rPr>
          <w:rFonts w:cs="Arial"/>
          <w:b/>
        </w:rPr>
        <w:t>Staffing Issues</w:t>
      </w:r>
      <w:r w:rsidR="00583A52" w:rsidRPr="0046701F">
        <w:rPr>
          <w:rFonts w:cs="Arial"/>
        </w:rPr>
        <w:t xml:space="preserve"> </w:t>
      </w:r>
      <w:r w:rsidR="007D1D4F" w:rsidRPr="0046701F">
        <w:rPr>
          <w:rFonts w:cs="Arial"/>
        </w:rPr>
        <w:t>– No</w:t>
      </w:r>
      <w:r w:rsidR="001102BC" w:rsidRPr="0046701F">
        <w:rPr>
          <w:rFonts w:cs="Arial"/>
        </w:rPr>
        <w:t>ne</w:t>
      </w:r>
      <w:r w:rsidR="00583A52" w:rsidRPr="0046701F">
        <w:rPr>
          <w:rFonts w:cs="Arial"/>
          <w:color w:val="0000FF"/>
        </w:rPr>
        <w:t xml:space="preserve"> </w:t>
      </w:r>
    </w:p>
    <w:p w:rsidR="00E86584" w:rsidRDefault="00E86584" w:rsidP="001370FE">
      <w:pPr>
        <w:pStyle w:val="ListParagraph"/>
        <w:ind w:left="709" w:hanging="709"/>
        <w:rPr>
          <w:rFonts w:cs="Arial"/>
        </w:rPr>
      </w:pPr>
    </w:p>
    <w:p w:rsidR="00B448CA" w:rsidRDefault="00B448CA" w:rsidP="00B54455">
      <w:pPr>
        <w:numPr>
          <w:ilvl w:val="1"/>
          <w:numId w:val="38"/>
        </w:numPr>
        <w:autoSpaceDE w:val="0"/>
        <w:autoSpaceDN w:val="0"/>
        <w:adjustRightInd w:val="0"/>
        <w:ind w:left="709" w:hanging="709"/>
        <w:rPr>
          <w:rFonts w:cs="Arial"/>
        </w:rPr>
      </w:pPr>
      <w:r w:rsidRPr="00E86584">
        <w:rPr>
          <w:rFonts w:cs="Arial"/>
          <w:b/>
        </w:rPr>
        <w:t>Customer Impact</w:t>
      </w:r>
      <w:r w:rsidR="001102BC" w:rsidRPr="00E86584">
        <w:rPr>
          <w:rFonts w:cs="Arial"/>
        </w:rPr>
        <w:t xml:space="preserve"> </w:t>
      </w:r>
      <w:r w:rsidR="00E86584">
        <w:rPr>
          <w:rFonts w:cs="Arial"/>
        </w:rPr>
        <w:t>–</w:t>
      </w:r>
      <w:r w:rsidR="001102BC" w:rsidRPr="00E86584">
        <w:rPr>
          <w:rFonts w:cs="Arial"/>
        </w:rPr>
        <w:t xml:space="preserve"> None</w:t>
      </w:r>
    </w:p>
    <w:p w:rsidR="00E86584" w:rsidRDefault="00E86584" w:rsidP="001370FE">
      <w:pPr>
        <w:pStyle w:val="ListParagraph"/>
        <w:ind w:left="709" w:hanging="709"/>
        <w:rPr>
          <w:rFonts w:cs="Arial"/>
        </w:rPr>
      </w:pPr>
    </w:p>
    <w:p w:rsidR="00E86584" w:rsidRDefault="00E86584" w:rsidP="00B54455">
      <w:pPr>
        <w:numPr>
          <w:ilvl w:val="1"/>
          <w:numId w:val="38"/>
        </w:numPr>
        <w:autoSpaceDE w:val="0"/>
        <w:autoSpaceDN w:val="0"/>
        <w:adjustRightInd w:val="0"/>
        <w:ind w:left="709" w:hanging="709"/>
        <w:rPr>
          <w:rFonts w:cs="Arial"/>
        </w:rPr>
      </w:pPr>
      <w:r w:rsidRPr="00E86584">
        <w:rPr>
          <w:rFonts w:cs="Arial"/>
          <w:b/>
        </w:rPr>
        <w:t>Safeguarding Children-</w:t>
      </w:r>
      <w:r>
        <w:rPr>
          <w:rFonts w:cs="Arial"/>
        </w:rPr>
        <w:t xml:space="preserve"> None</w:t>
      </w:r>
    </w:p>
    <w:p w:rsidR="00E86584" w:rsidRDefault="00E86584" w:rsidP="001370FE">
      <w:pPr>
        <w:pStyle w:val="ListParagraph"/>
        <w:ind w:left="709" w:hanging="709"/>
        <w:rPr>
          <w:rFonts w:cs="Arial"/>
        </w:rPr>
      </w:pPr>
    </w:p>
    <w:p w:rsidR="00E86584" w:rsidRPr="00E86584" w:rsidRDefault="00E86584" w:rsidP="00B54455">
      <w:pPr>
        <w:numPr>
          <w:ilvl w:val="1"/>
          <w:numId w:val="38"/>
        </w:numPr>
        <w:autoSpaceDE w:val="0"/>
        <w:autoSpaceDN w:val="0"/>
        <w:adjustRightInd w:val="0"/>
        <w:ind w:left="709" w:hanging="709"/>
        <w:rPr>
          <w:rFonts w:cs="Arial"/>
        </w:rPr>
      </w:pPr>
      <w:r>
        <w:rPr>
          <w:rFonts w:cs="Arial"/>
          <w:b/>
        </w:rPr>
        <w:t>Health Issues</w:t>
      </w:r>
      <w:r>
        <w:rPr>
          <w:rFonts w:cs="Arial"/>
        </w:rPr>
        <w:t xml:space="preserve"> - None</w:t>
      </w:r>
      <w:r>
        <w:rPr>
          <w:rFonts w:cs="Arial"/>
          <w:color w:val="0000FF"/>
        </w:rPr>
        <w:t xml:space="preserve">  </w:t>
      </w:r>
    </w:p>
    <w:p w:rsidR="00E86584" w:rsidRDefault="00E86584" w:rsidP="001370FE">
      <w:pPr>
        <w:pStyle w:val="ListParagraph"/>
        <w:ind w:left="709" w:hanging="709"/>
        <w:rPr>
          <w:rFonts w:cs="Arial"/>
        </w:rPr>
      </w:pPr>
    </w:p>
    <w:p w:rsidR="00E86584" w:rsidRPr="00E86584" w:rsidRDefault="00E86584" w:rsidP="00B54455">
      <w:pPr>
        <w:numPr>
          <w:ilvl w:val="1"/>
          <w:numId w:val="38"/>
        </w:numPr>
        <w:autoSpaceDE w:val="0"/>
        <w:autoSpaceDN w:val="0"/>
        <w:adjustRightInd w:val="0"/>
        <w:ind w:left="709" w:hanging="709"/>
        <w:rPr>
          <w:rFonts w:cs="Arial"/>
        </w:rPr>
      </w:pPr>
      <w:r>
        <w:rPr>
          <w:rFonts w:cs="Arial"/>
          <w:b/>
        </w:rPr>
        <w:t>Crime and Disorder Issues</w:t>
      </w:r>
      <w:r>
        <w:rPr>
          <w:rFonts w:cs="Arial"/>
        </w:rPr>
        <w:t xml:space="preserve"> – None </w:t>
      </w:r>
      <w:r>
        <w:rPr>
          <w:rFonts w:cs="Arial"/>
          <w:color w:val="0000FF"/>
        </w:rPr>
        <w:t xml:space="preserve">  </w:t>
      </w:r>
    </w:p>
    <w:p w:rsidR="00E86584" w:rsidRDefault="00E86584" w:rsidP="001370FE">
      <w:pPr>
        <w:pStyle w:val="ListParagraph"/>
        <w:ind w:left="709" w:hanging="709"/>
        <w:rPr>
          <w:rFonts w:cs="Arial"/>
        </w:rPr>
      </w:pPr>
    </w:p>
    <w:p w:rsidR="00E86584" w:rsidRDefault="001601D1" w:rsidP="00B54455">
      <w:pPr>
        <w:numPr>
          <w:ilvl w:val="1"/>
          <w:numId w:val="38"/>
        </w:numPr>
        <w:autoSpaceDE w:val="0"/>
        <w:autoSpaceDN w:val="0"/>
        <w:adjustRightInd w:val="0"/>
        <w:ind w:left="709" w:hanging="709"/>
        <w:rPr>
          <w:rFonts w:cs="Arial"/>
        </w:rPr>
      </w:pPr>
      <w:r>
        <w:rPr>
          <w:rFonts w:cs="Arial"/>
          <w:b/>
        </w:rPr>
        <w:t>Property / Asset Issues</w:t>
      </w:r>
      <w:r>
        <w:rPr>
          <w:rFonts w:cs="Arial"/>
        </w:rPr>
        <w:t xml:space="preserve"> – None</w:t>
      </w:r>
    </w:p>
    <w:p w:rsidR="000404CF" w:rsidRDefault="000404CF" w:rsidP="001370FE">
      <w:pPr>
        <w:autoSpaceDE w:val="0"/>
        <w:autoSpaceDN w:val="0"/>
        <w:adjustRightInd w:val="0"/>
        <w:ind w:left="709" w:hanging="709"/>
        <w:rPr>
          <w:rFonts w:cs="Arial"/>
          <w:b/>
        </w:rPr>
      </w:pPr>
    </w:p>
    <w:p w:rsidR="009D2E10" w:rsidRDefault="009D2E10" w:rsidP="001370FE">
      <w:pPr>
        <w:autoSpaceDE w:val="0"/>
        <w:autoSpaceDN w:val="0"/>
        <w:adjustRightInd w:val="0"/>
        <w:ind w:left="709" w:hanging="709"/>
        <w:rPr>
          <w:b/>
        </w:rPr>
      </w:pPr>
    </w:p>
    <w:p w:rsidR="006B0B04" w:rsidRDefault="006B0B04" w:rsidP="001370FE">
      <w:pPr>
        <w:autoSpaceDE w:val="0"/>
        <w:autoSpaceDN w:val="0"/>
        <w:adjustRightInd w:val="0"/>
        <w:ind w:left="709" w:hanging="709"/>
        <w:rPr>
          <w:b/>
        </w:rPr>
      </w:pPr>
      <w:r w:rsidRPr="007432B9">
        <w:rPr>
          <w:rFonts w:cs="Arial"/>
          <w:b/>
        </w:rPr>
        <w:t>Background Papers</w:t>
      </w:r>
      <w:r w:rsidR="007432B9" w:rsidRPr="007432B9">
        <w:rPr>
          <w:rFonts w:cs="Arial"/>
          <w:b/>
        </w:rPr>
        <w:t xml:space="preserve"> </w:t>
      </w:r>
      <w:r w:rsidR="007432B9" w:rsidRPr="007432B9">
        <w:rPr>
          <w:b/>
        </w:rPr>
        <w:t>Used in the Preparation of the Report</w:t>
      </w:r>
      <w:r w:rsidR="007432B9">
        <w:rPr>
          <w:b/>
        </w:rPr>
        <w:t>:</w:t>
      </w:r>
    </w:p>
    <w:p w:rsidR="00EA0621" w:rsidRPr="007432B9" w:rsidRDefault="00EA0621" w:rsidP="001370FE">
      <w:pPr>
        <w:autoSpaceDE w:val="0"/>
        <w:autoSpaceDN w:val="0"/>
        <w:adjustRightInd w:val="0"/>
        <w:ind w:left="709" w:hanging="709"/>
        <w:rPr>
          <w:rFonts w:cs="Arial"/>
          <w:b/>
        </w:rPr>
      </w:pPr>
    </w:p>
    <w:p w:rsidR="00237113" w:rsidRPr="00C673B3" w:rsidRDefault="00612CCC" w:rsidP="001370FE">
      <w:pPr>
        <w:ind w:left="709" w:hanging="709"/>
        <w:rPr>
          <w:rFonts w:cs="Arial"/>
          <w:color w:val="0000FF"/>
        </w:rPr>
      </w:pPr>
      <w:r>
        <w:rPr>
          <w:rFonts w:cs="Arial"/>
          <w:color w:val="000000"/>
        </w:rPr>
        <w:t xml:space="preserve">None. </w:t>
      </w:r>
    </w:p>
    <w:p w:rsidR="000F14B0" w:rsidRDefault="000F14B0" w:rsidP="001370FE">
      <w:pPr>
        <w:autoSpaceDE w:val="0"/>
        <w:autoSpaceDN w:val="0"/>
        <w:adjustRightInd w:val="0"/>
        <w:ind w:left="709" w:hanging="709"/>
        <w:rPr>
          <w:rFonts w:cs="Arial"/>
          <w:b/>
        </w:rPr>
      </w:pPr>
    </w:p>
    <w:p w:rsidR="00E22338" w:rsidRDefault="000F14B0" w:rsidP="003413C8">
      <w:pPr>
        <w:autoSpaceDE w:val="0"/>
        <w:autoSpaceDN w:val="0"/>
        <w:adjustRightInd w:val="0"/>
        <w:rPr>
          <w:b/>
        </w:rPr>
      </w:pPr>
      <w:r>
        <w:rPr>
          <w:rFonts w:cs="Arial"/>
          <w:b/>
        </w:rPr>
        <w:t>List of appendices</w:t>
      </w:r>
      <w:r>
        <w:rPr>
          <w:b/>
        </w:rPr>
        <w:t>:</w:t>
      </w:r>
    </w:p>
    <w:p w:rsidR="008E469C" w:rsidRDefault="008E469C" w:rsidP="003413C8">
      <w:pPr>
        <w:autoSpaceDE w:val="0"/>
        <w:autoSpaceDN w:val="0"/>
        <w:adjustRightInd w:val="0"/>
      </w:pPr>
    </w:p>
    <w:p w:rsidR="005622D3" w:rsidRDefault="005622D3" w:rsidP="00191E9D">
      <w:pPr>
        <w:rPr>
          <w:rFonts w:cs="Arial"/>
        </w:rPr>
      </w:pPr>
      <w:r>
        <w:rPr>
          <w:rFonts w:cs="Arial"/>
        </w:rPr>
        <w:t xml:space="preserve">Appendix A - </w:t>
      </w:r>
      <w:r w:rsidR="00885890">
        <w:rPr>
          <w:rFonts w:cs="Arial"/>
        </w:rPr>
        <w:t>Schools Facing Financial Difficulty</w:t>
      </w:r>
    </w:p>
    <w:p w:rsidR="005622D3" w:rsidRDefault="005622D3" w:rsidP="00191E9D"/>
    <w:p w:rsidR="005622D3" w:rsidRDefault="005622D3" w:rsidP="00191E9D">
      <w:r>
        <w:t>Appendix B - Growth Fund and PAN Funding</w:t>
      </w:r>
    </w:p>
    <w:p w:rsidR="005622D3" w:rsidRDefault="005622D3" w:rsidP="00191E9D"/>
    <w:p w:rsidR="005622D3" w:rsidRDefault="005622D3" w:rsidP="00191E9D">
      <w:pPr>
        <w:rPr>
          <w:rFonts w:cs="Arial"/>
        </w:rPr>
      </w:pPr>
      <w:r>
        <w:t xml:space="preserve">Appendix C </w:t>
      </w:r>
      <w:r w:rsidR="000754BD">
        <w:t>–</w:t>
      </w:r>
      <w:r>
        <w:t xml:space="preserve"> </w:t>
      </w:r>
      <w:r w:rsidR="000754BD">
        <w:t>High Needs Block Savings</w:t>
      </w:r>
    </w:p>
    <w:p w:rsidR="00885890" w:rsidRDefault="00885890" w:rsidP="00191E9D">
      <w:pPr>
        <w:rPr>
          <w:rFonts w:cs="Arial"/>
        </w:rPr>
      </w:pPr>
    </w:p>
    <w:p w:rsidR="00885890" w:rsidRDefault="00885890" w:rsidP="00191E9D">
      <w:pPr>
        <w:rPr>
          <w:rFonts w:cs="Arial"/>
        </w:rPr>
      </w:pPr>
    </w:p>
    <w:sectPr w:rsidR="00885890" w:rsidSect="00785A8B">
      <w:headerReference w:type="even" r:id="rId12"/>
      <w:headerReference w:type="default" r:id="rId13"/>
      <w:footerReference w:type="even" r:id="rId14"/>
      <w:footerReference w:type="default" r:id="rId15"/>
      <w:headerReference w:type="first" r:id="rId16"/>
      <w:footerReference w:type="first" r:id="rId17"/>
      <w:pgSz w:w="11909" w:h="16834" w:code="9"/>
      <w:pgMar w:top="851" w:right="1134" w:bottom="567" w:left="1134" w:header="720" w:footer="720" w:gutter="0"/>
      <w:paperSrc w:first="15" w:other="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CEF" w:rsidRDefault="00605CEF">
      <w:r>
        <w:separator/>
      </w:r>
    </w:p>
  </w:endnote>
  <w:endnote w:type="continuationSeparator" w:id="0">
    <w:p w:rsidR="00605CEF" w:rsidRDefault="00605C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CEF" w:rsidRDefault="00605C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CEF" w:rsidRDefault="00605CEF">
    <w:pPr>
      <w:pStyle w:val="Footer"/>
      <w:jc w:val="center"/>
    </w:pPr>
    <w:fldSimple w:instr=" PAGE   \* MERGEFORMAT ">
      <w:r w:rsidR="00FA56CD">
        <w:rPr>
          <w:noProof/>
        </w:rPr>
        <w:t>9</w:t>
      </w:r>
    </w:fldSimple>
  </w:p>
  <w:p w:rsidR="00605CEF" w:rsidRDefault="00605CE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CEF" w:rsidRDefault="00605C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CEF" w:rsidRDefault="00605CEF">
      <w:r>
        <w:separator/>
      </w:r>
    </w:p>
  </w:footnote>
  <w:footnote w:type="continuationSeparator" w:id="0">
    <w:p w:rsidR="00605CEF" w:rsidRDefault="00605C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CEF" w:rsidRDefault="00605C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CEF" w:rsidRDefault="00605C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CEF" w:rsidRDefault="00605C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8.75pt;height:14.25pt;visibility:visible;mso-wrap-style:square" o:bullet="t">
        <v:imagedata r:id="rId1" o:title=""/>
      </v:shape>
    </w:pict>
  </w:numPicBullet>
  <w:abstractNum w:abstractNumId="0">
    <w:nsid w:val="013F02F0"/>
    <w:multiLevelType w:val="multilevel"/>
    <w:tmpl w:val="E4682A58"/>
    <w:lvl w:ilvl="0">
      <w:start w:val="10"/>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08B650AD"/>
    <w:multiLevelType w:val="multilevel"/>
    <w:tmpl w:val="693A7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F75D78"/>
    <w:multiLevelType w:val="hybridMultilevel"/>
    <w:tmpl w:val="C2DE4CC6"/>
    <w:lvl w:ilvl="0" w:tplc="746AAA10">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nsid w:val="0E03370C"/>
    <w:multiLevelType w:val="hybridMultilevel"/>
    <w:tmpl w:val="C1E4009C"/>
    <w:lvl w:ilvl="0" w:tplc="BB68162E">
      <w:start w:val="1"/>
      <w:numFmt w:val="lowerRoman"/>
      <w:lvlText w:val="(%1)"/>
      <w:lvlJc w:val="left"/>
      <w:pPr>
        <w:ind w:left="2160" w:hanging="720"/>
      </w:pPr>
      <w:rPr>
        <w:rFonts w:ascii="Arial" w:eastAsia="Times New Roman" w:hAnsi="Arial" w:cs="Times New Roman"/>
        <w:i/>
        <w:u w:val="non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140F48BB"/>
    <w:multiLevelType w:val="multilevel"/>
    <w:tmpl w:val="DFCE5B2E"/>
    <w:lvl w:ilvl="0">
      <w:start w:val="11"/>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1B3862AC"/>
    <w:multiLevelType w:val="multilevel"/>
    <w:tmpl w:val="62BA1742"/>
    <w:lvl w:ilvl="0">
      <w:start w:val="1"/>
      <w:numFmt w:val="decimal"/>
      <w:lvlText w:val="%1."/>
      <w:lvlJc w:val="left"/>
      <w:pPr>
        <w:ind w:left="1430" w:hanging="720"/>
      </w:pPr>
      <w:rPr>
        <w:rFonts w:ascii="Arial" w:eastAsia="Times New Roman" w:hAnsi="Arial" w:cs="Arial"/>
      </w:rPr>
    </w:lvl>
    <w:lvl w:ilvl="1">
      <w:start w:val="2"/>
      <w:numFmt w:val="decimal"/>
      <w:isLgl/>
      <w:lvlText w:val="%1.%2"/>
      <w:lvlJc w:val="left"/>
      <w:pPr>
        <w:ind w:left="846"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6">
    <w:nsid w:val="28AA30E9"/>
    <w:multiLevelType w:val="multilevel"/>
    <w:tmpl w:val="5450D64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94E522F"/>
    <w:multiLevelType w:val="hybridMultilevel"/>
    <w:tmpl w:val="22FA278C"/>
    <w:lvl w:ilvl="0" w:tplc="DAB6190A">
      <w:start w:val="11"/>
      <w:numFmt w:val="decimal"/>
      <w:lvlText w:val="%1"/>
      <w:lvlJc w:val="left"/>
      <w:pPr>
        <w:ind w:left="108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2BE07D08"/>
    <w:multiLevelType w:val="multilevel"/>
    <w:tmpl w:val="E1AAE72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5DF5B50"/>
    <w:multiLevelType w:val="multilevel"/>
    <w:tmpl w:val="62BA1742"/>
    <w:lvl w:ilvl="0">
      <w:start w:val="1"/>
      <w:numFmt w:val="decimal"/>
      <w:lvlText w:val="%1."/>
      <w:lvlJc w:val="left"/>
      <w:pPr>
        <w:ind w:left="1430" w:hanging="720"/>
      </w:pPr>
      <w:rPr>
        <w:rFonts w:ascii="Arial" w:eastAsia="Times New Roman" w:hAnsi="Arial" w:cs="Arial"/>
      </w:rPr>
    </w:lvl>
    <w:lvl w:ilvl="1">
      <w:start w:val="2"/>
      <w:numFmt w:val="decimal"/>
      <w:isLgl/>
      <w:lvlText w:val="%1.%2"/>
      <w:lvlJc w:val="left"/>
      <w:pPr>
        <w:ind w:left="846"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0">
    <w:nsid w:val="36023486"/>
    <w:multiLevelType w:val="hybridMultilevel"/>
    <w:tmpl w:val="ECF4D402"/>
    <w:lvl w:ilvl="0" w:tplc="DAB6190A">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7C06EE1"/>
    <w:multiLevelType w:val="hybridMultilevel"/>
    <w:tmpl w:val="C62C0C14"/>
    <w:lvl w:ilvl="0" w:tplc="6028390A">
      <w:start w:val="14"/>
      <w:numFmt w:val="decimal"/>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nsid w:val="3AE63C7D"/>
    <w:multiLevelType w:val="multilevel"/>
    <w:tmpl w:val="8C04FA6C"/>
    <w:lvl w:ilvl="0">
      <w:start w:val="12"/>
      <w:numFmt w:val="decimal"/>
      <w:lvlText w:val="%1"/>
      <w:lvlJc w:val="left"/>
      <w:pPr>
        <w:ind w:left="465" w:hanging="465"/>
      </w:pPr>
      <w:rPr>
        <w:rFonts w:hint="default"/>
      </w:rPr>
    </w:lvl>
    <w:lvl w:ilvl="1">
      <w:start w:val="1"/>
      <w:numFmt w:val="decimal"/>
      <w:lvlText w:val="%1.%2"/>
      <w:lvlJc w:val="left"/>
      <w:pPr>
        <w:ind w:left="1175" w:hanging="46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3">
    <w:nsid w:val="42E045A9"/>
    <w:multiLevelType w:val="multilevel"/>
    <w:tmpl w:val="247647C4"/>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360"/>
        </w:tabs>
        <w:ind w:left="360" w:hanging="360"/>
      </w:pPr>
      <w:rPr>
        <w:rFonts w:hint="default"/>
        <w:b w:val="0"/>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43740242"/>
    <w:multiLevelType w:val="multilevel"/>
    <w:tmpl w:val="5D285AE8"/>
    <w:lvl w:ilvl="0">
      <w:start w:val="8"/>
      <w:numFmt w:val="decimal"/>
      <w:lvlText w:val="%1"/>
      <w:lvlJc w:val="left"/>
      <w:pPr>
        <w:ind w:left="360" w:hanging="360"/>
      </w:pPr>
      <w:rPr>
        <w:rFonts w:hint="default"/>
      </w:rPr>
    </w:lvl>
    <w:lvl w:ilvl="1">
      <w:start w:val="1"/>
      <w:numFmt w:val="decimal"/>
      <w:isLgl/>
      <w:lvlText w:val="%1.%2"/>
      <w:lvlJc w:val="left"/>
      <w:pPr>
        <w:ind w:left="879" w:hanging="52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632" w:hanging="1800"/>
      </w:pPr>
      <w:rPr>
        <w:rFonts w:hint="default"/>
      </w:rPr>
    </w:lvl>
  </w:abstractNum>
  <w:abstractNum w:abstractNumId="15">
    <w:nsid w:val="47B529C0"/>
    <w:multiLevelType w:val="multilevel"/>
    <w:tmpl w:val="DA7A2A04"/>
    <w:lvl w:ilvl="0">
      <w:start w:val="1"/>
      <w:numFmt w:val="bullet"/>
      <w:lvlRestart w:val="0"/>
      <w:pStyle w:val="DfESBullets"/>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16">
    <w:nsid w:val="490F1179"/>
    <w:multiLevelType w:val="hybridMultilevel"/>
    <w:tmpl w:val="5D726412"/>
    <w:lvl w:ilvl="0" w:tplc="0DBC364C">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9FC0817"/>
    <w:multiLevelType w:val="multilevel"/>
    <w:tmpl w:val="2B94355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A9872CB"/>
    <w:multiLevelType w:val="multilevel"/>
    <w:tmpl w:val="62BA1742"/>
    <w:lvl w:ilvl="0">
      <w:start w:val="1"/>
      <w:numFmt w:val="decimal"/>
      <w:lvlText w:val="%1."/>
      <w:lvlJc w:val="left"/>
      <w:pPr>
        <w:ind w:left="1430" w:hanging="720"/>
      </w:pPr>
      <w:rPr>
        <w:rFonts w:ascii="Arial" w:eastAsia="Times New Roman" w:hAnsi="Arial" w:cs="Arial"/>
      </w:rPr>
    </w:lvl>
    <w:lvl w:ilvl="1">
      <w:start w:val="2"/>
      <w:numFmt w:val="decimal"/>
      <w:isLgl/>
      <w:lvlText w:val="%1.%2"/>
      <w:lvlJc w:val="left"/>
      <w:pPr>
        <w:ind w:left="846"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9">
    <w:nsid w:val="4D2844C4"/>
    <w:multiLevelType w:val="multilevel"/>
    <w:tmpl w:val="A878A66A"/>
    <w:lvl w:ilvl="0">
      <w:start w:val="11"/>
      <w:numFmt w:val="decimal"/>
      <w:lvlText w:val="%1"/>
      <w:lvlJc w:val="left"/>
      <w:pPr>
        <w:ind w:left="660" w:hanging="660"/>
      </w:pPr>
      <w:rPr>
        <w:rFonts w:hint="default"/>
      </w:rPr>
    </w:lvl>
    <w:lvl w:ilvl="1">
      <w:start w:val="2"/>
      <w:numFmt w:val="decimal"/>
      <w:lvlText w:val="%1.%2"/>
      <w:lvlJc w:val="left"/>
      <w:pPr>
        <w:ind w:left="1020" w:hanging="66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nsid w:val="4D9F0338"/>
    <w:multiLevelType w:val="multilevel"/>
    <w:tmpl w:val="57F0F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192B49"/>
    <w:multiLevelType w:val="hybridMultilevel"/>
    <w:tmpl w:val="87FEC0D2"/>
    <w:lvl w:ilvl="0" w:tplc="34FAB1B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569A1B12"/>
    <w:multiLevelType w:val="hybridMultilevel"/>
    <w:tmpl w:val="B14E97FA"/>
    <w:lvl w:ilvl="0" w:tplc="0644B6F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8016BD1"/>
    <w:multiLevelType w:val="hybridMultilevel"/>
    <w:tmpl w:val="01DEDDBA"/>
    <w:lvl w:ilvl="0" w:tplc="B518E2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98164F2"/>
    <w:multiLevelType w:val="hybridMultilevel"/>
    <w:tmpl w:val="D5ACB9A4"/>
    <w:lvl w:ilvl="0" w:tplc="36B65C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A7B770C"/>
    <w:multiLevelType w:val="hybridMultilevel"/>
    <w:tmpl w:val="2A184FAA"/>
    <w:lvl w:ilvl="0" w:tplc="1DF0C2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E54072E"/>
    <w:multiLevelType w:val="hybridMultilevel"/>
    <w:tmpl w:val="9ABA390E"/>
    <w:lvl w:ilvl="0" w:tplc="132E4B5C">
      <w:start w:val="9"/>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64427E8D"/>
    <w:multiLevelType w:val="hybridMultilevel"/>
    <w:tmpl w:val="6062EC9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nsid w:val="66046B2D"/>
    <w:multiLevelType w:val="hybridMultilevel"/>
    <w:tmpl w:val="E82A320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nsid w:val="6A2F51CC"/>
    <w:multiLevelType w:val="hybridMultilevel"/>
    <w:tmpl w:val="9926C3FC"/>
    <w:lvl w:ilvl="0" w:tplc="DAB6190A">
      <w:start w:val="11"/>
      <w:numFmt w:val="decimal"/>
      <w:lvlText w:val="%1"/>
      <w:lvlJc w:val="left"/>
      <w:pPr>
        <w:ind w:left="108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nsid w:val="6BA7297C"/>
    <w:multiLevelType w:val="multilevel"/>
    <w:tmpl w:val="4A90CAE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E0056C8"/>
    <w:multiLevelType w:val="multilevel"/>
    <w:tmpl w:val="E4E8433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73B66542"/>
    <w:multiLevelType w:val="hybridMultilevel"/>
    <w:tmpl w:val="E9B8BB28"/>
    <w:lvl w:ilvl="0" w:tplc="BF6E501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3E13E64"/>
    <w:multiLevelType w:val="hybridMultilevel"/>
    <w:tmpl w:val="8DB0FEBE"/>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nsid w:val="74EB1D85"/>
    <w:multiLevelType w:val="hybridMultilevel"/>
    <w:tmpl w:val="4070655C"/>
    <w:lvl w:ilvl="0" w:tplc="F2F06462">
      <w:start w:val="1"/>
      <w:numFmt w:val="bullet"/>
      <w:lvlText w:val=""/>
      <w:lvlPicBulletId w:val="0"/>
      <w:lvlJc w:val="left"/>
      <w:pPr>
        <w:tabs>
          <w:tab w:val="num" w:pos="720"/>
        </w:tabs>
        <w:ind w:left="720" w:hanging="360"/>
      </w:pPr>
      <w:rPr>
        <w:rFonts w:ascii="Symbol" w:hAnsi="Symbol" w:hint="default"/>
      </w:rPr>
    </w:lvl>
    <w:lvl w:ilvl="1" w:tplc="5BA406E8" w:tentative="1">
      <w:start w:val="1"/>
      <w:numFmt w:val="bullet"/>
      <w:lvlText w:val=""/>
      <w:lvlJc w:val="left"/>
      <w:pPr>
        <w:tabs>
          <w:tab w:val="num" w:pos="1440"/>
        </w:tabs>
        <w:ind w:left="1440" w:hanging="360"/>
      </w:pPr>
      <w:rPr>
        <w:rFonts w:ascii="Symbol" w:hAnsi="Symbol" w:hint="default"/>
      </w:rPr>
    </w:lvl>
    <w:lvl w:ilvl="2" w:tplc="69880DAC" w:tentative="1">
      <w:start w:val="1"/>
      <w:numFmt w:val="bullet"/>
      <w:lvlText w:val=""/>
      <w:lvlJc w:val="left"/>
      <w:pPr>
        <w:tabs>
          <w:tab w:val="num" w:pos="2160"/>
        </w:tabs>
        <w:ind w:left="2160" w:hanging="360"/>
      </w:pPr>
      <w:rPr>
        <w:rFonts w:ascii="Symbol" w:hAnsi="Symbol" w:hint="default"/>
      </w:rPr>
    </w:lvl>
    <w:lvl w:ilvl="3" w:tplc="D9067D4E" w:tentative="1">
      <w:start w:val="1"/>
      <w:numFmt w:val="bullet"/>
      <w:lvlText w:val=""/>
      <w:lvlJc w:val="left"/>
      <w:pPr>
        <w:tabs>
          <w:tab w:val="num" w:pos="2880"/>
        </w:tabs>
        <w:ind w:left="2880" w:hanging="360"/>
      </w:pPr>
      <w:rPr>
        <w:rFonts w:ascii="Symbol" w:hAnsi="Symbol" w:hint="default"/>
      </w:rPr>
    </w:lvl>
    <w:lvl w:ilvl="4" w:tplc="90801552" w:tentative="1">
      <w:start w:val="1"/>
      <w:numFmt w:val="bullet"/>
      <w:lvlText w:val=""/>
      <w:lvlJc w:val="left"/>
      <w:pPr>
        <w:tabs>
          <w:tab w:val="num" w:pos="3600"/>
        </w:tabs>
        <w:ind w:left="3600" w:hanging="360"/>
      </w:pPr>
      <w:rPr>
        <w:rFonts w:ascii="Symbol" w:hAnsi="Symbol" w:hint="default"/>
      </w:rPr>
    </w:lvl>
    <w:lvl w:ilvl="5" w:tplc="3B98AAD8" w:tentative="1">
      <w:start w:val="1"/>
      <w:numFmt w:val="bullet"/>
      <w:lvlText w:val=""/>
      <w:lvlJc w:val="left"/>
      <w:pPr>
        <w:tabs>
          <w:tab w:val="num" w:pos="4320"/>
        </w:tabs>
        <w:ind w:left="4320" w:hanging="360"/>
      </w:pPr>
      <w:rPr>
        <w:rFonts w:ascii="Symbol" w:hAnsi="Symbol" w:hint="default"/>
      </w:rPr>
    </w:lvl>
    <w:lvl w:ilvl="6" w:tplc="C9F8C530" w:tentative="1">
      <w:start w:val="1"/>
      <w:numFmt w:val="bullet"/>
      <w:lvlText w:val=""/>
      <w:lvlJc w:val="left"/>
      <w:pPr>
        <w:tabs>
          <w:tab w:val="num" w:pos="5040"/>
        </w:tabs>
        <w:ind w:left="5040" w:hanging="360"/>
      </w:pPr>
      <w:rPr>
        <w:rFonts w:ascii="Symbol" w:hAnsi="Symbol" w:hint="default"/>
      </w:rPr>
    </w:lvl>
    <w:lvl w:ilvl="7" w:tplc="5A784216" w:tentative="1">
      <w:start w:val="1"/>
      <w:numFmt w:val="bullet"/>
      <w:lvlText w:val=""/>
      <w:lvlJc w:val="left"/>
      <w:pPr>
        <w:tabs>
          <w:tab w:val="num" w:pos="5760"/>
        </w:tabs>
        <w:ind w:left="5760" w:hanging="360"/>
      </w:pPr>
      <w:rPr>
        <w:rFonts w:ascii="Symbol" w:hAnsi="Symbol" w:hint="default"/>
      </w:rPr>
    </w:lvl>
    <w:lvl w:ilvl="8" w:tplc="99DE76C0" w:tentative="1">
      <w:start w:val="1"/>
      <w:numFmt w:val="bullet"/>
      <w:lvlText w:val=""/>
      <w:lvlJc w:val="left"/>
      <w:pPr>
        <w:tabs>
          <w:tab w:val="num" w:pos="6480"/>
        </w:tabs>
        <w:ind w:left="6480" w:hanging="360"/>
      </w:pPr>
      <w:rPr>
        <w:rFonts w:ascii="Symbol" w:hAnsi="Symbol" w:hint="default"/>
      </w:rPr>
    </w:lvl>
  </w:abstractNum>
  <w:abstractNum w:abstractNumId="35">
    <w:nsid w:val="778D3080"/>
    <w:multiLevelType w:val="hybridMultilevel"/>
    <w:tmpl w:val="5AB8C44E"/>
    <w:lvl w:ilvl="0" w:tplc="035894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9905F2C"/>
    <w:multiLevelType w:val="hybridMultilevel"/>
    <w:tmpl w:val="85D49FB8"/>
    <w:lvl w:ilvl="0" w:tplc="A2C621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A056B92"/>
    <w:multiLevelType w:val="hybridMultilevel"/>
    <w:tmpl w:val="1C10DC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nsid w:val="7BB1176D"/>
    <w:multiLevelType w:val="hybridMultilevel"/>
    <w:tmpl w:val="EEDAD68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5"/>
  </w:num>
  <w:num w:numId="2">
    <w:abstractNumId w:val="13"/>
  </w:num>
  <w:num w:numId="3">
    <w:abstractNumId w:val="36"/>
  </w:num>
  <w:num w:numId="4">
    <w:abstractNumId w:val="9"/>
  </w:num>
  <w:num w:numId="5">
    <w:abstractNumId w:val="27"/>
  </w:num>
  <w:num w:numId="6">
    <w:abstractNumId w:val="38"/>
  </w:num>
  <w:num w:numId="7">
    <w:abstractNumId w:val="16"/>
  </w:num>
  <w:num w:numId="8">
    <w:abstractNumId w:val="30"/>
  </w:num>
  <w:num w:numId="9">
    <w:abstractNumId w:val="11"/>
  </w:num>
  <w:num w:numId="10">
    <w:abstractNumId w:val="1"/>
  </w:num>
  <w:num w:numId="11">
    <w:abstractNumId w:val="21"/>
  </w:num>
  <w:num w:numId="12">
    <w:abstractNumId w:val="2"/>
  </w:num>
  <w:num w:numId="13">
    <w:abstractNumId w:val="23"/>
  </w:num>
  <w:num w:numId="14">
    <w:abstractNumId w:val="3"/>
  </w:num>
  <w:num w:numId="15">
    <w:abstractNumId w:val="6"/>
  </w:num>
  <w:num w:numId="16">
    <w:abstractNumId w:val="8"/>
  </w:num>
  <w:num w:numId="17">
    <w:abstractNumId w:val="17"/>
  </w:num>
  <w:num w:numId="18">
    <w:abstractNumId w:val="31"/>
  </w:num>
  <w:num w:numId="19">
    <w:abstractNumId w:val="22"/>
  </w:num>
  <w:num w:numId="20">
    <w:abstractNumId w:val="25"/>
  </w:num>
  <w:num w:numId="21">
    <w:abstractNumId w:val="34"/>
  </w:num>
  <w:num w:numId="22">
    <w:abstractNumId w:val="35"/>
  </w:num>
  <w:num w:numId="23">
    <w:abstractNumId w:val="24"/>
  </w:num>
  <w:num w:numId="24">
    <w:abstractNumId w:val="20"/>
  </w:num>
  <w:num w:numId="25">
    <w:abstractNumId w:val="37"/>
  </w:num>
  <w:num w:numId="26">
    <w:abstractNumId w:val="28"/>
  </w:num>
  <w:num w:numId="27">
    <w:abstractNumId w:val="12"/>
  </w:num>
  <w:num w:numId="28">
    <w:abstractNumId w:val="33"/>
  </w:num>
  <w:num w:numId="29">
    <w:abstractNumId w:val="32"/>
  </w:num>
  <w:num w:numId="30">
    <w:abstractNumId w:val="14"/>
  </w:num>
  <w:num w:numId="31">
    <w:abstractNumId w:val="5"/>
  </w:num>
  <w:num w:numId="32">
    <w:abstractNumId w:val="18"/>
  </w:num>
  <w:num w:numId="33">
    <w:abstractNumId w:val="26"/>
  </w:num>
  <w:num w:numId="34">
    <w:abstractNumId w:val="0"/>
  </w:num>
  <w:num w:numId="35">
    <w:abstractNumId w:val="10"/>
  </w:num>
  <w:num w:numId="36">
    <w:abstractNumId w:val="7"/>
  </w:num>
  <w:num w:numId="37">
    <w:abstractNumId w:val="29"/>
  </w:num>
  <w:num w:numId="38">
    <w:abstractNumId w:val="4"/>
  </w:num>
  <w:num w:numId="39">
    <w:abstractNumId w:val="1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rsids>
    <w:rsidRoot w:val="00EA6CFF"/>
    <w:rsid w:val="0000145A"/>
    <w:rsid w:val="00005B71"/>
    <w:rsid w:val="00006DA9"/>
    <w:rsid w:val="00010373"/>
    <w:rsid w:val="00011A72"/>
    <w:rsid w:val="000120F7"/>
    <w:rsid w:val="00017940"/>
    <w:rsid w:val="00021727"/>
    <w:rsid w:val="00021BED"/>
    <w:rsid w:val="000249EC"/>
    <w:rsid w:val="0002531C"/>
    <w:rsid w:val="00025EA0"/>
    <w:rsid w:val="00026914"/>
    <w:rsid w:val="00030C46"/>
    <w:rsid w:val="000310B7"/>
    <w:rsid w:val="000318AC"/>
    <w:rsid w:val="0003456B"/>
    <w:rsid w:val="00034678"/>
    <w:rsid w:val="00034AAA"/>
    <w:rsid w:val="00036181"/>
    <w:rsid w:val="000365CD"/>
    <w:rsid w:val="000404CF"/>
    <w:rsid w:val="00040944"/>
    <w:rsid w:val="000413B1"/>
    <w:rsid w:val="00042094"/>
    <w:rsid w:val="00043B61"/>
    <w:rsid w:val="00043C82"/>
    <w:rsid w:val="00051382"/>
    <w:rsid w:val="00051F08"/>
    <w:rsid w:val="0005699A"/>
    <w:rsid w:val="000575B4"/>
    <w:rsid w:val="00057E34"/>
    <w:rsid w:val="00063181"/>
    <w:rsid w:val="000722F4"/>
    <w:rsid w:val="00072940"/>
    <w:rsid w:val="00075390"/>
    <w:rsid w:val="000754BD"/>
    <w:rsid w:val="00076174"/>
    <w:rsid w:val="00077CA6"/>
    <w:rsid w:val="000820BD"/>
    <w:rsid w:val="000839E0"/>
    <w:rsid w:val="000848A2"/>
    <w:rsid w:val="00084CE6"/>
    <w:rsid w:val="00094439"/>
    <w:rsid w:val="00097034"/>
    <w:rsid w:val="000973FA"/>
    <w:rsid w:val="000A0018"/>
    <w:rsid w:val="000A4E4C"/>
    <w:rsid w:val="000A5CEC"/>
    <w:rsid w:val="000A66D7"/>
    <w:rsid w:val="000B0001"/>
    <w:rsid w:val="000B00DC"/>
    <w:rsid w:val="000B7DB1"/>
    <w:rsid w:val="000C0C31"/>
    <w:rsid w:val="000C5C0F"/>
    <w:rsid w:val="000C62C5"/>
    <w:rsid w:val="000C694F"/>
    <w:rsid w:val="000D030E"/>
    <w:rsid w:val="000D11DC"/>
    <w:rsid w:val="000D2F6E"/>
    <w:rsid w:val="000D5779"/>
    <w:rsid w:val="000D5787"/>
    <w:rsid w:val="000D7DC8"/>
    <w:rsid w:val="000E20BD"/>
    <w:rsid w:val="000E5DAE"/>
    <w:rsid w:val="000F14B0"/>
    <w:rsid w:val="000F281E"/>
    <w:rsid w:val="001015A7"/>
    <w:rsid w:val="001017C9"/>
    <w:rsid w:val="00103630"/>
    <w:rsid w:val="001060BA"/>
    <w:rsid w:val="001102BC"/>
    <w:rsid w:val="00110C67"/>
    <w:rsid w:val="00114079"/>
    <w:rsid w:val="00115B41"/>
    <w:rsid w:val="00116936"/>
    <w:rsid w:val="00117262"/>
    <w:rsid w:val="0012128A"/>
    <w:rsid w:val="00121534"/>
    <w:rsid w:val="0012179E"/>
    <w:rsid w:val="00124287"/>
    <w:rsid w:val="0013164F"/>
    <w:rsid w:val="00133834"/>
    <w:rsid w:val="001370FE"/>
    <w:rsid w:val="00140325"/>
    <w:rsid w:val="00141508"/>
    <w:rsid w:val="00146296"/>
    <w:rsid w:val="00150277"/>
    <w:rsid w:val="00150BEA"/>
    <w:rsid w:val="00155F07"/>
    <w:rsid w:val="001601D1"/>
    <w:rsid w:val="00161DD3"/>
    <w:rsid w:val="001623F6"/>
    <w:rsid w:val="0016693A"/>
    <w:rsid w:val="00166E5E"/>
    <w:rsid w:val="00167859"/>
    <w:rsid w:val="00172487"/>
    <w:rsid w:val="00176AB6"/>
    <w:rsid w:val="00176C17"/>
    <w:rsid w:val="0018172B"/>
    <w:rsid w:val="001819B7"/>
    <w:rsid w:val="001874DF"/>
    <w:rsid w:val="00191E7E"/>
    <w:rsid w:val="00191E9D"/>
    <w:rsid w:val="0019228B"/>
    <w:rsid w:val="00193BDC"/>
    <w:rsid w:val="00194E9B"/>
    <w:rsid w:val="001959AA"/>
    <w:rsid w:val="001978A2"/>
    <w:rsid w:val="001A02C6"/>
    <w:rsid w:val="001A2041"/>
    <w:rsid w:val="001A2280"/>
    <w:rsid w:val="001A3B68"/>
    <w:rsid w:val="001A3C41"/>
    <w:rsid w:val="001A49C3"/>
    <w:rsid w:val="001B2A73"/>
    <w:rsid w:val="001B2F12"/>
    <w:rsid w:val="001B3366"/>
    <w:rsid w:val="001B3730"/>
    <w:rsid w:val="001B47A6"/>
    <w:rsid w:val="001B56CC"/>
    <w:rsid w:val="001B6318"/>
    <w:rsid w:val="001C5873"/>
    <w:rsid w:val="001C72A2"/>
    <w:rsid w:val="001D2EF5"/>
    <w:rsid w:val="001E0514"/>
    <w:rsid w:val="001E0ED9"/>
    <w:rsid w:val="001E436C"/>
    <w:rsid w:val="001E4813"/>
    <w:rsid w:val="001E5639"/>
    <w:rsid w:val="001E5AFB"/>
    <w:rsid w:val="001E7623"/>
    <w:rsid w:val="001F065B"/>
    <w:rsid w:val="001F0959"/>
    <w:rsid w:val="001F1E59"/>
    <w:rsid w:val="001F208A"/>
    <w:rsid w:val="001F2368"/>
    <w:rsid w:val="00204510"/>
    <w:rsid w:val="00205671"/>
    <w:rsid w:val="00206B8C"/>
    <w:rsid w:val="00207008"/>
    <w:rsid w:val="00214C35"/>
    <w:rsid w:val="00215957"/>
    <w:rsid w:val="0021756D"/>
    <w:rsid w:val="002201F0"/>
    <w:rsid w:val="00225E0C"/>
    <w:rsid w:val="0022645A"/>
    <w:rsid w:val="00226EB2"/>
    <w:rsid w:val="0022706D"/>
    <w:rsid w:val="00227851"/>
    <w:rsid w:val="00230EA1"/>
    <w:rsid w:val="00233ED9"/>
    <w:rsid w:val="00237113"/>
    <w:rsid w:val="0024162A"/>
    <w:rsid w:val="00242249"/>
    <w:rsid w:val="00242390"/>
    <w:rsid w:val="00242399"/>
    <w:rsid w:val="00243460"/>
    <w:rsid w:val="002473FC"/>
    <w:rsid w:val="00247A48"/>
    <w:rsid w:val="00250D54"/>
    <w:rsid w:val="00251787"/>
    <w:rsid w:val="002517FE"/>
    <w:rsid w:val="002522E2"/>
    <w:rsid w:val="00264321"/>
    <w:rsid w:val="00264A9B"/>
    <w:rsid w:val="00273968"/>
    <w:rsid w:val="00273F31"/>
    <w:rsid w:val="00276251"/>
    <w:rsid w:val="0027680C"/>
    <w:rsid w:val="002804CF"/>
    <w:rsid w:val="00281849"/>
    <w:rsid w:val="00282990"/>
    <w:rsid w:val="0028601B"/>
    <w:rsid w:val="00295067"/>
    <w:rsid w:val="002A1ECE"/>
    <w:rsid w:val="002A2187"/>
    <w:rsid w:val="002A2FA5"/>
    <w:rsid w:val="002A4F18"/>
    <w:rsid w:val="002A7042"/>
    <w:rsid w:val="002B11B5"/>
    <w:rsid w:val="002B19D9"/>
    <w:rsid w:val="002B1A9D"/>
    <w:rsid w:val="002B1F79"/>
    <w:rsid w:val="002B29FD"/>
    <w:rsid w:val="002B402B"/>
    <w:rsid w:val="002B4D11"/>
    <w:rsid w:val="002C02D2"/>
    <w:rsid w:val="002C20C7"/>
    <w:rsid w:val="002C32ED"/>
    <w:rsid w:val="002D01CD"/>
    <w:rsid w:val="002D2BBD"/>
    <w:rsid w:val="002D4818"/>
    <w:rsid w:val="002D54FF"/>
    <w:rsid w:val="002D5B3F"/>
    <w:rsid w:val="002D5ECC"/>
    <w:rsid w:val="002D7809"/>
    <w:rsid w:val="002E113A"/>
    <w:rsid w:val="002E1B29"/>
    <w:rsid w:val="002E2C4E"/>
    <w:rsid w:val="002E3116"/>
    <w:rsid w:val="002E4908"/>
    <w:rsid w:val="002E769C"/>
    <w:rsid w:val="002E7E89"/>
    <w:rsid w:val="002E7EC2"/>
    <w:rsid w:val="002F090F"/>
    <w:rsid w:val="002F0963"/>
    <w:rsid w:val="002F1DAF"/>
    <w:rsid w:val="002F3DC6"/>
    <w:rsid w:val="002F3F9A"/>
    <w:rsid w:val="002F61B6"/>
    <w:rsid w:val="002F7DBC"/>
    <w:rsid w:val="003019D7"/>
    <w:rsid w:val="00301D4F"/>
    <w:rsid w:val="00303B06"/>
    <w:rsid w:val="00304EE1"/>
    <w:rsid w:val="00304F5B"/>
    <w:rsid w:val="00307168"/>
    <w:rsid w:val="00310E2C"/>
    <w:rsid w:val="003121E6"/>
    <w:rsid w:val="003128DF"/>
    <w:rsid w:val="00313462"/>
    <w:rsid w:val="003150DD"/>
    <w:rsid w:val="003161E4"/>
    <w:rsid w:val="00317B0D"/>
    <w:rsid w:val="00320183"/>
    <w:rsid w:val="00322B78"/>
    <w:rsid w:val="00324560"/>
    <w:rsid w:val="00325B4D"/>
    <w:rsid w:val="00325CE5"/>
    <w:rsid w:val="003264B9"/>
    <w:rsid w:val="00326A4D"/>
    <w:rsid w:val="00331B0A"/>
    <w:rsid w:val="00334B9F"/>
    <w:rsid w:val="00336997"/>
    <w:rsid w:val="003413C8"/>
    <w:rsid w:val="00341AC2"/>
    <w:rsid w:val="00344D04"/>
    <w:rsid w:val="00344F81"/>
    <w:rsid w:val="003462DC"/>
    <w:rsid w:val="00352659"/>
    <w:rsid w:val="00354B7B"/>
    <w:rsid w:val="00356655"/>
    <w:rsid w:val="003568BF"/>
    <w:rsid w:val="00356AE5"/>
    <w:rsid w:val="003617A5"/>
    <w:rsid w:val="003632EF"/>
    <w:rsid w:val="00367E13"/>
    <w:rsid w:val="00371F4D"/>
    <w:rsid w:val="00375509"/>
    <w:rsid w:val="00380EE6"/>
    <w:rsid w:val="0038132C"/>
    <w:rsid w:val="00381481"/>
    <w:rsid w:val="00381F2E"/>
    <w:rsid w:val="003821E3"/>
    <w:rsid w:val="00382AB6"/>
    <w:rsid w:val="00382D58"/>
    <w:rsid w:val="00383EA6"/>
    <w:rsid w:val="00385B4A"/>
    <w:rsid w:val="00385FC8"/>
    <w:rsid w:val="00386093"/>
    <w:rsid w:val="003900FD"/>
    <w:rsid w:val="00395640"/>
    <w:rsid w:val="003959C8"/>
    <w:rsid w:val="00396162"/>
    <w:rsid w:val="003961E0"/>
    <w:rsid w:val="003965D7"/>
    <w:rsid w:val="00396C4A"/>
    <w:rsid w:val="003978D8"/>
    <w:rsid w:val="003A6DC8"/>
    <w:rsid w:val="003B2ED6"/>
    <w:rsid w:val="003B5C5B"/>
    <w:rsid w:val="003B6610"/>
    <w:rsid w:val="003C3C1E"/>
    <w:rsid w:val="003C7A27"/>
    <w:rsid w:val="003D0435"/>
    <w:rsid w:val="003D10E0"/>
    <w:rsid w:val="003D1295"/>
    <w:rsid w:val="003D2040"/>
    <w:rsid w:val="003D4384"/>
    <w:rsid w:val="003D4495"/>
    <w:rsid w:val="003D5FC7"/>
    <w:rsid w:val="003E2357"/>
    <w:rsid w:val="003E4848"/>
    <w:rsid w:val="003E4E2F"/>
    <w:rsid w:val="003E5069"/>
    <w:rsid w:val="003E6631"/>
    <w:rsid w:val="003F016C"/>
    <w:rsid w:val="003F2A45"/>
    <w:rsid w:val="003F7012"/>
    <w:rsid w:val="00402C6B"/>
    <w:rsid w:val="00403751"/>
    <w:rsid w:val="00405AD1"/>
    <w:rsid w:val="00407A83"/>
    <w:rsid w:val="00407E26"/>
    <w:rsid w:val="0041533E"/>
    <w:rsid w:val="00416034"/>
    <w:rsid w:val="00416CD5"/>
    <w:rsid w:val="00422023"/>
    <w:rsid w:val="0042253F"/>
    <w:rsid w:val="00423313"/>
    <w:rsid w:val="00424A8E"/>
    <w:rsid w:val="00425046"/>
    <w:rsid w:val="00426024"/>
    <w:rsid w:val="00431891"/>
    <w:rsid w:val="00432DCB"/>
    <w:rsid w:val="0043366B"/>
    <w:rsid w:val="00433B2F"/>
    <w:rsid w:val="00435B81"/>
    <w:rsid w:val="00435B99"/>
    <w:rsid w:val="0044005E"/>
    <w:rsid w:val="004410B2"/>
    <w:rsid w:val="00441A7E"/>
    <w:rsid w:val="00442C2D"/>
    <w:rsid w:val="00443BBE"/>
    <w:rsid w:val="00446A1D"/>
    <w:rsid w:val="0045048E"/>
    <w:rsid w:val="00450580"/>
    <w:rsid w:val="00452879"/>
    <w:rsid w:val="00452DE4"/>
    <w:rsid w:val="00454545"/>
    <w:rsid w:val="00460710"/>
    <w:rsid w:val="004616F0"/>
    <w:rsid w:val="00461800"/>
    <w:rsid w:val="00462371"/>
    <w:rsid w:val="00465DD5"/>
    <w:rsid w:val="0046701F"/>
    <w:rsid w:val="004755AB"/>
    <w:rsid w:val="004760F2"/>
    <w:rsid w:val="004779AE"/>
    <w:rsid w:val="0048238A"/>
    <w:rsid w:val="00482983"/>
    <w:rsid w:val="00483FA7"/>
    <w:rsid w:val="0048497C"/>
    <w:rsid w:val="00485CE3"/>
    <w:rsid w:val="00486F3B"/>
    <w:rsid w:val="004912CD"/>
    <w:rsid w:val="0049210C"/>
    <w:rsid w:val="0049251A"/>
    <w:rsid w:val="00495974"/>
    <w:rsid w:val="00496936"/>
    <w:rsid w:val="00496CE0"/>
    <w:rsid w:val="00497697"/>
    <w:rsid w:val="004A0A09"/>
    <w:rsid w:val="004A0E44"/>
    <w:rsid w:val="004A35A2"/>
    <w:rsid w:val="004A6E84"/>
    <w:rsid w:val="004B58A3"/>
    <w:rsid w:val="004B6611"/>
    <w:rsid w:val="004B7734"/>
    <w:rsid w:val="004C12EF"/>
    <w:rsid w:val="004C266A"/>
    <w:rsid w:val="004C3AD5"/>
    <w:rsid w:val="004C58F2"/>
    <w:rsid w:val="004C5BB6"/>
    <w:rsid w:val="004C61AF"/>
    <w:rsid w:val="004C6549"/>
    <w:rsid w:val="004C6C24"/>
    <w:rsid w:val="004D207F"/>
    <w:rsid w:val="004D276D"/>
    <w:rsid w:val="004D4124"/>
    <w:rsid w:val="004D5CC1"/>
    <w:rsid w:val="004E1DC9"/>
    <w:rsid w:val="004E1F59"/>
    <w:rsid w:val="004E3E54"/>
    <w:rsid w:val="004E522A"/>
    <w:rsid w:val="004E66F9"/>
    <w:rsid w:val="004E76F0"/>
    <w:rsid w:val="004F046F"/>
    <w:rsid w:val="004F0A81"/>
    <w:rsid w:val="004F1D44"/>
    <w:rsid w:val="004F6AD1"/>
    <w:rsid w:val="004F787C"/>
    <w:rsid w:val="0050018E"/>
    <w:rsid w:val="0050034D"/>
    <w:rsid w:val="00500455"/>
    <w:rsid w:val="00500654"/>
    <w:rsid w:val="00502F62"/>
    <w:rsid w:val="00507E35"/>
    <w:rsid w:val="005106A1"/>
    <w:rsid w:val="005118CD"/>
    <w:rsid w:val="00513AA2"/>
    <w:rsid w:val="005161DA"/>
    <w:rsid w:val="00520A46"/>
    <w:rsid w:val="0052231F"/>
    <w:rsid w:val="00526CE3"/>
    <w:rsid w:val="005317E1"/>
    <w:rsid w:val="005332A4"/>
    <w:rsid w:val="00533C1B"/>
    <w:rsid w:val="00535111"/>
    <w:rsid w:val="00536079"/>
    <w:rsid w:val="0054527D"/>
    <w:rsid w:val="00546E2E"/>
    <w:rsid w:val="00552960"/>
    <w:rsid w:val="00552D3A"/>
    <w:rsid w:val="00552D43"/>
    <w:rsid w:val="00553269"/>
    <w:rsid w:val="00553490"/>
    <w:rsid w:val="005537FC"/>
    <w:rsid w:val="005550B8"/>
    <w:rsid w:val="005552C1"/>
    <w:rsid w:val="005577D2"/>
    <w:rsid w:val="005622D3"/>
    <w:rsid w:val="005632E9"/>
    <w:rsid w:val="00563671"/>
    <w:rsid w:val="00565238"/>
    <w:rsid w:val="00567732"/>
    <w:rsid w:val="00572A5C"/>
    <w:rsid w:val="00572B2D"/>
    <w:rsid w:val="00574B59"/>
    <w:rsid w:val="005762A4"/>
    <w:rsid w:val="00580B63"/>
    <w:rsid w:val="00581C3A"/>
    <w:rsid w:val="00583A52"/>
    <w:rsid w:val="005858A4"/>
    <w:rsid w:val="005866D8"/>
    <w:rsid w:val="00590394"/>
    <w:rsid w:val="005907EA"/>
    <w:rsid w:val="00592E78"/>
    <w:rsid w:val="005937F4"/>
    <w:rsid w:val="00597503"/>
    <w:rsid w:val="005977AD"/>
    <w:rsid w:val="005A28A2"/>
    <w:rsid w:val="005A3742"/>
    <w:rsid w:val="005A4067"/>
    <w:rsid w:val="005A6563"/>
    <w:rsid w:val="005B2190"/>
    <w:rsid w:val="005B26C6"/>
    <w:rsid w:val="005B4ABA"/>
    <w:rsid w:val="005B5B4A"/>
    <w:rsid w:val="005B7BE4"/>
    <w:rsid w:val="005C2590"/>
    <w:rsid w:val="005C3D1C"/>
    <w:rsid w:val="005C5086"/>
    <w:rsid w:val="005C5657"/>
    <w:rsid w:val="005C6A45"/>
    <w:rsid w:val="005D01FA"/>
    <w:rsid w:val="005D0FDD"/>
    <w:rsid w:val="005D114F"/>
    <w:rsid w:val="005D260F"/>
    <w:rsid w:val="005D2B98"/>
    <w:rsid w:val="005D5894"/>
    <w:rsid w:val="005D61A0"/>
    <w:rsid w:val="005D6B38"/>
    <w:rsid w:val="005E0CE6"/>
    <w:rsid w:val="005E17B7"/>
    <w:rsid w:val="005E31C1"/>
    <w:rsid w:val="005E44F0"/>
    <w:rsid w:val="005E678B"/>
    <w:rsid w:val="005E6E42"/>
    <w:rsid w:val="005E7931"/>
    <w:rsid w:val="005E7996"/>
    <w:rsid w:val="005F32C6"/>
    <w:rsid w:val="005F3A5D"/>
    <w:rsid w:val="005F3FCA"/>
    <w:rsid w:val="005F4C6B"/>
    <w:rsid w:val="005F5EDE"/>
    <w:rsid w:val="00603788"/>
    <w:rsid w:val="00605CEF"/>
    <w:rsid w:val="00606FF1"/>
    <w:rsid w:val="006103DD"/>
    <w:rsid w:val="00610512"/>
    <w:rsid w:val="00611049"/>
    <w:rsid w:val="00612CCC"/>
    <w:rsid w:val="00613D34"/>
    <w:rsid w:val="00615157"/>
    <w:rsid w:val="00615266"/>
    <w:rsid w:val="00615657"/>
    <w:rsid w:val="006160BE"/>
    <w:rsid w:val="006214BE"/>
    <w:rsid w:val="00621839"/>
    <w:rsid w:val="006262A7"/>
    <w:rsid w:val="00626671"/>
    <w:rsid w:val="00626F2A"/>
    <w:rsid w:val="00627CCF"/>
    <w:rsid w:val="00627FDA"/>
    <w:rsid w:val="00631A52"/>
    <w:rsid w:val="00632A37"/>
    <w:rsid w:val="0063396F"/>
    <w:rsid w:val="006379BD"/>
    <w:rsid w:val="00640782"/>
    <w:rsid w:val="00640AD2"/>
    <w:rsid w:val="006414CF"/>
    <w:rsid w:val="006451FF"/>
    <w:rsid w:val="00646317"/>
    <w:rsid w:val="0064692D"/>
    <w:rsid w:val="00655708"/>
    <w:rsid w:val="00655A81"/>
    <w:rsid w:val="00657B37"/>
    <w:rsid w:val="00662A09"/>
    <w:rsid w:val="00663779"/>
    <w:rsid w:val="00665700"/>
    <w:rsid w:val="006700DE"/>
    <w:rsid w:val="00670318"/>
    <w:rsid w:val="0067097F"/>
    <w:rsid w:val="0067198E"/>
    <w:rsid w:val="00672D19"/>
    <w:rsid w:val="006748E1"/>
    <w:rsid w:val="0067579A"/>
    <w:rsid w:val="00676049"/>
    <w:rsid w:val="0068024D"/>
    <w:rsid w:val="006820DE"/>
    <w:rsid w:val="00684803"/>
    <w:rsid w:val="00696E24"/>
    <w:rsid w:val="006A0305"/>
    <w:rsid w:val="006A0B13"/>
    <w:rsid w:val="006A64D0"/>
    <w:rsid w:val="006A6570"/>
    <w:rsid w:val="006A7794"/>
    <w:rsid w:val="006B05B0"/>
    <w:rsid w:val="006B0B04"/>
    <w:rsid w:val="006B37BA"/>
    <w:rsid w:val="006B3C35"/>
    <w:rsid w:val="006B71BB"/>
    <w:rsid w:val="006B72BD"/>
    <w:rsid w:val="006B740F"/>
    <w:rsid w:val="006C0A36"/>
    <w:rsid w:val="006C1374"/>
    <w:rsid w:val="006C4EC0"/>
    <w:rsid w:val="006D2D69"/>
    <w:rsid w:val="006E145D"/>
    <w:rsid w:val="006E329D"/>
    <w:rsid w:val="006E417A"/>
    <w:rsid w:val="006E461C"/>
    <w:rsid w:val="006E572A"/>
    <w:rsid w:val="006E7F49"/>
    <w:rsid w:val="006F01B7"/>
    <w:rsid w:val="006F41F0"/>
    <w:rsid w:val="006F5B47"/>
    <w:rsid w:val="006F76FC"/>
    <w:rsid w:val="00706238"/>
    <w:rsid w:val="00706C8C"/>
    <w:rsid w:val="0070734F"/>
    <w:rsid w:val="007079DD"/>
    <w:rsid w:val="00707E16"/>
    <w:rsid w:val="00711800"/>
    <w:rsid w:val="00711A8C"/>
    <w:rsid w:val="00712D1D"/>
    <w:rsid w:val="00713012"/>
    <w:rsid w:val="007135DB"/>
    <w:rsid w:val="00714BF7"/>
    <w:rsid w:val="00724ACC"/>
    <w:rsid w:val="00730431"/>
    <w:rsid w:val="00730E90"/>
    <w:rsid w:val="00730FF6"/>
    <w:rsid w:val="00735987"/>
    <w:rsid w:val="00736115"/>
    <w:rsid w:val="007406AE"/>
    <w:rsid w:val="00740CA6"/>
    <w:rsid w:val="007432B9"/>
    <w:rsid w:val="00746DEB"/>
    <w:rsid w:val="00754505"/>
    <w:rsid w:val="00755239"/>
    <w:rsid w:val="00760923"/>
    <w:rsid w:val="00761B82"/>
    <w:rsid w:val="00765B07"/>
    <w:rsid w:val="007731C3"/>
    <w:rsid w:val="00774348"/>
    <w:rsid w:val="00774FF6"/>
    <w:rsid w:val="0077588E"/>
    <w:rsid w:val="00775AC8"/>
    <w:rsid w:val="00780FB8"/>
    <w:rsid w:val="0078397E"/>
    <w:rsid w:val="00785A8B"/>
    <w:rsid w:val="007868CF"/>
    <w:rsid w:val="00787F66"/>
    <w:rsid w:val="0079403B"/>
    <w:rsid w:val="00797789"/>
    <w:rsid w:val="007A01A7"/>
    <w:rsid w:val="007A1842"/>
    <w:rsid w:val="007A4316"/>
    <w:rsid w:val="007A481C"/>
    <w:rsid w:val="007B255B"/>
    <w:rsid w:val="007B2DAA"/>
    <w:rsid w:val="007B3CDE"/>
    <w:rsid w:val="007C1923"/>
    <w:rsid w:val="007C1C4A"/>
    <w:rsid w:val="007C27D4"/>
    <w:rsid w:val="007C4716"/>
    <w:rsid w:val="007C4EBD"/>
    <w:rsid w:val="007C522B"/>
    <w:rsid w:val="007C52DB"/>
    <w:rsid w:val="007C6E2A"/>
    <w:rsid w:val="007D020E"/>
    <w:rsid w:val="007D191D"/>
    <w:rsid w:val="007D1D4F"/>
    <w:rsid w:val="007E0FC3"/>
    <w:rsid w:val="007E3FC8"/>
    <w:rsid w:val="007E5FCF"/>
    <w:rsid w:val="007E792C"/>
    <w:rsid w:val="007F2F01"/>
    <w:rsid w:val="007F5C00"/>
    <w:rsid w:val="007F5D65"/>
    <w:rsid w:val="007F6233"/>
    <w:rsid w:val="0080018B"/>
    <w:rsid w:val="0080182B"/>
    <w:rsid w:val="0080182E"/>
    <w:rsid w:val="00803C87"/>
    <w:rsid w:val="008063F2"/>
    <w:rsid w:val="00811392"/>
    <w:rsid w:val="00811BF7"/>
    <w:rsid w:val="008145BE"/>
    <w:rsid w:val="00816B1E"/>
    <w:rsid w:val="00820DC8"/>
    <w:rsid w:val="00821253"/>
    <w:rsid w:val="008213BE"/>
    <w:rsid w:val="00823F57"/>
    <w:rsid w:val="0083246D"/>
    <w:rsid w:val="0083323F"/>
    <w:rsid w:val="0083339D"/>
    <w:rsid w:val="00833455"/>
    <w:rsid w:val="00835248"/>
    <w:rsid w:val="0083619B"/>
    <w:rsid w:val="00836CB3"/>
    <w:rsid w:val="0083710B"/>
    <w:rsid w:val="00841BEF"/>
    <w:rsid w:val="008438AB"/>
    <w:rsid w:val="00844AF4"/>
    <w:rsid w:val="00846887"/>
    <w:rsid w:val="00847C71"/>
    <w:rsid w:val="0085109D"/>
    <w:rsid w:val="00852C90"/>
    <w:rsid w:val="00854A71"/>
    <w:rsid w:val="00854B1C"/>
    <w:rsid w:val="00855DCD"/>
    <w:rsid w:val="008560FD"/>
    <w:rsid w:val="00860AB4"/>
    <w:rsid w:val="00863E46"/>
    <w:rsid w:val="00864EB4"/>
    <w:rsid w:val="0086692C"/>
    <w:rsid w:val="00867DA3"/>
    <w:rsid w:val="00867DFD"/>
    <w:rsid w:val="008722FD"/>
    <w:rsid w:val="008726BA"/>
    <w:rsid w:val="00872934"/>
    <w:rsid w:val="008760A1"/>
    <w:rsid w:val="00877B3F"/>
    <w:rsid w:val="00885890"/>
    <w:rsid w:val="008876FF"/>
    <w:rsid w:val="008A01E9"/>
    <w:rsid w:val="008A0261"/>
    <w:rsid w:val="008A06D0"/>
    <w:rsid w:val="008A2997"/>
    <w:rsid w:val="008A5DF0"/>
    <w:rsid w:val="008B27BC"/>
    <w:rsid w:val="008B5A26"/>
    <w:rsid w:val="008B685D"/>
    <w:rsid w:val="008B6EAA"/>
    <w:rsid w:val="008C6330"/>
    <w:rsid w:val="008C6A23"/>
    <w:rsid w:val="008C72B2"/>
    <w:rsid w:val="008D0925"/>
    <w:rsid w:val="008D116F"/>
    <w:rsid w:val="008E396A"/>
    <w:rsid w:val="008E469C"/>
    <w:rsid w:val="008E4A86"/>
    <w:rsid w:val="008E6916"/>
    <w:rsid w:val="008E74DE"/>
    <w:rsid w:val="008F2EAD"/>
    <w:rsid w:val="008F3692"/>
    <w:rsid w:val="008F4408"/>
    <w:rsid w:val="008F6682"/>
    <w:rsid w:val="008F715B"/>
    <w:rsid w:val="008F73BC"/>
    <w:rsid w:val="00902A8B"/>
    <w:rsid w:val="009039BE"/>
    <w:rsid w:val="00907FB1"/>
    <w:rsid w:val="0091011C"/>
    <w:rsid w:val="00911490"/>
    <w:rsid w:val="00913AA2"/>
    <w:rsid w:val="009175E9"/>
    <w:rsid w:val="009178A6"/>
    <w:rsid w:val="009231A0"/>
    <w:rsid w:val="0092336E"/>
    <w:rsid w:val="0092355C"/>
    <w:rsid w:val="00931397"/>
    <w:rsid w:val="009343E4"/>
    <w:rsid w:val="00944FB8"/>
    <w:rsid w:val="00945072"/>
    <w:rsid w:val="0094757B"/>
    <w:rsid w:val="00950140"/>
    <w:rsid w:val="00950A09"/>
    <w:rsid w:val="009533B2"/>
    <w:rsid w:val="00954DF3"/>
    <w:rsid w:val="00955426"/>
    <w:rsid w:val="009566CE"/>
    <w:rsid w:val="00957FDD"/>
    <w:rsid w:val="00964810"/>
    <w:rsid w:val="00964C81"/>
    <w:rsid w:val="00967976"/>
    <w:rsid w:val="0097205D"/>
    <w:rsid w:val="009771A2"/>
    <w:rsid w:val="00977A3C"/>
    <w:rsid w:val="00977B2F"/>
    <w:rsid w:val="00977CAA"/>
    <w:rsid w:val="00981154"/>
    <w:rsid w:val="00981AAB"/>
    <w:rsid w:val="00983684"/>
    <w:rsid w:val="00984242"/>
    <w:rsid w:val="00985B31"/>
    <w:rsid w:val="00986934"/>
    <w:rsid w:val="0099116C"/>
    <w:rsid w:val="00991CBA"/>
    <w:rsid w:val="0099281E"/>
    <w:rsid w:val="0099720F"/>
    <w:rsid w:val="009A0F2F"/>
    <w:rsid w:val="009A2052"/>
    <w:rsid w:val="009A29EA"/>
    <w:rsid w:val="009A2F9D"/>
    <w:rsid w:val="009A45FF"/>
    <w:rsid w:val="009A6844"/>
    <w:rsid w:val="009A6F59"/>
    <w:rsid w:val="009B533E"/>
    <w:rsid w:val="009B755E"/>
    <w:rsid w:val="009B7DF4"/>
    <w:rsid w:val="009C4F3D"/>
    <w:rsid w:val="009C52AC"/>
    <w:rsid w:val="009C5FF8"/>
    <w:rsid w:val="009C63B9"/>
    <w:rsid w:val="009C7411"/>
    <w:rsid w:val="009C7B02"/>
    <w:rsid w:val="009D01E7"/>
    <w:rsid w:val="009D19EE"/>
    <w:rsid w:val="009D2E10"/>
    <w:rsid w:val="009D32F1"/>
    <w:rsid w:val="009D35F0"/>
    <w:rsid w:val="009D3F68"/>
    <w:rsid w:val="009D6F85"/>
    <w:rsid w:val="009E3B9A"/>
    <w:rsid w:val="009E4F72"/>
    <w:rsid w:val="009F51F6"/>
    <w:rsid w:val="009F690B"/>
    <w:rsid w:val="009F7FEA"/>
    <w:rsid w:val="00A0149B"/>
    <w:rsid w:val="00A03FD8"/>
    <w:rsid w:val="00A05866"/>
    <w:rsid w:val="00A128D9"/>
    <w:rsid w:val="00A14EFE"/>
    <w:rsid w:val="00A14F53"/>
    <w:rsid w:val="00A15ED8"/>
    <w:rsid w:val="00A17A36"/>
    <w:rsid w:val="00A20071"/>
    <w:rsid w:val="00A20A0F"/>
    <w:rsid w:val="00A20CCE"/>
    <w:rsid w:val="00A20E98"/>
    <w:rsid w:val="00A21020"/>
    <w:rsid w:val="00A257AD"/>
    <w:rsid w:val="00A2777A"/>
    <w:rsid w:val="00A27B3B"/>
    <w:rsid w:val="00A32625"/>
    <w:rsid w:val="00A32A5B"/>
    <w:rsid w:val="00A32D0A"/>
    <w:rsid w:val="00A32F8A"/>
    <w:rsid w:val="00A330D1"/>
    <w:rsid w:val="00A366C1"/>
    <w:rsid w:val="00A40452"/>
    <w:rsid w:val="00A41659"/>
    <w:rsid w:val="00A4199E"/>
    <w:rsid w:val="00A44C74"/>
    <w:rsid w:val="00A46ECC"/>
    <w:rsid w:val="00A504AC"/>
    <w:rsid w:val="00A50A03"/>
    <w:rsid w:val="00A523D4"/>
    <w:rsid w:val="00A524F3"/>
    <w:rsid w:val="00A52861"/>
    <w:rsid w:val="00A5403B"/>
    <w:rsid w:val="00A5542E"/>
    <w:rsid w:val="00A55E2A"/>
    <w:rsid w:val="00A56993"/>
    <w:rsid w:val="00A63C08"/>
    <w:rsid w:val="00A63E92"/>
    <w:rsid w:val="00A666D6"/>
    <w:rsid w:val="00A700E1"/>
    <w:rsid w:val="00A7029D"/>
    <w:rsid w:val="00A710A1"/>
    <w:rsid w:val="00A740AF"/>
    <w:rsid w:val="00A74786"/>
    <w:rsid w:val="00A77AB0"/>
    <w:rsid w:val="00A77E50"/>
    <w:rsid w:val="00A81C30"/>
    <w:rsid w:val="00A83921"/>
    <w:rsid w:val="00A8435C"/>
    <w:rsid w:val="00A85167"/>
    <w:rsid w:val="00A903F7"/>
    <w:rsid w:val="00A90662"/>
    <w:rsid w:val="00A906BD"/>
    <w:rsid w:val="00A911CD"/>
    <w:rsid w:val="00A9465D"/>
    <w:rsid w:val="00A94B75"/>
    <w:rsid w:val="00A960E5"/>
    <w:rsid w:val="00A96780"/>
    <w:rsid w:val="00AA1322"/>
    <w:rsid w:val="00AA635B"/>
    <w:rsid w:val="00AA64AA"/>
    <w:rsid w:val="00AB02B5"/>
    <w:rsid w:val="00AB2EBD"/>
    <w:rsid w:val="00AB2FAC"/>
    <w:rsid w:val="00AB618A"/>
    <w:rsid w:val="00AB65E9"/>
    <w:rsid w:val="00AB76A8"/>
    <w:rsid w:val="00AC1248"/>
    <w:rsid w:val="00AC184C"/>
    <w:rsid w:val="00AC1F91"/>
    <w:rsid w:val="00AC2D7F"/>
    <w:rsid w:val="00AC31E2"/>
    <w:rsid w:val="00AC3488"/>
    <w:rsid w:val="00AC3BCF"/>
    <w:rsid w:val="00AC424D"/>
    <w:rsid w:val="00AC45ED"/>
    <w:rsid w:val="00AC4C81"/>
    <w:rsid w:val="00AC69C8"/>
    <w:rsid w:val="00AC6E3C"/>
    <w:rsid w:val="00AC7779"/>
    <w:rsid w:val="00AC7F9A"/>
    <w:rsid w:val="00AD22A5"/>
    <w:rsid w:val="00AD5249"/>
    <w:rsid w:val="00AD5CE7"/>
    <w:rsid w:val="00AD5D91"/>
    <w:rsid w:val="00AD68DE"/>
    <w:rsid w:val="00AD6F9F"/>
    <w:rsid w:val="00AE00D4"/>
    <w:rsid w:val="00AE0253"/>
    <w:rsid w:val="00AE0304"/>
    <w:rsid w:val="00AE0D16"/>
    <w:rsid w:val="00AE183C"/>
    <w:rsid w:val="00AE2BE1"/>
    <w:rsid w:val="00AF1805"/>
    <w:rsid w:val="00AF2C45"/>
    <w:rsid w:val="00AF4B25"/>
    <w:rsid w:val="00AF4E72"/>
    <w:rsid w:val="00AF5AD9"/>
    <w:rsid w:val="00AF6019"/>
    <w:rsid w:val="00B013DC"/>
    <w:rsid w:val="00B02B68"/>
    <w:rsid w:val="00B04A31"/>
    <w:rsid w:val="00B07B18"/>
    <w:rsid w:val="00B10579"/>
    <w:rsid w:val="00B11463"/>
    <w:rsid w:val="00B1148A"/>
    <w:rsid w:val="00B12106"/>
    <w:rsid w:val="00B158AC"/>
    <w:rsid w:val="00B163A3"/>
    <w:rsid w:val="00B16E86"/>
    <w:rsid w:val="00B22292"/>
    <w:rsid w:val="00B23147"/>
    <w:rsid w:val="00B23EB0"/>
    <w:rsid w:val="00B24942"/>
    <w:rsid w:val="00B254E4"/>
    <w:rsid w:val="00B25538"/>
    <w:rsid w:val="00B26504"/>
    <w:rsid w:val="00B30572"/>
    <w:rsid w:val="00B30890"/>
    <w:rsid w:val="00B30B9A"/>
    <w:rsid w:val="00B3242A"/>
    <w:rsid w:val="00B33A55"/>
    <w:rsid w:val="00B33B45"/>
    <w:rsid w:val="00B3489F"/>
    <w:rsid w:val="00B34DD2"/>
    <w:rsid w:val="00B350AE"/>
    <w:rsid w:val="00B3521D"/>
    <w:rsid w:val="00B37669"/>
    <w:rsid w:val="00B41A1B"/>
    <w:rsid w:val="00B42543"/>
    <w:rsid w:val="00B42641"/>
    <w:rsid w:val="00B42DC7"/>
    <w:rsid w:val="00B44810"/>
    <w:rsid w:val="00B448CA"/>
    <w:rsid w:val="00B478F1"/>
    <w:rsid w:val="00B52BD3"/>
    <w:rsid w:val="00B53989"/>
    <w:rsid w:val="00B54455"/>
    <w:rsid w:val="00B557DE"/>
    <w:rsid w:val="00B604CA"/>
    <w:rsid w:val="00B64C29"/>
    <w:rsid w:val="00B709FF"/>
    <w:rsid w:val="00B82A37"/>
    <w:rsid w:val="00B82BD2"/>
    <w:rsid w:val="00B83005"/>
    <w:rsid w:val="00B8345C"/>
    <w:rsid w:val="00B83A84"/>
    <w:rsid w:val="00B83CCF"/>
    <w:rsid w:val="00B86559"/>
    <w:rsid w:val="00B9210F"/>
    <w:rsid w:val="00B92BD1"/>
    <w:rsid w:val="00B973CF"/>
    <w:rsid w:val="00BA4F81"/>
    <w:rsid w:val="00BA7275"/>
    <w:rsid w:val="00BB1707"/>
    <w:rsid w:val="00BB198A"/>
    <w:rsid w:val="00BB3983"/>
    <w:rsid w:val="00BB58E6"/>
    <w:rsid w:val="00BB5D58"/>
    <w:rsid w:val="00BB7BD9"/>
    <w:rsid w:val="00BC15B0"/>
    <w:rsid w:val="00BC2B55"/>
    <w:rsid w:val="00BC2EF2"/>
    <w:rsid w:val="00BC30E7"/>
    <w:rsid w:val="00BC4CA5"/>
    <w:rsid w:val="00BC67A5"/>
    <w:rsid w:val="00BC7CF0"/>
    <w:rsid w:val="00BD0696"/>
    <w:rsid w:val="00BD2675"/>
    <w:rsid w:val="00BD3004"/>
    <w:rsid w:val="00BD35F7"/>
    <w:rsid w:val="00BD693E"/>
    <w:rsid w:val="00BD7F43"/>
    <w:rsid w:val="00BE1B7B"/>
    <w:rsid w:val="00BE2183"/>
    <w:rsid w:val="00BE2752"/>
    <w:rsid w:val="00BE28BF"/>
    <w:rsid w:val="00BE3C41"/>
    <w:rsid w:val="00BE4EB4"/>
    <w:rsid w:val="00BE5B58"/>
    <w:rsid w:val="00BF04FB"/>
    <w:rsid w:val="00BF13E7"/>
    <w:rsid w:val="00BF4322"/>
    <w:rsid w:val="00BF51A9"/>
    <w:rsid w:val="00BF5772"/>
    <w:rsid w:val="00BF7AB3"/>
    <w:rsid w:val="00C0069D"/>
    <w:rsid w:val="00C00BBC"/>
    <w:rsid w:val="00C00E05"/>
    <w:rsid w:val="00C01C2B"/>
    <w:rsid w:val="00C022F4"/>
    <w:rsid w:val="00C02CDC"/>
    <w:rsid w:val="00C03615"/>
    <w:rsid w:val="00C07D48"/>
    <w:rsid w:val="00C1546B"/>
    <w:rsid w:val="00C16C51"/>
    <w:rsid w:val="00C17CE6"/>
    <w:rsid w:val="00C211E1"/>
    <w:rsid w:val="00C21DB7"/>
    <w:rsid w:val="00C2299E"/>
    <w:rsid w:val="00C25031"/>
    <w:rsid w:val="00C260F4"/>
    <w:rsid w:val="00C2743B"/>
    <w:rsid w:val="00C303BB"/>
    <w:rsid w:val="00C34597"/>
    <w:rsid w:val="00C34630"/>
    <w:rsid w:val="00C432D9"/>
    <w:rsid w:val="00C439B7"/>
    <w:rsid w:val="00C43EE1"/>
    <w:rsid w:val="00C45EBE"/>
    <w:rsid w:val="00C479D3"/>
    <w:rsid w:val="00C52505"/>
    <w:rsid w:val="00C53450"/>
    <w:rsid w:val="00C56F8D"/>
    <w:rsid w:val="00C62423"/>
    <w:rsid w:val="00C64697"/>
    <w:rsid w:val="00C6576A"/>
    <w:rsid w:val="00C66218"/>
    <w:rsid w:val="00C6714F"/>
    <w:rsid w:val="00C673B3"/>
    <w:rsid w:val="00C67870"/>
    <w:rsid w:val="00C767ED"/>
    <w:rsid w:val="00C77151"/>
    <w:rsid w:val="00C81E82"/>
    <w:rsid w:val="00C82176"/>
    <w:rsid w:val="00C86D98"/>
    <w:rsid w:val="00C86F27"/>
    <w:rsid w:val="00C90ED8"/>
    <w:rsid w:val="00C912D9"/>
    <w:rsid w:val="00C9365F"/>
    <w:rsid w:val="00C93D94"/>
    <w:rsid w:val="00C96A66"/>
    <w:rsid w:val="00C975BA"/>
    <w:rsid w:val="00CA1B17"/>
    <w:rsid w:val="00CA22C4"/>
    <w:rsid w:val="00CA4928"/>
    <w:rsid w:val="00CA5AA0"/>
    <w:rsid w:val="00CA5E3F"/>
    <w:rsid w:val="00CA6EE9"/>
    <w:rsid w:val="00CB1EE6"/>
    <w:rsid w:val="00CC0876"/>
    <w:rsid w:val="00CC318C"/>
    <w:rsid w:val="00CC3FB0"/>
    <w:rsid w:val="00CC6C1E"/>
    <w:rsid w:val="00CD02C8"/>
    <w:rsid w:val="00CD317C"/>
    <w:rsid w:val="00CD4712"/>
    <w:rsid w:val="00CD4A58"/>
    <w:rsid w:val="00CE138C"/>
    <w:rsid w:val="00CE2496"/>
    <w:rsid w:val="00CE28AD"/>
    <w:rsid w:val="00CE2E77"/>
    <w:rsid w:val="00CE409B"/>
    <w:rsid w:val="00CE4717"/>
    <w:rsid w:val="00CE5060"/>
    <w:rsid w:val="00CE731E"/>
    <w:rsid w:val="00CF0343"/>
    <w:rsid w:val="00CF0B70"/>
    <w:rsid w:val="00CF2E0D"/>
    <w:rsid w:val="00CF4289"/>
    <w:rsid w:val="00CF5D5A"/>
    <w:rsid w:val="00CF5FC4"/>
    <w:rsid w:val="00CF61B3"/>
    <w:rsid w:val="00D0225F"/>
    <w:rsid w:val="00D02A1A"/>
    <w:rsid w:val="00D0307C"/>
    <w:rsid w:val="00D04223"/>
    <w:rsid w:val="00D070E4"/>
    <w:rsid w:val="00D07C11"/>
    <w:rsid w:val="00D130AA"/>
    <w:rsid w:val="00D17978"/>
    <w:rsid w:val="00D212D6"/>
    <w:rsid w:val="00D2272B"/>
    <w:rsid w:val="00D22DF4"/>
    <w:rsid w:val="00D23B9C"/>
    <w:rsid w:val="00D23F25"/>
    <w:rsid w:val="00D24D98"/>
    <w:rsid w:val="00D26499"/>
    <w:rsid w:val="00D26AF4"/>
    <w:rsid w:val="00D2737F"/>
    <w:rsid w:val="00D2746C"/>
    <w:rsid w:val="00D27ADF"/>
    <w:rsid w:val="00D27CBB"/>
    <w:rsid w:val="00D33534"/>
    <w:rsid w:val="00D3696F"/>
    <w:rsid w:val="00D41E33"/>
    <w:rsid w:val="00D4273F"/>
    <w:rsid w:val="00D4533F"/>
    <w:rsid w:val="00D4556A"/>
    <w:rsid w:val="00D45691"/>
    <w:rsid w:val="00D46349"/>
    <w:rsid w:val="00D5481B"/>
    <w:rsid w:val="00D577A8"/>
    <w:rsid w:val="00D61537"/>
    <w:rsid w:val="00D634B8"/>
    <w:rsid w:val="00D63AA5"/>
    <w:rsid w:val="00D65826"/>
    <w:rsid w:val="00D66133"/>
    <w:rsid w:val="00D66855"/>
    <w:rsid w:val="00D71297"/>
    <w:rsid w:val="00D7222A"/>
    <w:rsid w:val="00D72988"/>
    <w:rsid w:val="00D73E09"/>
    <w:rsid w:val="00D804FB"/>
    <w:rsid w:val="00D8677A"/>
    <w:rsid w:val="00D90EBD"/>
    <w:rsid w:val="00D9216A"/>
    <w:rsid w:val="00D9414B"/>
    <w:rsid w:val="00D94205"/>
    <w:rsid w:val="00D957B3"/>
    <w:rsid w:val="00DA20EA"/>
    <w:rsid w:val="00DA2DAA"/>
    <w:rsid w:val="00DA5023"/>
    <w:rsid w:val="00DA5761"/>
    <w:rsid w:val="00DA58D5"/>
    <w:rsid w:val="00DA5DC9"/>
    <w:rsid w:val="00DA62CE"/>
    <w:rsid w:val="00DA6AB7"/>
    <w:rsid w:val="00DB07A6"/>
    <w:rsid w:val="00DB2A85"/>
    <w:rsid w:val="00DB3B61"/>
    <w:rsid w:val="00DB4608"/>
    <w:rsid w:val="00DC116F"/>
    <w:rsid w:val="00DC1497"/>
    <w:rsid w:val="00DC2429"/>
    <w:rsid w:val="00DC30E3"/>
    <w:rsid w:val="00DC392E"/>
    <w:rsid w:val="00DC63E3"/>
    <w:rsid w:val="00DD077C"/>
    <w:rsid w:val="00DD0F2D"/>
    <w:rsid w:val="00DD58EA"/>
    <w:rsid w:val="00DE2709"/>
    <w:rsid w:val="00DE7936"/>
    <w:rsid w:val="00E04C5B"/>
    <w:rsid w:val="00E14417"/>
    <w:rsid w:val="00E1637E"/>
    <w:rsid w:val="00E16982"/>
    <w:rsid w:val="00E17639"/>
    <w:rsid w:val="00E208D9"/>
    <w:rsid w:val="00E2150D"/>
    <w:rsid w:val="00E22338"/>
    <w:rsid w:val="00E24661"/>
    <w:rsid w:val="00E26D36"/>
    <w:rsid w:val="00E3136A"/>
    <w:rsid w:val="00E3578D"/>
    <w:rsid w:val="00E40D64"/>
    <w:rsid w:val="00E40E6C"/>
    <w:rsid w:val="00E41F6D"/>
    <w:rsid w:val="00E42523"/>
    <w:rsid w:val="00E45801"/>
    <w:rsid w:val="00E458C7"/>
    <w:rsid w:val="00E4664F"/>
    <w:rsid w:val="00E4665F"/>
    <w:rsid w:val="00E500A2"/>
    <w:rsid w:val="00E52A95"/>
    <w:rsid w:val="00E5435C"/>
    <w:rsid w:val="00E55398"/>
    <w:rsid w:val="00E55CFB"/>
    <w:rsid w:val="00E64FC3"/>
    <w:rsid w:val="00E652D9"/>
    <w:rsid w:val="00E6570C"/>
    <w:rsid w:val="00E65C51"/>
    <w:rsid w:val="00E6709C"/>
    <w:rsid w:val="00E73249"/>
    <w:rsid w:val="00E73BFF"/>
    <w:rsid w:val="00E75338"/>
    <w:rsid w:val="00E762FD"/>
    <w:rsid w:val="00E7688F"/>
    <w:rsid w:val="00E81802"/>
    <w:rsid w:val="00E82BD7"/>
    <w:rsid w:val="00E861DA"/>
    <w:rsid w:val="00E86584"/>
    <w:rsid w:val="00E8717D"/>
    <w:rsid w:val="00E87C63"/>
    <w:rsid w:val="00E90E54"/>
    <w:rsid w:val="00E912C9"/>
    <w:rsid w:val="00E92859"/>
    <w:rsid w:val="00E92C0E"/>
    <w:rsid w:val="00E9544E"/>
    <w:rsid w:val="00E96F96"/>
    <w:rsid w:val="00EA0195"/>
    <w:rsid w:val="00EA0621"/>
    <w:rsid w:val="00EA14CE"/>
    <w:rsid w:val="00EA24F0"/>
    <w:rsid w:val="00EA25B8"/>
    <w:rsid w:val="00EA4559"/>
    <w:rsid w:val="00EA6CFF"/>
    <w:rsid w:val="00EB0D73"/>
    <w:rsid w:val="00EB18AD"/>
    <w:rsid w:val="00EB357B"/>
    <w:rsid w:val="00EB3B6E"/>
    <w:rsid w:val="00EB4B0F"/>
    <w:rsid w:val="00EB4E87"/>
    <w:rsid w:val="00EB60D5"/>
    <w:rsid w:val="00EB7082"/>
    <w:rsid w:val="00EC1F7C"/>
    <w:rsid w:val="00EC2A42"/>
    <w:rsid w:val="00EC485C"/>
    <w:rsid w:val="00EC50E0"/>
    <w:rsid w:val="00EC52B3"/>
    <w:rsid w:val="00EC54D6"/>
    <w:rsid w:val="00ED189D"/>
    <w:rsid w:val="00ED2B9F"/>
    <w:rsid w:val="00ED32DE"/>
    <w:rsid w:val="00ED46A8"/>
    <w:rsid w:val="00ED4FFA"/>
    <w:rsid w:val="00ED644E"/>
    <w:rsid w:val="00ED6C78"/>
    <w:rsid w:val="00EE4B2C"/>
    <w:rsid w:val="00EE6380"/>
    <w:rsid w:val="00EF1F23"/>
    <w:rsid w:val="00EF4E9F"/>
    <w:rsid w:val="00F03550"/>
    <w:rsid w:val="00F049EC"/>
    <w:rsid w:val="00F05D0B"/>
    <w:rsid w:val="00F06952"/>
    <w:rsid w:val="00F145C3"/>
    <w:rsid w:val="00F20C2F"/>
    <w:rsid w:val="00F21CCF"/>
    <w:rsid w:val="00F24D16"/>
    <w:rsid w:val="00F27D45"/>
    <w:rsid w:val="00F3125F"/>
    <w:rsid w:val="00F31B31"/>
    <w:rsid w:val="00F32AB7"/>
    <w:rsid w:val="00F34AC6"/>
    <w:rsid w:val="00F3665D"/>
    <w:rsid w:val="00F37B95"/>
    <w:rsid w:val="00F4037F"/>
    <w:rsid w:val="00F410AC"/>
    <w:rsid w:val="00F41B2D"/>
    <w:rsid w:val="00F425FB"/>
    <w:rsid w:val="00F4531E"/>
    <w:rsid w:val="00F45D66"/>
    <w:rsid w:val="00F47565"/>
    <w:rsid w:val="00F62747"/>
    <w:rsid w:val="00F66686"/>
    <w:rsid w:val="00F6668D"/>
    <w:rsid w:val="00F70FAE"/>
    <w:rsid w:val="00F71800"/>
    <w:rsid w:val="00F71926"/>
    <w:rsid w:val="00F7237E"/>
    <w:rsid w:val="00F7272A"/>
    <w:rsid w:val="00F740B1"/>
    <w:rsid w:val="00F750AC"/>
    <w:rsid w:val="00F8070F"/>
    <w:rsid w:val="00F80A68"/>
    <w:rsid w:val="00F818EA"/>
    <w:rsid w:val="00F83289"/>
    <w:rsid w:val="00F84721"/>
    <w:rsid w:val="00F84D80"/>
    <w:rsid w:val="00F900AA"/>
    <w:rsid w:val="00F93A32"/>
    <w:rsid w:val="00F954B8"/>
    <w:rsid w:val="00F958A5"/>
    <w:rsid w:val="00F95F52"/>
    <w:rsid w:val="00FA31EE"/>
    <w:rsid w:val="00FA4304"/>
    <w:rsid w:val="00FA4D76"/>
    <w:rsid w:val="00FA4FDB"/>
    <w:rsid w:val="00FA56CD"/>
    <w:rsid w:val="00FA7DAA"/>
    <w:rsid w:val="00FB132A"/>
    <w:rsid w:val="00FB2D5E"/>
    <w:rsid w:val="00FB41B8"/>
    <w:rsid w:val="00FB511F"/>
    <w:rsid w:val="00FB58F5"/>
    <w:rsid w:val="00FB5DE6"/>
    <w:rsid w:val="00FC42DE"/>
    <w:rsid w:val="00FC582B"/>
    <w:rsid w:val="00FD1859"/>
    <w:rsid w:val="00FD363D"/>
    <w:rsid w:val="00FD7A6E"/>
    <w:rsid w:val="00FE0FD8"/>
    <w:rsid w:val="00FE1B33"/>
    <w:rsid w:val="00FE2845"/>
    <w:rsid w:val="00FE5D12"/>
    <w:rsid w:val="00FE647A"/>
    <w:rsid w:val="00FF0C12"/>
    <w:rsid w:val="00FF0EFC"/>
    <w:rsid w:val="00FF0FFC"/>
    <w:rsid w:val="00FF3882"/>
    <w:rsid w:val="00FF5337"/>
    <w:rsid w:val="00FF5830"/>
    <w:rsid w:val="00FF6B9C"/>
    <w:rsid w:val="00FF72D9"/>
    <w:rsid w:val="00FF76D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3C1E"/>
    <w:rPr>
      <w:rFonts w:ascii="Arial" w:hAnsi="Arial"/>
      <w:sz w:val="24"/>
      <w:szCs w:val="24"/>
    </w:rPr>
  </w:style>
  <w:style w:type="paragraph" w:styleId="Heading1">
    <w:name w:val="heading 1"/>
    <w:basedOn w:val="Normal"/>
    <w:next w:val="Normal"/>
    <w:qFormat/>
    <w:rsid w:val="003C3C1E"/>
    <w:pPr>
      <w:keepNext/>
      <w:jc w:val="right"/>
      <w:outlineLvl w:val="0"/>
    </w:pPr>
    <w:rPr>
      <w:b/>
    </w:rPr>
  </w:style>
  <w:style w:type="paragraph" w:styleId="Heading2">
    <w:name w:val="heading 2"/>
    <w:basedOn w:val="Normal"/>
    <w:next w:val="Normal"/>
    <w:qFormat/>
    <w:rsid w:val="003C3C1E"/>
    <w:pPr>
      <w:keepNext/>
      <w:jc w:val="center"/>
      <w:outlineLvl w:val="1"/>
    </w:pPr>
    <w:rPr>
      <w:b/>
      <w:u w:val="single"/>
    </w:rPr>
  </w:style>
  <w:style w:type="paragraph" w:styleId="Heading3">
    <w:name w:val="heading 3"/>
    <w:basedOn w:val="Normal"/>
    <w:next w:val="Normal"/>
    <w:qFormat/>
    <w:rsid w:val="003C3C1E"/>
    <w:pPr>
      <w:keepNext/>
      <w:outlineLvl w:val="2"/>
    </w:pPr>
    <w:rPr>
      <w:b/>
    </w:rPr>
  </w:style>
  <w:style w:type="paragraph" w:styleId="Heading4">
    <w:name w:val="heading 4"/>
    <w:basedOn w:val="Normal"/>
    <w:next w:val="Normal"/>
    <w:qFormat/>
    <w:rsid w:val="003C3C1E"/>
    <w:pPr>
      <w:keepNext/>
      <w:outlineLvl w:val="3"/>
    </w:pPr>
    <w:rPr>
      <w:b/>
      <w:u w:val="single"/>
    </w:rPr>
  </w:style>
  <w:style w:type="paragraph" w:styleId="Heading5">
    <w:name w:val="heading 5"/>
    <w:basedOn w:val="Normal"/>
    <w:next w:val="Normal"/>
    <w:qFormat/>
    <w:rsid w:val="003C3C1E"/>
    <w:pPr>
      <w:keepNext/>
      <w:ind w:firstLine="709"/>
      <w:jc w:val="both"/>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C3C1E"/>
    <w:pPr>
      <w:jc w:val="both"/>
    </w:pPr>
  </w:style>
  <w:style w:type="paragraph" w:styleId="BodyTextIndent">
    <w:name w:val="Body Text Indent"/>
    <w:basedOn w:val="Normal"/>
    <w:rsid w:val="003C3C1E"/>
    <w:pPr>
      <w:ind w:left="720"/>
      <w:jc w:val="both"/>
    </w:pPr>
  </w:style>
  <w:style w:type="paragraph" w:styleId="BodyTextIndent2">
    <w:name w:val="Body Text Indent 2"/>
    <w:basedOn w:val="Normal"/>
    <w:rsid w:val="003C3C1E"/>
    <w:pPr>
      <w:ind w:left="720" w:hanging="720"/>
      <w:jc w:val="both"/>
    </w:pPr>
  </w:style>
  <w:style w:type="paragraph" w:styleId="BodyTextIndent3">
    <w:name w:val="Body Text Indent 3"/>
    <w:basedOn w:val="Normal"/>
    <w:rsid w:val="003C3C1E"/>
    <w:pPr>
      <w:ind w:left="426" w:hanging="426"/>
      <w:jc w:val="both"/>
    </w:pPr>
  </w:style>
  <w:style w:type="paragraph" w:styleId="CommentText">
    <w:name w:val="annotation text"/>
    <w:basedOn w:val="Normal"/>
    <w:semiHidden/>
    <w:rsid w:val="003C3C1E"/>
    <w:rPr>
      <w:sz w:val="20"/>
    </w:rPr>
  </w:style>
  <w:style w:type="paragraph" w:styleId="BodyText2">
    <w:name w:val="Body Text 2"/>
    <w:basedOn w:val="Normal"/>
    <w:rsid w:val="003C3C1E"/>
    <w:pPr>
      <w:jc w:val="both"/>
    </w:pPr>
    <w:rPr>
      <w:sz w:val="22"/>
    </w:rPr>
  </w:style>
  <w:style w:type="paragraph" w:styleId="BodyText3">
    <w:name w:val="Body Text 3"/>
    <w:basedOn w:val="Normal"/>
    <w:rsid w:val="003C3C1E"/>
    <w:rPr>
      <w:sz w:val="22"/>
    </w:rPr>
  </w:style>
  <w:style w:type="paragraph" w:customStyle="1" w:styleId="DfESBullets">
    <w:name w:val="DfESBullets"/>
    <w:basedOn w:val="Normal"/>
    <w:rsid w:val="003C3C1E"/>
    <w:pPr>
      <w:widowControl w:val="0"/>
      <w:numPr>
        <w:numId w:val="1"/>
      </w:numPr>
      <w:overflowPunct w:val="0"/>
      <w:autoSpaceDE w:val="0"/>
      <w:autoSpaceDN w:val="0"/>
      <w:adjustRightInd w:val="0"/>
      <w:spacing w:after="240"/>
      <w:textAlignment w:val="baseline"/>
    </w:pPr>
    <w:rPr>
      <w:sz w:val="22"/>
    </w:rPr>
  </w:style>
  <w:style w:type="character" w:styleId="Hyperlink">
    <w:name w:val="Hyperlink"/>
    <w:basedOn w:val="DefaultParagraphFont"/>
    <w:rsid w:val="003C3C1E"/>
    <w:rPr>
      <w:color w:val="0000FF"/>
      <w:u w:val="single"/>
    </w:rPr>
  </w:style>
  <w:style w:type="paragraph" w:styleId="Header">
    <w:name w:val="header"/>
    <w:basedOn w:val="Normal"/>
    <w:rsid w:val="003C3C1E"/>
    <w:pPr>
      <w:tabs>
        <w:tab w:val="center" w:pos="4320"/>
        <w:tab w:val="right" w:pos="8640"/>
      </w:tabs>
    </w:pPr>
  </w:style>
  <w:style w:type="paragraph" w:styleId="Footer">
    <w:name w:val="footer"/>
    <w:basedOn w:val="Normal"/>
    <w:link w:val="FooterChar"/>
    <w:uiPriority w:val="99"/>
    <w:rsid w:val="003C3C1E"/>
    <w:pPr>
      <w:tabs>
        <w:tab w:val="center" w:pos="4320"/>
        <w:tab w:val="right" w:pos="8640"/>
      </w:tabs>
    </w:pPr>
  </w:style>
  <w:style w:type="character" w:styleId="CommentReference">
    <w:name w:val="annotation reference"/>
    <w:basedOn w:val="DefaultParagraphFont"/>
    <w:semiHidden/>
    <w:rsid w:val="003C3C1E"/>
    <w:rPr>
      <w:sz w:val="16"/>
      <w:szCs w:val="16"/>
    </w:rPr>
  </w:style>
  <w:style w:type="paragraph" w:styleId="Title">
    <w:name w:val="Title"/>
    <w:basedOn w:val="Normal"/>
    <w:qFormat/>
    <w:rsid w:val="003C3C1E"/>
    <w:pPr>
      <w:jc w:val="center"/>
    </w:pPr>
    <w:rPr>
      <w:b/>
      <w:lang w:eastAsia="en-US"/>
    </w:rPr>
  </w:style>
  <w:style w:type="paragraph" w:styleId="BalloonText">
    <w:name w:val="Balloon Text"/>
    <w:basedOn w:val="Normal"/>
    <w:semiHidden/>
    <w:rsid w:val="003C3C1E"/>
    <w:rPr>
      <w:rFonts w:ascii="Tahoma" w:hAnsi="Tahoma" w:cs="Tahoma"/>
      <w:sz w:val="16"/>
      <w:szCs w:val="16"/>
    </w:rPr>
  </w:style>
  <w:style w:type="paragraph" w:styleId="CommentSubject">
    <w:name w:val="annotation subject"/>
    <w:basedOn w:val="CommentText"/>
    <w:next w:val="CommentText"/>
    <w:semiHidden/>
    <w:rsid w:val="003C3C1E"/>
    <w:rPr>
      <w:b/>
      <w:bCs/>
    </w:rPr>
  </w:style>
  <w:style w:type="table" w:styleId="TableGrid">
    <w:name w:val="Table Grid"/>
    <w:basedOn w:val="TableNormal"/>
    <w:rsid w:val="001E0E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C43EE1"/>
    <w:rPr>
      <w:color w:val="800080"/>
      <w:u w:val="single"/>
    </w:rPr>
  </w:style>
  <w:style w:type="paragraph" w:styleId="ListParagraph">
    <w:name w:val="List Paragraph"/>
    <w:basedOn w:val="Normal"/>
    <w:uiPriority w:val="34"/>
    <w:qFormat/>
    <w:rsid w:val="00BF04FB"/>
    <w:pPr>
      <w:ind w:left="720"/>
    </w:pPr>
  </w:style>
  <w:style w:type="character" w:customStyle="1" w:styleId="FooterChar">
    <w:name w:val="Footer Char"/>
    <w:basedOn w:val="DefaultParagraphFont"/>
    <w:link w:val="Footer"/>
    <w:uiPriority w:val="99"/>
    <w:rsid w:val="00A15ED8"/>
    <w:rPr>
      <w:rFonts w:ascii="Arial" w:hAnsi="Arial"/>
      <w:sz w:val="24"/>
      <w:szCs w:val="24"/>
    </w:rPr>
  </w:style>
  <w:style w:type="paragraph" w:styleId="EndnoteText">
    <w:name w:val="endnote text"/>
    <w:basedOn w:val="Normal"/>
    <w:link w:val="EndnoteTextChar"/>
    <w:rsid w:val="00F3125F"/>
    <w:rPr>
      <w:sz w:val="20"/>
      <w:szCs w:val="20"/>
    </w:rPr>
  </w:style>
  <w:style w:type="character" w:customStyle="1" w:styleId="EndnoteTextChar">
    <w:name w:val="Endnote Text Char"/>
    <w:basedOn w:val="DefaultParagraphFont"/>
    <w:link w:val="EndnoteText"/>
    <w:rsid w:val="00F3125F"/>
    <w:rPr>
      <w:rFonts w:ascii="Arial" w:hAnsi="Arial"/>
    </w:rPr>
  </w:style>
  <w:style w:type="character" w:styleId="EndnoteReference">
    <w:name w:val="endnote reference"/>
    <w:basedOn w:val="DefaultParagraphFont"/>
    <w:rsid w:val="00F3125F"/>
    <w:rPr>
      <w:vertAlign w:val="superscript"/>
    </w:rPr>
  </w:style>
  <w:style w:type="paragraph" w:styleId="FootnoteText">
    <w:name w:val="footnote text"/>
    <w:basedOn w:val="Normal"/>
    <w:link w:val="FootnoteTextChar"/>
    <w:rsid w:val="00D23F25"/>
    <w:rPr>
      <w:sz w:val="20"/>
      <w:szCs w:val="20"/>
    </w:rPr>
  </w:style>
  <w:style w:type="character" w:customStyle="1" w:styleId="FootnoteTextChar">
    <w:name w:val="Footnote Text Char"/>
    <w:basedOn w:val="DefaultParagraphFont"/>
    <w:link w:val="FootnoteText"/>
    <w:rsid w:val="00D23F25"/>
    <w:rPr>
      <w:rFonts w:ascii="Arial" w:hAnsi="Arial"/>
    </w:rPr>
  </w:style>
  <w:style w:type="character" w:styleId="FootnoteReference">
    <w:name w:val="footnote reference"/>
    <w:basedOn w:val="DefaultParagraphFont"/>
    <w:rsid w:val="00D23F25"/>
    <w:rPr>
      <w:vertAlign w:val="superscript"/>
    </w:rPr>
  </w:style>
  <w:style w:type="paragraph" w:customStyle="1" w:styleId="Default">
    <w:name w:val="Default"/>
    <w:rsid w:val="004C5BB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3961E0"/>
    <w:pPr>
      <w:spacing w:before="100" w:beforeAutospacing="1" w:after="100" w:afterAutospacing="1"/>
    </w:pPr>
    <w:rPr>
      <w:rFonts w:ascii="Times New Roman" w:hAnsi="Times New Roman"/>
    </w:rPr>
  </w:style>
  <w:style w:type="paragraph" w:customStyle="1" w:styleId="story-bodyintroduction">
    <w:name w:val="story-body__introduction"/>
    <w:basedOn w:val="Normal"/>
    <w:rsid w:val="00C6576A"/>
    <w:pPr>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3C1E"/>
    <w:rPr>
      <w:rFonts w:ascii="Arial" w:hAnsi="Arial"/>
      <w:sz w:val="24"/>
      <w:szCs w:val="24"/>
    </w:rPr>
  </w:style>
  <w:style w:type="paragraph" w:styleId="Heading1">
    <w:name w:val="heading 1"/>
    <w:basedOn w:val="Normal"/>
    <w:next w:val="Normal"/>
    <w:qFormat/>
    <w:rsid w:val="003C3C1E"/>
    <w:pPr>
      <w:keepNext/>
      <w:jc w:val="right"/>
      <w:outlineLvl w:val="0"/>
    </w:pPr>
    <w:rPr>
      <w:b/>
    </w:rPr>
  </w:style>
  <w:style w:type="paragraph" w:styleId="Heading2">
    <w:name w:val="heading 2"/>
    <w:basedOn w:val="Normal"/>
    <w:next w:val="Normal"/>
    <w:qFormat/>
    <w:rsid w:val="003C3C1E"/>
    <w:pPr>
      <w:keepNext/>
      <w:jc w:val="center"/>
      <w:outlineLvl w:val="1"/>
    </w:pPr>
    <w:rPr>
      <w:b/>
      <w:u w:val="single"/>
    </w:rPr>
  </w:style>
  <w:style w:type="paragraph" w:styleId="Heading3">
    <w:name w:val="heading 3"/>
    <w:basedOn w:val="Normal"/>
    <w:next w:val="Normal"/>
    <w:qFormat/>
    <w:rsid w:val="003C3C1E"/>
    <w:pPr>
      <w:keepNext/>
      <w:outlineLvl w:val="2"/>
    </w:pPr>
    <w:rPr>
      <w:b/>
    </w:rPr>
  </w:style>
  <w:style w:type="paragraph" w:styleId="Heading4">
    <w:name w:val="heading 4"/>
    <w:basedOn w:val="Normal"/>
    <w:next w:val="Normal"/>
    <w:qFormat/>
    <w:rsid w:val="003C3C1E"/>
    <w:pPr>
      <w:keepNext/>
      <w:outlineLvl w:val="3"/>
    </w:pPr>
    <w:rPr>
      <w:b/>
      <w:u w:val="single"/>
    </w:rPr>
  </w:style>
  <w:style w:type="paragraph" w:styleId="Heading5">
    <w:name w:val="heading 5"/>
    <w:basedOn w:val="Normal"/>
    <w:next w:val="Normal"/>
    <w:qFormat/>
    <w:rsid w:val="003C3C1E"/>
    <w:pPr>
      <w:keepNext/>
      <w:ind w:firstLine="709"/>
      <w:jc w:val="both"/>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C3C1E"/>
    <w:pPr>
      <w:jc w:val="both"/>
    </w:pPr>
  </w:style>
  <w:style w:type="paragraph" w:styleId="BodyTextIndent">
    <w:name w:val="Body Text Indent"/>
    <w:basedOn w:val="Normal"/>
    <w:rsid w:val="003C3C1E"/>
    <w:pPr>
      <w:ind w:left="720"/>
      <w:jc w:val="both"/>
    </w:pPr>
  </w:style>
  <w:style w:type="paragraph" w:styleId="BodyTextIndent2">
    <w:name w:val="Body Text Indent 2"/>
    <w:basedOn w:val="Normal"/>
    <w:rsid w:val="003C3C1E"/>
    <w:pPr>
      <w:ind w:left="720" w:hanging="720"/>
      <w:jc w:val="both"/>
    </w:pPr>
  </w:style>
  <w:style w:type="paragraph" w:styleId="BodyTextIndent3">
    <w:name w:val="Body Text Indent 3"/>
    <w:basedOn w:val="Normal"/>
    <w:rsid w:val="003C3C1E"/>
    <w:pPr>
      <w:ind w:left="426" w:hanging="426"/>
      <w:jc w:val="both"/>
    </w:pPr>
  </w:style>
  <w:style w:type="paragraph" w:styleId="CommentText">
    <w:name w:val="annotation text"/>
    <w:basedOn w:val="Normal"/>
    <w:semiHidden/>
    <w:rsid w:val="003C3C1E"/>
    <w:rPr>
      <w:sz w:val="20"/>
    </w:rPr>
  </w:style>
  <w:style w:type="paragraph" w:styleId="BodyText2">
    <w:name w:val="Body Text 2"/>
    <w:basedOn w:val="Normal"/>
    <w:rsid w:val="003C3C1E"/>
    <w:pPr>
      <w:jc w:val="both"/>
    </w:pPr>
    <w:rPr>
      <w:sz w:val="22"/>
    </w:rPr>
  </w:style>
  <w:style w:type="paragraph" w:styleId="BodyText3">
    <w:name w:val="Body Text 3"/>
    <w:basedOn w:val="Normal"/>
    <w:rsid w:val="003C3C1E"/>
    <w:rPr>
      <w:sz w:val="22"/>
    </w:rPr>
  </w:style>
  <w:style w:type="paragraph" w:customStyle="1" w:styleId="DfESBullets">
    <w:name w:val="DfESBullets"/>
    <w:basedOn w:val="Normal"/>
    <w:rsid w:val="003C3C1E"/>
    <w:pPr>
      <w:widowControl w:val="0"/>
      <w:numPr>
        <w:numId w:val="1"/>
      </w:numPr>
      <w:overflowPunct w:val="0"/>
      <w:autoSpaceDE w:val="0"/>
      <w:autoSpaceDN w:val="0"/>
      <w:adjustRightInd w:val="0"/>
      <w:spacing w:after="240"/>
      <w:textAlignment w:val="baseline"/>
    </w:pPr>
    <w:rPr>
      <w:sz w:val="22"/>
    </w:rPr>
  </w:style>
  <w:style w:type="character" w:styleId="Hyperlink">
    <w:name w:val="Hyperlink"/>
    <w:basedOn w:val="DefaultParagraphFont"/>
    <w:rsid w:val="003C3C1E"/>
    <w:rPr>
      <w:color w:val="0000FF"/>
      <w:u w:val="single"/>
    </w:rPr>
  </w:style>
  <w:style w:type="paragraph" w:styleId="Header">
    <w:name w:val="header"/>
    <w:basedOn w:val="Normal"/>
    <w:rsid w:val="003C3C1E"/>
    <w:pPr>
      <w:tabs>
        <w:tab w:val="center" w:pos="4320"/>
        <w:tab w:val="right" w:pos="8640"/>
      </w:tabs>
    </w:pPr>
  </w:style>
  <w:style w:type="paragraph" w:styleId="Footer">
    <w:name w:val="footer"/>
    <w:basedOn w:val="Normal"/>
    <w:link w:val="FooterChar"/>
    <w:uiPriority w:val="99"/>
    <w:rsid w:val="003C3C1E"/>
    <w:pPr>
      <w:tabs>
        <w:tab w:val="center" w:pos="4320"/>
        <w:tab w:val="right" w:pos="8640"/>
      </w:tabs>
    </w:pPr>
  </w:style>
  <w:style w:type="character" w:styleId="CommentReference">
    <w:name w:val="annotation reference"/>
    <w:basedOn w:val="DefaultParagraphFont"/>
    <w:semiHidden/>
    <w:rsid w:val="003C3C1E"/>
    <w:rPr>
      <w:sz w:val="16"/>
      <w:szCs w:val="16"/>
    </w:rPr>
  </w:style>
  <w:style w:type="paragraph" w:styleId="Title">
    <w:name w:val="Title"/>
    <w:basedOn w:val="Normal"/>
    <w:qFormat/>
    <w:rsid w:val="003C3C1E"/>
    <w:pPr>
      <w:jc w:val="center"/>
    </w:pPr>
    <w:rPr>
      <w:b/>
      <w:lang w:eastAsia="en-US"/>
    </w:rPr>
  </w:style>
  <w:style w:type="paragraph" w:styleId="BalloonText">
    <w:name w:val="Balloon Text"/>
    <w:basedOn w:val="Normal"/>
    <w:semiHidden/>
    <w:rsid w:val="003C3C1E"/>
    <w:rPr>
      <w:rFonts w:ascii="Tahoma" w:hAnsi="Tahoma" w:cs="Tahoma"/>
      <w:sz w:val="16"/>
      <w:szCs w:val="16"/>
    </w:rPr>
  </w:style>
  <w:style w:type="paragraph" w:styleId="CommentSubject">
    <w:name w:val="annotation subject"/>
    <w:basedOn w:val="CommentText"/>
    <w:next w:val="CommentText"/>
    <w:semiHidden/>
    <w:rsid w:val="003C3C1E"/>
    <w:rPr>
      <w:b/>
      <w:bCs/>
    </w:rPr>
  </w:style>
  <w:style w:type="table" w:styleId="TableGrid">
    <w:name w:val="Table Grid"/>
    <w:basedOn w:val="TableNormal"/>
    <w:rsid w:val="001E0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C43EE1"/>
    <w:rPr>
      <w:color w:val="800080"/>
      <w:u w:val="single"/>
    </w:rPr>
  </w:style>
  <w:style w:type="paragraph" w:styleId="ListParagraph">
    <w:name w:val="List Paragraph"/>
    <w:basedOn w:val="Normal"/>
    <w:uiPriority w:val="34"/>
    <w:qFormat/>
    <w:rsid w:val="00BF04FB"/>
    <w:pPr>
      <w:ind w:left="720"/>
    </w:pPr>
  </w:style>
  <w:style w:type="character" w:customStyle="1" w:styleId="FooterChar">
    <w:name w:val="Footer Char"/>
    <w:basedOn w:val="DefaultParagraphFont"/>
    <w:link w:val="Footer"/>
    <w:uiPriority w:val="99"/>
    <w:rsid w:val="00A15ED8"/>
    <w:rPr>
      <w:rFonts w:ascii="Arial" w:hAnsi="Arial"/>
      <w:sz w:val="24"/>
      <w:szCs w:val="24"/>
    </w:rPr>
  </w:style>
  <w:style w:type="paragraph" w:styleId="EndnoteText">
    <w:name w:val="endnote text"/>
    <w:basedOn w:val="Normal"/>
    <w:link w:val="EndnoteTextChar"/>
    <w:rsid w:val="00F3125F"/>
    <w:rPr>
      <w:sz w:val="20"/>
      <w:szCs w:val="20"/>
    </w:rPr>
  </w:style>
  <w:style w:type="character" w:customStyle="1" w:styleId="EndnoteTextChar">
    <w:name w:val="Endnote Text Char"/>
    <w:basedOn w:val="DefaultParagraphFont"/>
    <w:link w:val="EndnoteText"/>
    <w:rsid w:val="00F3125F"/>
    <w:rPr>
      <w:rFonts w:ascii="Arial" w:hAnsi="Arial"/>
    </w:rPr>
  </w:style>
  <w:style w:type="character" w:styleId="EndnoteReference">
    <w:name w:val="endnote reference"/>
    <w:basedOn w:val="DefaultParagraphFont"/>
    <w:rsid w:val="00F3125F"/>
    <w:rPr>
      <w:vertAlign w:val="superscript"/>
    </w:rPr>
  </w:style>
  <w:style w:type="paragraph" w:styleId="FootnoteText">
    <w:name w:val="footnote text"/>
    <w:basedOn w:val="Normal"/>
    <w:link w:val="FootnoteTextChar"/>
    <w:rsid w:val="00D23F25"/>
    <w:rPr>
      <w:sz w:val="20"/>
      <w:szCs w:val="20"/>
    </w:rPr>
  </w:style>
  <w:style w:type="character" w:customStyle="1" w:styleId="FootnoteTextChar">
    <w:name w:val="Footnote Text Char"/>
    <w:basedOn w:val="DefaultParagraphFont"/>
    <w:link w:val="FootnoteText"/>
    <w:rsid w:val="00D23F25"/>
    <w:rPr>
      <w:rFonts w:ascii="Arial" w:hAnsi="Arial"/>
    </w:rPr>
  </w:style>
  <w:style w:type="character" w:styleId="FootnoteReference">
    <w:name w:val="footnote reference"/>
    <w:basedOn w:val="DefaultParagraphFont"/>
    <w:rsid w:val="00D23F25"/>
    <w:rPr>
      <w:vertAlign w:val="superscript"/>
    </w:rPr>
  </w:style>
  <w:style w:type="paragraph" w:customStyle="1" w:styleId="Default">
    <w:name w:val="Default"/>
    <w:rsid w:val="004C5BB6"/>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85882665">
      <w:bodyDiv w:val="1"/>
      <w:marLeft w:val="0"/>
      <w:marRight w:val="0"/>
      <w:marTop w:val="0"/>
      <w:marBottom w:val="0"/>
      <w:divBdr>
        <w:top w:val="none" w:sz="0" w:space="0" w:color="auto"/>
        <w:left w:val="none" w:sz="0" w:space="0" w:color="auto"/>
        <w:bottom w:val="none" w:sz="0" w:space="0" w:color="auto"/>
        <w:right w:val="none" w:sz="0" w:space="0" w:color="auto"/>
      </w:divBdr>
    </w:div>
    <w:div w:id="136579417">
      <w:bodyDiv w:val="1"/>
      <w:marLeft w:val="0"/>
      <w:marRight w:val="0"/>
      <w:marTop w:val="0"/>
      <w:marBottom w:val="0"/>
      <w:divBdr>
        <w:top w:val="none" w:sz="0" w:space="0" w:color="auto"/>
        <w:left w:val="none" w:sz="0" w:space="0" w:color="auto"/>
        <w:bottom w:val="none" w:sz="0" w:space="0" w:color="auto"/>
        <w:right w:val="none" w:sz="0" w:space="0" w:color="auto"/>
      </w:divBdr>
    </w:div>
    <w:div w:id="302003078">
      <w:bodyDiv w:val="1"/>
      <w:marLeft w:val="0"/>
      <w:marRight w:val="0"/>
      <w:marTop w:val="0"/>
      <w:marBottom w:val="0"/>
      <w:divBdr>
        <w:top w:val="none" w:sz="0" w:space="0" w:color="auto"/>
        <w:left w:val="none" w:sz="0" w:space="0" w:color="auto"/>
        <w:bottom w:val="none" w:sz="0" w:space="0" w:color="auto"/>
        <w:right w:val="none" w:sz="0" w:space="0" w:color="auto"/>
      </w:divBdr>
    </w:div>
    <w:div w:id="380901800">
      <w:bodyDiv w:val="1"/>
      <w:marLeft w:val="0"/>
      <w:marRight w:val="0"/>
      <w:marTop w:val="0"/>
      <w:marBottom w:val="0"/>
      <w:divBdr>
        <w:top w:val="none" w:sz="0" w:space="0" w:color="auto"/>
        <w:left w:val="none" w:sz="0" w:space="0" w:color="auto"/>
        <w:bottom w:val="none" w:sz="0" w:space="0" w:color="auto"/>
        <w:right w:val="none" w:sz="0" w:space="0" w:color="auto"/>
      </w:divBdr>
    </w:div>
    <w:div w:id="478428615">
      <w:bodyDiv w:val="1"/>
      <w:marLeft w:val="0"/>
      <w:marRight w:val="0"/>
      <w:marTop w:val="0"/>
      <w:marBottom w:val="0"/>
      <w:divBdr>
        <w:top w:val="none" w:sz="0" w:space="0" w:color="auto"/>
        <w:left w:val="none" w:sz="0" w:space="0" w:color="auto"/>
        <w:bottom w:val="none" w:sz="0" w:space="0" w:color="auto"/>
        <w:right w:val="none" w:sz="0" w:space="0" w:color="auto"/>
      </w:divBdr>
    </w:div>
    <w:div w:id="481702077">
      <w:bodyDiv w:val="1"/>
      <w:marLeft w:val="0"/>
      <w:marRight w:val="0"/>
      <w:marTop w:val="0"/>
      <w:marBottom w:val="0"/>
      <w:divBdr>
        <w:top w:val="none" w:sz="0" w:space="0" w:color="auto"/>
        <w:left w:val="none" w:sz="0" w:space="0" w:color="auto"/>
        <w:bottom w:val="none" w:sz="0" w:space="0" w:color="auto"/>
        <w:right w:val="none" w:sz="0" w:space="0" w:color="auto"/>
      </w:divBdr>
    </w:div>
    <w:div w:id="556861638">
      <w:bodyDiv w:val="1"/>
      <w:marLeft w:val="0"/>
      <w:marRight w:val="0"/>
      <w:marTop w:val="0"/>
      <w:marBottom w:val="0"/>
      <w:divBdr>
        <w:top w:val="none" w:sz="0" w:space="0" w:color="auto"/>
        <w:left w:val="none" w:sz="0" w:space="0" w:color="auto"/>
        <w:bottom w:val="none" w:sz="0" w:space="0" w:color="auto"/>
        <w:right w:val="none" w:sz="0" w:space="0" w:color="auto"/>
      </w:divBdr>
    </w:div>
    <w:div w:id="717826829">
      <w:bodyDiv w:val="1"/>
      <w:marLeft w:val="0"/>
      <w:marRight w:val="0"/>
      <w:marTop w:val="0"/>
      <w:marBottom w:val="0"/>
      <w:divBdr>
        <w:top w:val="none" w:sz="0" w:space="0" w:color="auto"/>
        <w:left w:val="none" w:sz="0" w:space="0" w:color="auto"/>
        <w:bottom w:val="none" w:sz="0" w:space="0" w:color="auto"/>
        <w:right w:val="none" w:sz="0" w:space="0" w:color="auto"/>
      </w:divBdr>
    </w:div>
    <w:div w:id="732314819">
      <w:bodyDiv w:val="1"/>
      <w:marLeft w:val="0"/>
      <w:marRight w:val="0"/>
      <w:marTop w:val="0"/>
      <w:marBottom w:val="0"/>
      <w:divBdr>
        <w:top w:val="none" w:sz="0" w:space="0" w:color="auto"/>
        <w:left w:val="none" w:sz="0" w:space="0" w:color="auto"/>
        <w:bottom w:val="none" w:sz="0" w:space="0" w:color="auto"/>
        <w:right w:val="none" w:sz="0" w:space="0" w:color="auto"/>
      </w:divBdr>
    </w:div>
    <w:div w:id="786856864">
      <w:bodyDiv w:val="1"/>
      <w:marLeft w:val="0"/>
      <w:marRight w:val="0"/>
      <w:marTop w:val="0"/>
      <w:marBottom w:val="0"/>
      <w:divBdr>
        <w:top w:val="none" w:sz="0" w:space="0" w:color="auto"/>
        <w:left w:val="none" w:sz="0" w:space="0" w:color="auto"/>
        <w:bottom w:val="none" w:sz="0" w:space="0" w:color="auto"/>
        <w:right w:val="none" w:sz="0" w:space="0" w:color="auto"/>
      </w:divBdr>
    </w:div>
    <w:div w:id="940524642">
      <w:bodyDiv w:val="1"/>
      <w:marLeft w:val="0"/>
      <w:marRight w:val="0"/>
      <w:marTop w:val="0"/>
      <w:marBottom w:val="0"/>
      <w:divBdr>
        <w:top w:val="none" w:sz="0" w:space="0" w:color="auto"/>
        <w:left w:val="none" w:sz="0" w:space="0" w:color="auto"/>
        <w:bottom w:val="none" w:sz="0" w:space="0" w:color="auto"/>
        <w:right w:val="none" w:sz="0" w:space="0" w:color="auto"/>
      </w:divBdr>
    </w:div>
    <w:div w:id="1014922574">
      <w:bodyDiv w:val="1"/>
      <w:marLeft w:val="0"/>
      <w:marRight w:val="0"/>
      <w:marTop w:val="0"/>
      <w:marBottom w:val="0"/>
      <w:divBdr>
        <w:top w:val="none" w:sz="0" w:space="0" w:color="auto"/>
        <w:left w:val="none" w:sz="0" w:space="0" w:color="auto"/>
        <w:bottom w:val="none" w:sz="0" w:space="0" w:color="auto"/>
        <w:right w:val="none" w:sz="0" w:space="0" w:color="auto"/>
      </w:divBdr>
    </w:div>
    <w:div w:id="1088186430">
      <w:bodyDiv w:val="1"/>
      <w:marLeft w:val="0"/>
      <w:marRight w:val="0"/>
      <w:marTop w:val="0"/>
      <w:marBottom w:val="0"/>
      <w:divBdr>
        <w:top w:val="none" w:sz="0" w:space="0" w:color="auto"/>
        <w:left w:val="none" w:sz="0" w:space="0" w:color="auto"/>
        <w:bottom w:val="none" w:sz="0" w:space="0" w:color="auto"/>
        <w:right w:val="none" w:sz="0" w:space="0" w:color="auto"/>
      </w:divBdr>
    </w:div>
    <w:div w:id="1235164133">
      <w:bodyDiv w:val="1"/>
      <w:marLeft w:val="0"/>
      <w:marRight w:val="0"/>
      <w:marTop w:val="0"/>
      <w:marBottom w:val="0"/>
      <w:divBdr>
        <w:top w:val="none" w:sz="0" w:space="0" w:color="auto"/>
        <w:left w:val="none" w:sz="0" w:space="0" w:color="auto"/>
        <w:bottom w:val="none" w:sz="0" w:space="0" w:color="auto"/>
        <w:right w:val="none" w:sz="0" w:space="0" w:color="auto"/>
      </w:divBdr>
    </w:div>
    <w:div w:id="1256478478">
      <w:bodyDiv w:val="1"/>
      <w:marLeft w:val="0"/>
      <w:marRight w:val="0"/>
      <w:marTop w:val="0"/>
      <w:marBottom w:val="0"/>
      <w:divBdr>
        <w:top w:val="none" w:sz="0" w:space="0" w:color="auto"/>
        <w:left w:val="none" w:sz="0" w:space="0" w:color="auto"/>
        <w:bottom w:val="none" w:sz="0" w:space="0" w:color="auto"/>
        <w:right w:val="none" w:sz="0" w:space="0" w:color="auto"/>
      </w:divBdr>
      <w:divsChild>
        <w:div w:id="1433621612">
          <w:marLeft w:val="0"/>
          <w:marRight w:val="0"/>
          <w:marTop w:val="0"/>
          <w:marBottom w:val="0"/>
          <w:divBdr>
            <w:top w:val="none" w:sz="0" w:space="0" w:color="auto"/>
            <w:left w:val="none" w:sz="0" w:space="0" w:color="auto"/>
            <w:bottom w:val="none" w:sz="0" w:space="0" w:color="auto"/>
            <w:right w:val="none" w:sz="0" w:space="0" w:color="auto"/>
          </w:divBdr>
          <w:divsChild>
            <w:div w:id="979455607">
              <w:marLeft w:val="0"/>
              <w:marRight w:val="0"/>
              <w:marTop w:val="0"/>
              <w:marBottom w:val="0"/>
              <w:divBdr>
                <w:top w:val="none" w:sz="0" w:space="0" w:color="auto"/>
                <w:left w:val="none" w:sz="0" w:space="0" w:color="auto"/>
                <w:bottom w:val="none" w:sz="0" w:space="0" w:color="auto"/>
                <w:right w:val="none" w:sz="0" w:space="0" w:color="auto"/>
              </w:divBdr>
              <w:divsChild>
                <w:div w:id="130828084">
                  <w:marLeft w:val="0"/>
                  <w:marRight w:val="0"/>
                  <w:marTop w:val="0"/>
                  <w:marBottom w:val="0"/>
                  <w:divBdr>
                    <w:top w:val="none" w:sz="0" w:space="0" w:color="auto"/>
                    <w:left w:val="none" w:sz="0" w:space="0" w:color="auto"/>
                    <w:bottom w:val="none" w:sz="0" w:space="0" w:color="auto"/>
                    <w:right w:val="none" w:sz="0" w:space="0" w:color="auto"/>
                  </w:divBdr>
                  <w:divsChild>
                    <w:div w:id="1077440533">
                      <w:marLeft w:val="0"/>
                      <w:marRight w:val="0"/>
                      <w:marTop w:val="0"/>
                      <w:marBottom w:val="0"/>
                      <w:divBdr>
                        <w:top w:val="none" w:sz="0" w:space="0" w:color="auto"/>
                        <w:left w:val="none" w:sz="0" w:space="0" w:color="auto"/>
                        <w:bottom w:val="none" w:sz="0" w:space="0" w:color="auto"/>
                        <w:right w:val="none" w:sz="0" w:space="0" w:color="auto"/>
                      </w:divBdr>
                      <w:divsChild>
                        <w:div w:id="248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351044">
      <w:bodyDiv w:val="1"/>
      <w:marLeft w:val="0"/>
      <w:marRight w:val="0"/>
      <w:marTop w:val="0"/>
      <w:marBottom w:val="0"/>
      <w:divBdr>
        <w:top w:val="none" w:sz="0" w:space="0" w:color="auto"/>
        <w:left w:val="none" w:sz="0" w:space="0" w:color="auto"/>
        <w:bottom w:val="none" w:sz="0" w:space="0" w:color="auto"/>
        <w:right w:val="none" w:sz="0" w:space="0" w:color="auto"/>
      </w:divBdr>
    </w:div>
    <w:div w:id="1552304278">
      <w:bodyDiv w:val="1"/>
      <w:marLeft w:val="0"/>
      <w:marRight w:val="0"/>
      <w:marTop w:val="0"/>
      <w:marBottom w:val="0"/>
      <w:divBdr>
        <w:top w:val="none" w:sz="0" w:space="0" w:color="auto"/>
        <w:left w:val="none" w:sz="0" w:space="0" w:color="auto"/>
        <w:bottom w:val="none" w:sz="0" w:space="0" w:color="auto"/>
        <w:right w:val="none" w:sz="0" w:space="0" w:color="auto"/>
      </w:divBdr>
    </w:div>
    <w:div w:id="1553417643">
      <w:bodyDiv w:val="1"/>
      <w:marLeft w:val="0"/>
      <w:marRight w:val="0"/>
      <w:marTop w:val="0"/>
      <w:marBottom w:val="0"/>
      <w:divBdr>
        <w:top w:val="none" w:sz="0" w:space="0" w:color="auto"/>
        <w:left w:val="none" w:sz="0" w:space="0" w:color="auto"/>
        <w:bottom w:val="none" w:sz="0" w:space="0" w:color="auto"/>
        <w:right w:val="none" w:sz="0" w:space="0" w:color="auto"/>
      </w:divBdr>
    </w:div>
    <w:div w:id="1555236984">
      <w:bodyDiv w:val="1"/>
      <w:marLeft w:val="0"/>
      <w:marRight w:val="0"/>
      <w:marTop w:val="0"/>
      <w:marBottom w:val="0"/>
      <w:divBdr>
        <w:top w:val="none" w:sz="0" w:space="0" w:color="auto"/>
        <w:left w:val="none" w:sz="0" w:space="0" w:color="auto"/>
        <w:bottom w:val="none" w:sz="0" w:space="0" w:color="auto"/>
        <w:right w:val="none" w:sz="0" w:space="0" w:color="auto"/>
      </w:divBdr>
    </w:div>
    <w:div w:id="1577667731">
      <w:bodyDiv w:val="1"/>
      <w:marLeft w:val="0"/>
      <w:marRight w:val="0"/>
      <w:marTop w:val="0"/>
      <w:marBottom w:val="0"/>
      <w:divBdr>
        <w:top w:val="none" w:sz="0" w:space="0" w:color="auto"/>
        <w:left w:val="none" w:sz="0" w:space="0" w:color="auto"/>
        <w:bottom w:val="none" w:sz="0" w:space="0" w:color="auto"/>
        <w:right w:val="none" w:sz="0" w:space="0" w:color="auto"/>
      </w:divBdr>
    </w:div>
    <w:div w:id="1594388141">
      <w:bodyDiv w:val="1"/>
      <w:marLeft w:val="0"/>
      <w:marRight w:val="0"/>
      <w:marTop w:val="0"/>
      <w:marBottom w:val="0"/>
      <w:divBdr>
        <w:top w:val="none" w:sz="0" w:space="0" w:color="auto"/>
        <w:left w:val="none" w:sz="0" w:space="0" w:color="auto"/>
        <w:bottom w:val="none" w:sz="0" w:space="0" w:color="auto"/>
        <w:right w:val="none" w:sz="0" w:space="0" w:color="auto"/>
      </w:divBdr>
    </w:div>
    <w:div w:id="1660578323">
      <w:bodyDiv w:val="1"/>
      <w:marLeft w:val="0"/>
      <w:marRight w:val="0"/>
      <w:marTop w:val="0"/>
      <w:marBottom w:val="0"/>
      <w:divBdr>
        <w:top w:val="none" w:sz="0" w:space="0" w:color="auto"/>
        <w:left w:val="none" w:sz="0" w:space="0" w:color="auto"/>
        <w:bottom w:val="none" w:sz="0" w:space="0" w:color="auto"/>
        <w:right w:val="none" w:sz="0" w:space="0" w:color="auto"/>
      </w:divBdr>
    </w:div>
    <w:div w:id="1867403666">
      <w:bodyDiv w:val="1"/>
      <w:marLeft w:val="0"/>
      <w:marRight w:val="0"/>
      <w:marTop w:val="0"/>
      <w:marBottom w:val="0"/>
      <w:divBdr>
        <w:top w:val="none" w:sz="0" w:space="0" w:color="auto"/>
        <w:left w:val="none" w:sz="0" w:space="0" w:color="auto"/>
        <w:bottom w:val="none" w:sz="0" w:space="0" w:color="auto"/>
        <w:right w:val="none" w:sz="0" w:space="0" w:color="auto"/>
      </w:divBdr>
      <w:divsChild>
        <w:div w:id="43263141">
          <w:marLeft w:val="0"/>
          <w:marRight w:val="0"/>
          <w:marTop w:val="0"/>
          <w:marBottom w:val="0"/>
          <w:divBdr>
            <w:top w:val="none" w:sz="0" w:space="0" w:color="auto"/>
            <w:left w:val="none" w:sz="0" w:space="0" w:color="auto"/>
            <w:bottom w:val="none" w:sz="0" w:space="0" w:color="auto"/>
            <w:right w:val="none" w:sz="0" w:space="0" w:color="auto"/>
          </w:divBdr>
          <w:divsChild>
            <w:div w:id="1517619814">
              <w:marLeft w:val="0"/>
              <w:marRight w:val="0"/>
              <w:marTop w:val="0"/>
              <w:marBottom w:val="0"/>
              <w:divBdr>
                <w:top w:val="none" w:sz="0" w:space="0" w:color="auto"/>
                <w:left w:val="none" w:sz="0" w:space="0" w:color="auto"/>
                <w:bottom w:val="none" w:sz="0" w:space="0" w:color="auto"/>
                <w:right w:val="none" w:sz="0" w:space="0" w:color="auto"/>
              </w:divBdr>
              <w:divsChild>
                <w:div w:id="772943287">
                  <w:marLeft w:val="0"/>
                  <w:marRight w:val="0"/>
                  <w:marTop w:val="0"/>
                  <w:marBottom w:val="0"/>
                  <w:divBdr>
                    <w:top w:val="none" w:sz="0" w:space="0" w:color="auto"/>
                    <w:left w:val="none" w:sz="0" w:space="0" w:color="auto"/>
                    <w:bottom w:val="none" w:sz="0" w:space="0" w:color="auto"/>
                    <w:right w:val="none" w:sz="0" w:space="0" w:color="auto"/>
                  </w:divBdr>
                  <w:divsChild>
                    <w:div w:id="1821265249">
                      <w:marLeft w:val="0"/>
                      <w:marRight w:val="0"/>
                      <w:marTop w:val="0"/>
                      <w:marBottom w:val="0"/>
                      <w:divBdr>
                        <w:top w:val="none" w:sz="0" w:space="0" w:color="auto"/>
                        <w:left w:val="none" w:sz="0" w:space="0" w:color="auto"/>
                        <w:bottom w:val="none" w:sz="0" w:space="0" w:color="auto"/>
                        <w:right w:val="none" w:sz="0" w:space="0" w:color="auto"/>
                      </w:divBdr>
                      <w:divsChild>
                        <w:div w:id="1783113637">
                          <w:marLeft w:val="0"/>
                          <w:marRight w:val="0"/>
                          <w:marTop w:val="0"/>
                          <w:marBottom w:val="0"/>
                          <w:divBdr>
                            <w:top w:val="none" w:sz="0" w:space="0" w:color="auto"/>
                            <w:left w:val="none" w:sz="0" w:space="0" w:color="auto"/>
                            <w:bottom w:val="none" w:sz="0" w:space="0" w:color="auto"/>
                            <w:right w:val="none" w:sz="0" w:space="0" w:color="auto"/>
                          </w:divBdr>
                          <w:divsChild>
                            <w:div w:id="60773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11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education.gov.uk/funding-policy-unit/high-needs-funding-refor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onsult.education.gov.uk/funding-policy-unit/schools-national-funding-formul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Office_Excel_Worksheet1.xlsx"/><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3F09E-4696-4915-9808-E2CBBF834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2603</Words>
  <Characters>13902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LBBD</Company>
  <LinksUpToDate>false</LinksUpToDate>
  <CharactersWithSpaces>16473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Report Writing</dc:subject>
  <dc:creator>Chauhan Daksha</dc:creator>
  <cp:lastModifiedBy>dchauhan</cp:lastModifiedBy>
  <cp:revision>2</cp:revision>
  <cp:lastPrinted>2016-03-07T11:06:00Z</cp:lastPrinted>
  <dcterms:created xsi:type="dcterms:W3CDTF">2016-03-08T17:55:00Z</dcterms:created>
  <dcterms:modified xsi:type="dcterms:W3CDTF">2016-03-08T17:55:00Z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endixCharacter">
    <vt:lpwstr> </vt:lpwstr>
  </property>
</Properties>
</file>