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8BF" w:rsidRPr="004F787C" w:rsidRDefault="003568BF" w:rsidP="003568BF">
      <w:pPr>
        <w:jc w:val="center"/>
        <w:rPr>
          <w:rFonts w:cs="Arial"/>
          <w:b/>
          <w:color w:val="000000"/>
        </w:rPr>
      </w:pPr>
      <w:r w:rsidRPr="004F787C">
        <w:rPr>
          <w:rFonts w:cs="Arial"/>
          <w:b/>
          <w:color w:val="000000"/>
        </w:rPr>
        <w:t>(</w:t>
      </w:r>
      <w:r w:rsidR="004F787C" w:rsidRPr="004F787C">
        <w:rPr>
          <w:rFonts w:cs="Arial"/>
          <w:b/>
          <w:color w:val="000000"/>
        </w:rPr>
        <w:t>BARKING AND DAGENHAM SCHOOL</w:t>
      </w:r>
      <w:r w:rsidR="00AF6019">
        <w:rPr>
          <w:rFonts w:cs="Arial"/>
          <w:b/>
          <w:color w:val="000000"/>
        </w:rPr>
        <w:t>S</w:t>
      </w:r>
      <w:r w:rsidR="004F787C" w:rsidRPr="004F787C">
        <w:rPr>
          <w:rFonts w:cs="Arial"/>
          <w:b/>
          <w:color w:val="000000"/>
        </w:rPr>
        <w:t xml:space="preserve"> FORUM</w:t>
      </w:r>
      <w:r w:rsidRPr="004F787C">
        <w:rPr>
          <w:rFonts w:cs="Arial"/>
          <w:b/>
          <w:color w:val="000000"/>
        </w:rPr>
        <w:t>)</w:t>
      </w:r>
    </w:p>
    <w:p w:rsidR="009A0F2F" w:rsidRPr="00F62747" w:rsidRDefault="009A0F2F" w:rsidP="00242399">
      <w:pPr>
        <w:jc w:val="center"/>
        <w:rPr>
          <w:rFonts w:cs="Arial"/>
          <w:b/>
          <w:color w:val="000000"/>
          <w:sz w:val="20"/>
          <w:szCs w:val="20"/>
        </w:rPr>
      </w:pPr>
    </w:p>
    <w:p w:rsidR="009A0F2F" w:rsidRPr="00DD34BC" w:rsidRDefault="00BB7BD9" w:rsidP="00DD34BC">
      <w:pPr>
        <w:jc w:val="center"/>
        <w:rPr>
          <w:rFonts w:cs="Arial"/>
          <w:b/>
          <w:color w:val="000000"/>
        </w:rPr>
      </w:pPr>
      <w:r w:rsidRPr="004F787C">
        <w:rPr>
          <w:rFonts w:cs="Arial"/>
          <w:b/>
          <w:color w:val="000000"/>
        </w:rPr>
        <w:t>(</w:t>
      </w:r>
      <w:r w:rsidR="0005699A">
        <w:rPr>
          <w:rFonts w:cs="Arial"/>
          <w:b/>
          <w:color w:val="000000"/>
        </w:rPr>
        <w:t>1</w:t>
      </w:r>
      <w:r w:rsidR="00DE2848">
        <w:rPr>
          <w:rFonts w:cs="Arial"/>
          <w:b/>
          <w:color w:val="000000"/>
        </w:rPr>
        <w:t>6</w:t>
      </w:r>
      <w:bookmarkStart w:id="0" w:name="_GoBack"/>
      <w:bookmarkEnd w:id="0"/>
      <w:r w:rsidR="0005699A">
        <w:rPr>
          <w:rFonts w:cs="Arial"/>
          <w:b/>
          <w:color w:val="000000"/>
        </w:rPr>
        <w:t xml:space="preserve"> January 201</w:t>
      </w:r>
      <w:r w:rsidR="00DE2848">
        <w:rPr>
          <w:rFonts w:cs="Arial"/>
          <w:b/>
          <w:color w:val="000000"/>
        </w:rPr>
        <w:t>8</w:t>
      </w:r>
      <w:r w:rsidRPr="004F787C">
        <w:rPr>
          <w:rFonts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gridCol w:w="3449"/>
      </w:tblGrid>
      <w:tr w:rsidR="00462371" w:rsidRPr="00553269" w:rsidTr="00553269">
        <w:tc>
          <w:tcPr>
            <w:tcW w:w="9857" w:type="dxa"/>
            <w:gridSpan w:val="2"/>
          </w:tcPr>
          <w:p w:rsidR="00462371" w:rsidRPr="00721B34" w:rsidRDefault="00462371" w:rsidP="00385FC8">
            <w:pPr>
              <w:rPr>
                <w:rFonts w:cs="Arial"/>
                <w:color w:val="000000"/>
              </w:rPr>
            </w:pPr>
            <w:r w:rsidRPr="00721B34">
              <w:rPr>
                <w:rFonts w:cs="Arial"/>
                <w:b/>
              </w:rPr>
              <w:t>Title:</w:t>
            </w:r>
            <w:r w:rsidRPr="00721B34">
              <w:rPr>
                <w:rFonts w:cs="Arial"/>
              </w:rPr>
              <w:t xml:space="preserve"> </w:t>
            </w:r>
            <w:r w:rsidR="00E45801" w:rsidRPr="00721B34">
              <w:rPr>
                <w:rFonts w:cs="Arial"/>
                <w:color w:val="000000"/>
              </w:rPr>
              <w:t>School F</w:t>
            </w:r>
            <w:r w:rsidR="00385FC8" w:rsidRPr="00721B34">
              <w:rPr>
                <w:rFonts w:cs="Arial"/>
                <w:color w:val="000000"/>
              </w:rPr>
              <w:t>orum Report</w:t>
            </w:r>
          </w:p>
          <w:p w:rsidR="00385FC8" w:rsidRPr="00721B34" w:rsidRDefault="00385FC8" w:rsidP="00385FC8">
            <w:pPr>
              <w:rPr>
                <w:rFonts w:cs="Arial"/>
              </w:rPr>
            </w:pPr>
          </w:p>
        </w:tc>
      </w:tr>
      <w:tr w:rsidR="00EC2A42" w:rsidRPr="00553269" w:rsidTr="00553269">
        <w:tc>
          <w:tcPr>
            <w:tcW w:w="9857" w:type="dxa"/>
            <w:gridSpan w:val="2"/>
          </w:tcPr>
          <w:p w:rsidR="00EC2A42" w:rsidRPr="00721B34" w:rsidRDefault="00EC2A42" w:rsidP="00EC2A42">
            <w:pPr>
              <w:rPr>
                <w:rFonts w:cs="Arial"/>
                <w:b/>
                <w:color w:val="000000"/>
              </w:rPr>
            </w:pPr>
            <w:r w:rsidRPr="00721B34">
              <w:rPr>
                <w:rFonts w:cs="Arial"/>
                <w:b/>
              </w:rPr>
              <w:t>R</w:t>
            </w:r>
            <w:r w:rsidR="00DC116F" w:rsidRPr="00721B34">
              <w:rPr>
                <w:rFonts w:cs="Arial"/>
                <w:b/>
              </w:rPr>
              <w:t>eport of</w:t>
            </w:r>
            <w:r w:rsidR="005F3A5D" w:rsidRPr="00721B34">
              <w:rPr>
                <w:rFonts w:cs="Arial"/>
                <w:b/>
              </w:rPr>
              <w:t>:</w:t>
            </w:r>
            <w:r w:rsidRPr="00721B34">
              <w:rPr>
                <w:rFonts w:cs="Arial"/>
                <w:b/>
              </w:rPr>
              <w:t xml:space="preserve"> </w:t>
            </w:r>
            <w:r w:rsidR="00C43EE1" w:rsidRPr="00721B34">
              <w:rPr>
                <w:rFonts w:cs="Arial"/>
                <w:b/>
                <w:color w:val="000000"/>
              </w:rPr>
              <w:t xml:space="preserve">CORPORATE </w:t>
            </w:r>
            <w:r w:rsidR="00485CE3" w:rsidRPr="00721B34">
              <w:rPr>
                <w:rFonts w:cs="Arial"/>
                <w:b/>
                <w:color w:val="000000"/>
              </w:rPr>
              <w:t>DIRECTOR</w:t>
            </w:r>
            <w:r w:rsidR="00DD58EA" w:rsidRPr="00721B34">
              <w:rPr>
                <w:rFonts w:cs="Arial"/>
                <w:b/>
                <w:color w:val="000000"/>
              </w:rPr>
              <w:t xml:space="preserve"> </w:t>
            </w:r>
          </w:p>
          <w:p w:rsidR="00EC2A42" w:rsidRPr="00721B34" w:rsidRDefault="00EC2A42" w:rsidP="00F7272A">
            <w:pPr>
              <w:rPr>
                <w:rFonts w:cs="Arial"/>
                <w:b/>
              </w:rPr>
            </w:pPr>
          </w:p>
        </w:tc>
      </w:tr>
      <w:tr w:rsidR="00461800" w:rsidRPr="00553269" w:rsidTr="00553269">
        <w:tc>
          <w:tcPr>
            <w:tcW w:w="6487" w:type="dxa"/>
          </w:tcPr>
          <w:p w:rsidR="00461800" w:rsidRPr="00721B34" w:rsidRDefault="00461800" w:rsidP="00462371">
            <w:pPr>
              <w:rPr>
                <w:rFonts w:cs="Arial"/>
              </w:rPr>
            </w:pPr>
            <w:r w:rsidRPr="00721B34">
              <w:rPr>
                <w:rFonts w:cs="Arial"/>
                <w:b/>
              </w:rPr>
              <w:t>O</w:t>
            </w:r>
            <w:r w:rsidR="00DC116F" w:rsidRPr="00721B34">
              <w:rPr>
                <w:rFonts w:cs="Arial"/>
                <w:b/>
              </w:rPr>
              <w:t>pen</w:t>
            </w:r>
          </w:p>
          <w:p w:rsidR="00461800" w:rsidRPr="00721B34" w:rsidRDefault="00461800" w:rsidP="00462371">
            <w:pPr>
              <w:rPr>
                <w:rFonts w:cs="Arial"/>
                <w:b/>
              </w:rPr>
            </w:pPr>
          </w:p>
        </w:tc>
        <w:tc>
          <w:tcPr>
            <w:tcW w:w="3370" w:type="dxa"/>
          </w:tcPr>
          <w:p w:rsidR="00461800" w:rsidRPr="00721B34" w:rsidRDefault="00462371" w:rsidP="00F62747">
            <w:pPr>
              <w:rPr>
                <w:rFonts w:cs="Arial"/>
                <w:b/>
              </w:rPr>
            </w:pPr>
            <w:r w:rsidRPr="00721B34">
              <w:rPr>
                <w:rFonts w:cs="Arial"/>
                <w:b/>
              </w:rPr>
              <w:t>For Decision / For Information</w:t>
            </w:r>
          </w:p>
        </w:tc>
      </w:tr>
      <w:tr w:rsidR="00462371" w:rsidRPr="00553269" w:rsidTr="00553269">
        <w:tc>
          <w:tcPr>
            <w:tcW w:w="6487" w:type="dxa"/>
          </w:tcPr>
          <w:p w:rsidR="00462371" w:rsidRPr="00721B34" w:rsidRDefault="00462371" w:rsidP="00191E9D">
            <w:pPr>
              <w:rPr>
                <w:rFonts w:cs="Arial"/>
                <w:b/>
              </w:rPr>
            </w:pPr>
            <w:r w:rsidRPr="00721B34">
              <w:rPr>
                <w:rFonts w:cs="Arial"/>
                <w:b/>
              </w:rPr>
              <w:t xml:space="preserve">Wards Affected: </w:t>
            </w:r>
            <w:r w:rsidR="004F787C" w:rsidRPr="00721B34">
              <w:rPr>
                <w:rFonts w:cs="Arial"/>
                <w:b/>
              </w:rPr>
              <w:t>All</w:t>
            </w:r>
          </w:p>
        </w:tc>
        <w:tc>
          <w:tcPr>
            <w:tcW w:w="3370" w:type="dxa"/>
          </w:tcPr>
          <w:p w:rsidR="00462371" w:rsidRPr="00721B34" w:rsidRDefault="00462371" w:rsidP="004F787C">
            <w:pPr>
              <w:rPr>
                <w:rFonts w:cs="Arial"/>
                <w:b/>
              </w:rPr>
            </w:pPr>
            <w:r w:rsidRPr="00721B34">
              <w:rPr>
                <w:rFonts w:cs="Arial"/>
                <w:b/>
              </w:rPr>
              <w:t xml:space="preserve">Key Decision: </w:t>
            </w:r>
            <w:r w:rsidR="004F787C" w:rsidRPr="00721B34">
              <w:rPr>
                <w:rFonts w:cs="Arial"/>
                <w:b/>
              </w:rPr>
              <w:t>No</w:t>
            </w:r>
          </w:p>
        </w:tc>
      </w:tr>
      <w:tr w:rsidR="00462371" w:rsidRPr="00553269" w:rsidTr="00553269">
        <w:tc>
          <w:tcPr>
            <w:tcW w:w="6487" w:type="dxa"/>
          </w:tcPr>
          <w:p w:rsidR="00462371" w:rsidRPr="00721B34" w:rsidRDefault="00462371" w:rsidP="00462371">
            <w:pPr>
              <w:rPr>
                <w:rFonts w:cs="Arial"/>
                <w:b/>
              </w:rPr>
            </w:pPr>
            <w:r w:rsidRPr="00721B34">
              <w:rPr>
                <w:rFonts w:cs="Arial"/>
                <w:b/>
              </w:rPr>
              <w:t xml:space="preserve">Report </w:t>
            </w:r>
            <w:r w:rsidR="006E145D" w:rsidRPr="00721B34">
              <w:rPr>
                <w:rFonts w:cs="Arial"/>
                <w:b/>
              </w:rPr>
              <w:t>Author</w:t>
            </w:r>
            <w:r w:rsidRPr="00721B34">
              <w:rPr>
                <w:rFonts w:cs="Arial"/>
                <w:b/>
              </w:rPr>
              <w:t xml:space="preserve">: </w:t>
            </w:r>
          </w:p>
          <w:p w:rsidR="004F787C" w:rsidRPr="00721B34" w:rsidRDefault="00D86826" w:rsidP="00462371">
            <w:pPr>
              <w:rPr>
                <w:rFonts w:cs="Arial"/>
              </w:rPr>
            </w:pPr>
            <w:r w:rsidRPr="00721B34">
              <w:rPr>
                <w:rFonts w:cs="Arial"/>
              </w:rPr>
              <w:t>Daksha Chauhan</w:t>
            </w:r>
            <w:r w:rsidR="004F787C" w:rsidRPr="00721B34">
              <w:rPr>
                <w:rFonts w:cs="Arial"/>
              </w:rPr>
              <w:t xml:space="preserve"> – Group </w:t>
            </w:r>
            <w:r w:rsidR="00E17639" w:rsidRPr="00721B34">
              <w:rPr>
                <w:rFonts w:cs="Arial"/>
              </w:rPr>
              <w:t>Accountant</w:t>
            </w:r>
            <w:r w:rsidR="004F787C" w:rsidRPr="00721B34">
              <w:rPr>
                <w:rFonts w:cs="Arial"/>
              </w:rPr>
              <w:t xml:space="preserve"> (Finance)</w:t>
            </w:r>
          </w:p>
          <w:p w:rsidR="00A710A1" w:rsidRPr="00721B34" w:rsidRDefault="00A710A1" w:rsidP="00462371">
            <w:pPr>
              <w:rPr>
                <w:rFonts w:cs="Arial"/>
                <w:b/>
              </w:rPr>
            </w:pPr>
          </w:p>
          <w:p w:rsidR="00462371" w:rsidRPr="00721B34" w:rsidRDefault="00462371" w:rsidP="00462371">
            <w:pPr>
              <w:rPr>
                <w:rFonts w:cs="Arial"/>
                <w:b/>
              </w:rPr>
            </w:pPr>
          </w:p>
        </w:tc>
        <w:tc>
          <w:tcPr>
            <w:tcW w:w="3370" w:type="dxa"/>
          </w:tcPr>
          <w:p w:rsidR="00462371" w:rsidRPr="00721B34" w:rsidRDefault="00462371" w:rsidP="00553269">
            <w:pPr>
              <w:pStyle w:val="Header"/>
              <w:tabs>
                <w:tab w:val="clear" w:pos="4320"/>
                <w:tab w:val="clear" w:pos="8640"/>
              </w:tabs>
              <w:rPr>
                <w:rFonts w:cs="Arial"/>
                <w:b/>
              </w:rPr>
            </w:pPr>
            <w:r w:rsidRPr="00721B34">
              <w:rPr>
                <w:rFonts w:cs="Arial"/>
                <w:b/>
              </w:rPr>
              <w:t>Contact Details:</w:t>
            </w:r>
          </w:p>
          <w:p w:rsidR="00462371" w:rsidRPr="00721B34" w:rsidRDefault="00462371" w:rsidP="00462371">
            <w:pPr>
              <w:rPr>
                <w:rFonts w:cs="Arial"/>
                <w:color w:val="000000"/>
              </w:rPr>
            </w:pPr>
            <w:r w:rsidRPr="00721B34">
              <w:rPr>
                <w:rFonts w:cs="Arial"/>
              </w:rPr>
              <w:t xml:space="preserve">Tel: 020 </w:t>
            </w:r>
            <w:r w:rsidR="004F787C" w:rsidRPr="00721B34">
              <w:rPr>
                <w:rFonts w:cs="Arial"/>
                <w:color w:val="000000"/>
              </w:rPr>
              <w:t xml:space="preserve">8724 </w:t>
            </w:r>
            <w:r w:rsidR="002434F6" w:rsidRPr="00721B34">
              <w:rPr>
                <w:rFonts w:cs="Arial"/>
                <w:color w:val="000000"/>
              </w:rPr>
              <w:t>2250</w:t>
            </w:r>
          </w:p>
          <w:p w:rsidR="00462371" w:rsidRPr="00721B34" w:rsidRDefault="00462371" w:rsidP="002434F6">
            <w:pPr>
              <w:rPr>
                <w:rFonts w:cs="Arial"/>
                <w:color w:val="000000"/>
              </w:rPr>
            </w:pPr>
            <w:r w:rsidRPr="00721B34">
              <w:rPr>
                <w:rFonts w:cs="Arial"/>
              </w:rPr>
              <w:t xml:space="preserve">E-mail: </w:t>
            </w:r>
            <w:r w:rsidR="002434F6" w:rsidRPr="00721B34">
              <w:rPr>
                <w:rFonts w:cs="Arial"/>
              </w:rPr>
              <w:t>daksha.chauhan</w:t>
            </w:r>
            <w:r w:rsidR="004F787C" w:rsidRPr="00721B34">
              <w:rPr>
                <w:rFonts w:cs="Arial"/>
                <w:color w:val="000000"/>
              </w:rPr>
              <w:t>@lbbd.gov.uk</w:t>
            </w:r>
          </w:p>
        </w:tc>
      </w:tr>
      <w:tr w:rsidR="00462371" w:rsidRPr="00553269" w:rsidTr="00553269">
        <w:tc>
          <w:tcPr>
            <w:tcW w:w="9857" w:type="dxa"/>
            <w:gridSpan w:val="2"/>
          </w:tcPr>
          <w:p w:rsidR="00462371" w:rsidRPr="00721B34" w:rsidRDefault="00D17978" w:rsidP="00D17978">
            <w:pPr>
              <w:rPr>
                <w:rFonts w:cs="Arial"/>
              </w:rPr>
            </w:pPr>
            <w:r w:rsidRPr="00721B34">
              <w:rPr>
                <w:rFonts w:cs="Arial"/>
                <w:b/>
              </w:rPr>
              <w:t xml:space="preserve">Accountable </w:t>
            </w:r>
            <w:r w:rsidR="00A45DB2">
              <w:rPr>
                <w:rFonts w:cs="Arial"/>
                <w:b/>
              </w:rPr>
              <w:t>Oper</w:t>
            </w:r>
            <w:r w:rsidR="005A06A8">
              <w:rPr>
                <w:rFonts w:cs="Arial"/>
                <w:b/>
              </w:rPr>
              <w:t>a</w:t>
            </w:r>
            <w:r w:rsidR="00A45DB2">
              <w:rPr>
                <w:rFonts w:cs="Arial"/>
                <w:b/>
              </w:rPr>
              <w:t>tional</w:t>
            </w:r>
            <w:r w:rsidRPr="00721B34">
              <w:rPr>
                <w:rFonts w:cs="Arial"/>
                <w:b/>
              </w:rPr>
              <w:t xml:space="preserve"> Director:</w:t>
            </w:r>
            <w:r w:rsidR="004F787C" w:rsidRPr="00721B34">
              <w:rPr>
                <w:rFonts w:cs="Arial"/>
                <w:b/>
              </w:rPr>
              <w:t xml:space="preserve"> </w:t>
            </w:r>
            <w:r w:rsidR="004F787C" w:rsidRPr="00721B34">
              <w:rPr>
                <w:rFonts w:cs="Arial"/>
              </w:rPr>
              <w:t xml:space="preserve">Jane Hargreaves – </w:t>
            </w:r>
            <w:r w:rsidR="00A45DB2">
              <w:rPr>
                <w:rFonts w:cs="Arial"/>
              </w:rPr>
              <w:t>Commissioning Director for Education Youth and Childcare</w:t>
            </w:r>
          </w:p>
        </w:tc>
      </w:tr>
      <w:tr w:rsidR="00462371" w:rsidRPr="00553269" w:rsidTr="00F2521E">
        <w:trPr>
          <w:trHeight w:val="347"/>
        </w:trPr>
        <w:tc>
          <w:tcPr>
            <w:tcW w:w="9857" w:type="dxa"/>
            <w:gridSpan w:val="2"/>
          </w:tcPr>
          <w:p w:rsidR="00462371" w:rsidRPr="00721B34" w:rsidRDefault="00D17978" w:rsidP="00D17978">
            <w:pPr>
              <w:rPr>
                <w:rFonts w:cs="Arial"/>
              </w:rPr>
            </w:pPr>
            <w:r w:rsidRPr="00721B34">
              <w:rPr>
                <w:rFonts w:cs="Arial"/>
                <w:b/>
              </w:rPr>
              <w:t xml:space="preserve">Accountable </w:t>
            </w:r>
            <w:r w:rsidR="00A45DB2">
              <w:rPr>
                <w:rFonts w:cs="Arial"/>
                <w:b/>
              </w:rPr>
              <w:t xml:space="preserve">Strategic </w:t>
            </w:r>
            <w:r w:rsidRPr="00721B34">
              <w:rPr>
                <w:rFonts w:cs="Arial"/>
                <w:b/>
              </w:rPr>
              <w:t>Director:</w:t>
            </w:r>
            <w:r w:rsidR="004F787C" w:rsidRPr="00721B34">
              <w:rPr>
                <w:rFonts w:cs="Arial"/>
                <w:b/>
              </w:rPr>
              <w:t xml:space="preserve"> </w:t>
            </w:r>
            <w:r w:rsidR="00A45DB2">
              <w:rPr>
                <w:rFonts w:cs="Arial"/>
              </w:rPr>
              <w:t>Anne Bristow</w:t>
            </w:r>
            <w:r w:rsidR="004F787C" w:rsidRPr="00721B34">
              <w:rPr>
                <w:rFonts w:cs="Arial"/>
              </w:rPr>
              <w:t xml:space="preserve"> – </w:t>
            </w:r>
            <w:r w:rsidR="00A45DB2">
              <w:rPr>
                <w:rFonts w:cs="Arial"/>
              </w:rPr>
              <w:t>Strategic Director for Service Development and Integration</w:t>
            </w:r>
          </w:p>
        </w:tc>
      </w:tr>
      <w:tr w:rsidR="00424A8E" w:rsidRPr="00553269" w:rsidTr="00553269">
        <w:tc>
          <w:tcPr>
            <w:tcW w:w="9857" w:type="dxa"/>
            <w:gridSpan w:val="2"/>
            <w:tcBorders>
              <w:bottom w:val="single" w:sz="4" w:space="0" w:color="auto"/>
            </w:tcBorders>
          </w:tcPr>
          <w:p w:rsidR="009A6F59" w:rsidRPr="00721B34" w:rsidRDefault="00424A8E" w:rsidP="00F7272A">
            <w:pPr>
              <w:rPr>
                <w:rFonts w:cs="Arial"/>
              </w:rPr>
            </w:pPr>
            <w:r w:rsidRPr="00721B34">
              <w:rPr>
                <w:rFonts w:cs="Arial"/>
                <w:b/>
              </w:rPr>
              <w:t xml:space="preserve">Summary: </w:t>
            </w:r>
            <w:r w:rsidR="000E5DAE" w:rsidRPr="00721B34">
              <w:rPr>
                <w:rFonts w:cs="Arial"/>
              </w:rPr>
              <w:t xml:space="preserve">The purpose of this report is to update </w:t>
            </w:r>
            <w:r w:rsidR="008726BA" w:rsidRPr="00721B34">
              <w:rPr>
                <w:rFonts w:cs="Arial"/>
              </w:rPr>
              <w:t xml:space="preserve">the Barking and Dagenham Schools </w:t>
            </w:r>
            <w:r w:rsidR="000E5DAE" w:rsidRPr="00721B34">
              <w:rPr>
                <w:rFonts w:cs="Arial"/>
              </w:rPr>
              <w:t>Forum on:</w:t>
            </w:r>
          </w:p>
          <w:p w:rsidR="005C3D1C" w:rsidRPr="00721B34" w:rsidRDefault="0083246D" w:rsidP="0081076B">
            <w:pPr>
              <w:numPr>
                <w:ilvl w:val="0"/>
                <w:numId w:val="4"/>
              </w:numPr>
              <w:ind w:left="993" w:hanging="567"/>
              <w:rPr>
                <w:rFonts w:cs="Arial"/>
              </w:rPr>
            </w:pPr>
            <w:r w:rsidRPr="00721B34">
              <w:rPr>
                <w:rFonts w:cs="Arial"/>
              </w:rPr>
              <w:t>(Background)</w:t>
            </w:r>
          </w:p>
          <w:p w:rsidR="00954DF3" w:rsidRPr="00721B34" w:rsidRDefault="003C16AB" w:rsidP="00166E5E">
            <w:pPr>
              <w:numPr>
                <w:ilvl w:val="0"/>
                <w:numId w:val="4"/>
              </w:numPr>
              <w:ind w:left="993" w:hanging="567"/>
              <w:rPr>
                <w:rFonts w:cs="Arial"/>
              </w:rPr>
            </w:pPr>
            <w:r w:rsidRPr="00721B34">
              <w:rPr>
                <w:rFonts w:cs="Arial"/>
              </w:rPr>
              <w:t>The Dedicated schools Grant 20</w:t>
            </w:r>
            <w:r w:rsidR="003F6B28" w:rsidRPr="00721B34">
              <w:rPr>
                <w:rFonts w:cs="Arial"/>
              </w:rPr>
              <w:t>1</w:t>
            </w:r>
            <w:r w:rsidR="00064AE1">
              <w:rPr>
                <w:rFonts w:cs="Arial"/>
              </w:rPr>
              <w:t>7</w:t>
            </w:r>
            <w:r w:rsidR="0030133F" w:rsidRPr="00721B34">
              <w:rPr>
                <w:rFonts w:cs="Arial"/>
              </w:rPr>
              <w:t>-1</w:t>
            </w:r>
            <w:r w:rsidR="00064AE1">
              <w:rPr>
                <w:rFonts w:cs="Arial"/>
              </w:rPr>
              <w:t>8</w:t>
            </w:r>
            <w:r w:rsidR="0030133F" w:rsidRPr="00721B34">
              <w:rPr>
                <w:rFonts w:cs="Arial"/>
              </w:rPr>
              <w:t xml:space="preserve"> Forecast Outturn</w:t>
            </w:r>
            <w:r w:rsidR="00954DF3" w:rsidRPr="00721B34">
              <w:rPr>
                <w:rFonts w:cs="Arial"/>
              </w:rPr>
              <w:t>.</w:t>
            </w:r>
          </w:p>
          <w:p w:rsidR="0030133F" w:rsidRPr="00721B34" w:rsidRDefault="0030133F" w:rsidP="0030133F">
            <w:pPr>
              <w:numPr>
                <w:ilvl w:val="0"/>
                <w:numId w:val="4"/>
              </w:numPr>
              <w:ind w:left="993" w:hanging="567"/>
              <w:rPr>
                <w:rFonts w:cs="Arial"/>
              </w:rPr>
            </w:pPr>
            <w:r w:rsidRPr="00721B34">
              <w:rPr>
                <w:rFonts w:cs="Arial"/>
              </w:rPr>
              <w:t>The Dedicated schools Grant 201</w:t>
            </w:r>
            <w:r w:rsidR="00064AE1">
              <w:rPr>
                <w:rFonts w:cs="Arial"/>
              </w:rPr>
              <w:t>8</w:t>
            </w:r>
            <w:r w:rsidRPr="00721B34">
              <w:rPr>
                <w:rFonts w:cs="Arial"/>
              </w:rPr>
              <w:t>-1</w:t>
            </w:r>
            <w:r w:rsidR="00064AE1">
              <w:rPr>
                <w:rFonts w:cs="Arial"/>
              </w:rPr>
              <w:t>9</w:t>
            </w:r>
            <w:r w:rsidRPr="00721B34">
              <w:rPr>
                <w:rFonts w:cs="Arial"/>
              </w:rPr>
              <w:t xml:space="preserve"> Allocations.</w:t>
            </w:r>
          </w:p>
          <w:p w:rsidR="00632A37" w:rsidRPr="00721B34" w:rsidRDefault="00064AE1" w:rsidP="00166E5E">
            <w:pPr>
              <w:numPr>
                <w:ilvl w:val="0"/>
                <w:numId w:val="4"/>
              </w:numPr>
              <w:ind w:left="993" w:hanging="567"/>
              <w:rPr>
                <w:rFonts w:cs="Arial"/>
              </w:rPr>
            </w:pPr>
            <w:r>
              <w:rPr>
                <w:rFonts w:cs="Arial"/>
              </w:rPr>
              <w:t xml:space="preserve">Update on </w:t>
            </w:r>
            <w:r w:rsidR="0030133F" w:rsidRPr="00721B34">
              <w:rPr>
                <w:rFonts w:cs="Arial"/>
              </w:rPr>
              <w:t>De-Delegation</w:t>
            </w:r>
            <w:r w:rsidR="00C63665" w:rsidRPr="00721B34">
              <w:rPr>
                <w:rFonts w:cs="Arial"/>
              </w:rPr>
              <w:t xml:space="preserve"> </w:t>
            </w:r>
          </w:p>
          <w:p w:rsidR="0067198E" w:rsidRPr="00721B34" w:rsidRDefault="0030133F" w:rsidP="00166E5E">
            <w:pPr>
              <w:numPr>
                <w:ilvl w:val="0"/>
                <w:numId w:val="4"/>
              </w:numPr>
              <w:ind w:left="993" w:hanging="567"/>
              <w:rPr>
                <w:rFonts w:cs="Arial"/>
              </w:rPr>
            </w:pPr>
            <w:r w:rsidRPr="00721B34">
              <w:rPr>
                <w:rFonts w:cs="Arial"/>
              </w:rPr>
              <w:t>Final Schools Funding Formula</w:t>
            </w:r>
            <w:r w:rsidR="003F6B28" w:rsidRPr="00721B34">
              <w:rPr>
                <w:rFonts w:cs="Arial"/>
              </w:rPr>
              <w:t xml:space="preserve"> 201</w:t>
            </w:r>
            <w:r w:rsidR="00064AE1">
              <w:rPr>
                <w:rFonts w:cs="Arial"/>
              </w:rPr>
              <w:t>8</w:t>
            </w:r>
            <w:r w:rsidR="003F6B28" w:rsidRPr="00721B34">
              <w:rPr>
                <w:rFonts w:cs="Arial"/>
              </w:rPr>
              <w:t>-1</w:t>
            </w:r>
            <w:r w:rsidR="00064AE1">
              <w:rPr>
                <w:rFonts w:cs="Arial"/>
              </w:rPr>
              <w:t>9</w:t>
            </w:r>
          </w:p>
          <w:p w:rsidR="0005699A" w:rsidRPr="00721B34" w:rsidRDefault="00317452" w:rsidP="004760F2">
            <w:pPr>
              <w:numPr>
                <w:ilvl w:val="0"/>
                <w:numId w:val="4"/>
              </w:numPr>
              <w:ind w:left="993" w:hanging="567"/>
              <w:rPr>
                <w:rFonts w:cs="Arial"/>
              </w:rPr>
            </w:pPr>
            <w:r w:rsidRPr="00721B34">
              <w:rPr>
                <w:rFonts w:cs="Arial"/>
              </w:rPr>
              <w:t xml:space="preserve">High Needs – Proposed Budget </w:t>
            </w:r>
            <w:r w:rsidR="00761B82" w:rsidRPr="00721B34">
              <w:rPr>
                <w:rFonts w:cs="Arial"/>
              </w:rPr>
              <w:t>201</w:t>
            </w:r>
            <w:r w:rsidR="00064AE1">
              <w:rPr>
                <w:rFonts w:cs="Arial"/>
              </w:rPr>
              <w:t>8</w:t>
            </w:r>
            <w:r w:rsidRPr="00721B34">
              <w:rPr>
                <w:rFonts w:cs="Arial"/>
              </w:rPr>
              <w:t>-1</w:t>
            </w:r>
            <w:r w:rsidR="00064AE1">
              <w:rPr>
                <w:rFonts w:cs="Arial"/>
              </w:rPr>
              <w:t>9</w:t>
            </w:r>
            <w:r w:rsidR="003C16AB" w:rsidRPr="00721B34">
              <w:rPr>
                <w:rFonts w:cs="Arial"/>
              </w:rPr>
              <w:t xml:space="preserve"> </w:t>
            </w:r>
          </w:p>
          <w:p w:rsidR="00E35BC8" w:rsidRDefault="00317452" w:rsidP="004760F2">
            <w:pPr>
              <w:numPr>
                <w:ilvl w:val="0"/>
                <w:numId w:val="4"/>
              </w:numPr>
              <w:ind w:left="993" w:hanging="567"/>
              <w:rPr>
                <w:rFonts w:cs="Arial"/>
              </w:rPr>
            </w:pPr>
            <w:r w:rsidRPr="00721B34">
              <w:rPr>
                <w:rFonts w:cs="Arial"/>
              </w:rPr>
              <w:t>Early Years National Funding Formula</w:t>
            </w:r>
          </w:p>
          <w:p w:rsidR="003A44FA" w:rsidRPr="00721B34" w:rsidRDefault="00317452" w:rsidP="003A44FA">
            <w:pPr>
              <w:numPr>
                <w:ilvl w:val="0"/>
                <w:numId w:val="4"/>
              </w:numPr>
              <w:ind w:left="993" w:hanging="567"/>
              <w:rPr>
                <w:rFonts w:cs="Arial"/>
              </w:rPr>
            </w:pPr>
            <w:r w:rsidRPr="00721B34">
              <w:rPr>
                <w:rFonts w:cs="Arial"/>
              </w:rPr>
              <w:t>Early Closure of Accounts</w:t>
            </w:r>
          </w:p>
          <w:p w:rsidR="005E3416" w:rsidRPr="00DD34BC" w:rsidRDefault="005E3416" w:rsidP="00064AE1">
            <w:pPr>
              <w:rPr>
                <w:rFonts w:cs="Arial"/>
              </w:rPr>
            </w:pPr>
          </w:p>
        </w:tc>
      </w:tr>
      <w:tr w:rsidR="009771A2" w:rsidRPr="00553269" w:rsidTr="00553269">
        <w:tc>
          <w:tcPr>
            <w:tcW w:w="9857" w:type="dxa"/>
            <w:gridSpan w:val="2"/>
            <w:tcBorders>
              <w:top w:val="single" w:sz="4" w:space="0" w:color="auto"/>
              <w:bottom w:val="nil"/>
            </w:tcBorders>
          </w:tcPr>
          <w:p w:rsidR="00C96A66" w:rsidRPr="00721B34" w:rsidRDefault="009771A2" w:rsidP="00C96A66">
            <w:pPr>
              <w:autoSpaceDE w:val="0"/>
              <w:autoSpaceDN w:val="0"/>
              <w:adjustRightInd w:val="0"/>
              <w:rPr>
                <w:rFonts w:cs="Arial"/>
                <w:b/>
              </w:rPr>
            </w:pPr>
            <w:r w:rsidRPr="00721B34">
              <w:rPr>
                <w:rFonts w:cs="Arial"/>
                <w:b/>
              </w:rPr>
              <w:t>Recommendation(s)</w:t>
            </w:r>
          </w:p>
          <w:p w:rsidR="00520A46" w:rsidRPr="00721B34" w:rsidRDefault="00520A46" w:rsidP="00C96A66">
            <w:pPr>
              <w:autoSpaceDE w:val="0"/>
              <w:autoSpaceDN w:val="0"/>
              <w:adjustRightInd w:val="0"/>
              <w:rPr>
                <w:rFonts w:cs="Arial"/>
              </w:rPr>
            </w:pPr>
            <w:r w:rsidRPr="00721B34">
              <w:rPr>
                <w:rFonts w:cs="Arial"/>
              </w:rPr>
              <w:t>The School</w:t>
            </w:r>
            <w:r w:rsidR="008726BA" w:rsidRPr="00721B34">
              <w:rPr>
                <w:rFonts w:cs="Arial"/>
              </w:rPr>
              <w:t>s</w:t>
            </w:r>
            <w:r w:rsidRPr="00721B34">
              <w:rPr>
                <w:rFonts w:cs="Arial"/>
              </w:rPr>
              <w:t xml:space="preserve"> Forum is asked:</w:t>
            </w:r>
          </w:p>
          <w:p w:rsidR="00CE731E" w:rsidRPr="00721B34" w:rsidRDefault="00CE731E" w:rsidP="00CE731E">
            <w:pPr>
              <w:numPr>
                <w:ilvl w:val="0"/>
                <w:numId w:val="3"/>
              </w:numPr>
              <w:autoSpaceDE w:val="0"/>
              <w:autoSpaceDN w:val="0"/>
              <w:adjustRightInd w:val="0"/>
              <w:ind w:left="993" w:hanging="633"/>
              <w:rPr>
                <w:rFonts w:cs="Arial"/>
              </w:rPr>
            </w:pPr>
            <w:r w:rsidRPr="00721B34">
              <w:rPr>
                <w:rFonts w:cs="Arial"/>
              </w:rPr>
              <w:t xml:space="preserve">To </w:t>
            </w:r>
            <w:r w:rsidR="00317452" w:rsidRPr="00721B34">
              <w:rPr>
                <w:rFonts w:cs="Arial"/>
              </w:rPr>
              <w:t xml:space="preserve">note DSG outturn position </w:t>
            </w:r>
            <w:r w:rsidRPr="00721B34">
              <w:rPr>
                <w:rFonts w:cs="Arial"/>
              </w:rPr>
              <w:t>for 201</w:t>
            </w:r>
            <w:r w:rsidR="00064AE1">
              <w:rPr>
                <w:rFonts w:cs="Arial"/>
              </w:rPr>
              <w:t>7</w:t>
            </w:r>
            <w:r w:rsidRPr="00721B34">
              <w:rPr>
                <w:rFonts w:cs="Arial"/>
              </w:rPr>
              <w:t>-</w:t>
            </w:r>
            <w:r w:rsidR="002434F6" w:rsidRPr="00721B34">
              <w:rPr>
                <w:rFonts w:cs="Arial"/>
              </w:rPr>
              <w:t>1</w:t>
            </w:r>
            <w:r w:rsidR="00064AE1">
              <w:rPr>
                <w:rFonts w:cs="Arial"/>
              </w:rPr>
              <w:t>8</w:t>
            </w:r>
            <w:r w:rsidR="00317452" w:rsidRPr="00721B34">
              <w:rPr>
                <w:rFonts w:cs="Arial"/>
              </w:rPr>
              <w:t>.</w:t>
            </w:r>
          </w:p>
          <w:p w:rsidR="00317452" w:rsidRPr="00721B34" w:rsidRDefault="00317452" w:rsidP="00CE731E">
            <w:pPr>
              <w:numPr>
                <w:ilvl w:val="0"/>
                <w:numId w:val="3"/>
              </w:numPr>
              <w:autoSpaceDE w:val="0"/>
              <w:autoSpaceDN w:val="0"/>
              <w:adjustRightInd w:val="0"/>
              <w:ind w:left="993" w:hanging="633"/>
              <w:rPr>
                <w:rFonts w:cs="Arial"/>
              </w:rPr>
            </w:pPr>
            <w:r w:rsidRPr="00721B34">
              <w:rPr>
                <w:rFonts w:cs="Arial"/>
              </w:rPr>
              <w:t>To note DSG allocations for 201</w:t>
            </w:r>
            <w:r w:rsidR="00064AE1">
              <w:rPr>
                <w:rFonts w:cs="Arial"/>
              </w:rPr>
              <w:t>8</w:t>
            </w:r>
            <w:r w:rsidRPr="00721B34">
              <w:rPr>
                <w:rFonts w:cs="Arial"/>
              </w:rPr>
              <w:t>-1</w:t>
            </w:r>
            <w:r w:rsidR="00064AE1">
              <w:rPr>
                <w:rFonts w:cs="Arial"/>
              </w:rPr>
              <w:t>9.</w:t>
            </w:r>
          </w:p>
          <w:p w:rsidR="00C63665" w:rsidRPr="00721B34" w:rsidRDefault="00C63665" w:rsidP="00CE731E">
            <w:pPr>
              <w:numPr>
                <w:ilvl w:val="0"/>
                <w:numId w:val="3"/>
              </w:numPr>
              <w:autoSpaceDE w:val="0"/>
              <w:autoSpaceDN w:val="0"/>
              <w:adjustRightInd w:val="0"/>
              <w:ind w:left="993" w:hanging="633"/>
              <w:rPr>
                <w:rFonts w:cs="Arial"/>
              </w:rPr>
            </w:pPr>
            <w:r w:rsidRPr="00721B34">
              <w:rPr>
                <w:rFonts w:cs="Arial"/>
                <w:bCs/>
              </w:rPr>
              <w:t xml:space="preserve">To </w:t>
            </w:r>
            <w:r w:rsidR="00317452" w:rsidRPr="00721B34">
              <w:rPr>
                <w:rFonts w:cs="Arial"/>
                <w:bCs/>
              </w:rPr>
              <w:t xml:space="preserve">agree </w:t>
            </w:r>
            <w:r w:rsidR="00064AE1">
              <w:rPr>
                <w:rFonts w:cs="Arial"/>
                <w:bCs/>
              </w:rPr>
              <w:t xml:space="preserve">the updated </w:t>
            </w:r>
            <w:r w:rsidR="00317452" w:rsidRPr="00721B34">
              <w:rPr>
                <w:rFonts w:cs="Arial"/>
                <w:bCs/>
              </w:rPr>
              <w:t>per</w:t>
            </w:r>
            <w:r w:rsidRPr="00721B34">
              <w:rPr>
                <w:rFonts w:cs="Arial"/>
              </w:rPr>
              <w:t xml:space="preserve"> pupil de-delegated</w:t>
            </w:r>
            <w:r w:rsidR="00064AE1">
              <w:rPr>
                <w:rFonts w:cs="Arial"/>
              </w:rPr>
              <w:t xml:space="preserve"> amounts</w:t>
            </w:r>
            <w:r w:rsidR="00317452" w:rsidRPr="00721B34">
              <w:rPr>
                <w:rFonts w:cs="Arial"/>
              </w:rPr>
              <w:t>.</w:t>
            </w:r>
          </w:p>
          <w:p w:rsidR="00317452" w:rsidRPr="00721B34" w:rsidRDefault="00575B31" w:rsidP="00CE731E">
            <w:pPr>
              <w:numPr>
                <w:ilvl w:val="0"/>
                <w:numId w:val="3"/>
              </w:numPr>
              <w:autoSpaceDE w:val="0"/>
              <w:autoSpaceDN w:val="0"/>
              <w:adjustRightInd w:val="0"/>
              <w:ind w:left="993" w:hanging="633"/>
              <w:rPr>
                <w:rFonts w:cs="Arial"/>
              </w:rPr>
            </w:pPr>
            <w:r w:rsidRPr="00721B34">
              <w:rPr>
                <w:rFonts w:cs="Arial"/>
              </w:rPr>
              <w:t>Agree t</w:t>
            </w:r>
            <w:r w:rsidR="00317452" w:rsidRPr="00721B34">
              <w:rPr>
                <w:rFonts w:cs="Arial"/>
              </w:rPr>
              <w:t>he final School Funding model</w:t>
            </w:r>
            <w:r w:rsidR="00064AE1">
              <w:rPr>
                <w:rFonts w:cs="Arial"/>
              </w:rPr>
              <w:t>.</w:t>
            </w:r>
          </w:p>
          <w:p w:rsidR="00575B31" w:rsidRPr="00721B34" w:rsidRDefault="00226594" w:rsidP="00CE731E">
            <w:pPr>
              <w:numPr>
                <w:ilvl w:val="0"/>
                <w:numId w:val="3"/>
              </w:numPr>
              <w:autoSpaceDE w:val="0"/>
              <w:autoSpaceDN w:val="0"/>
              <w:adjustRightInd w:val="0"/>
              <w:ind w:left="993" w:hanging="633"/>
              <w:rPr>
                <w:rFonts w:cs="Arial"/>
              </w:rPr>
            </w:pPr>
            <w:r w:rsidRPr="00721B34">
              <w:rPr>
                <w:rFonts w:cs="Arial"/>
              </w:rPr>
              <w:t>Note the proposed High Needs Budget</w:t>
            </w:r>
            <w:r w:rsidR="00575B31" w:rsidRPr="00721B34">
              <w:rPr>
                <w:rFonts w:cs="Arial"/>
              </w:rPr>
              <w:t>.</w:t>
            </w:r>
          </w:p>
          <w:p w:rsidR="00226594" w:rsidRPr="00721B34" w:rsidRDefault="00226594" w:rsidP="00CF3B20">
            <w:pPr>
              <w:numPr>
                <w:ilvl w:val="0"/>
                <w:numId w:val="3"/>
              </w:numPr>
              <w:autoSpaceDE w:val="0"/>
              <w:autoSpaceDN w:val="0"/>
              <w:adjustRightInd w:val="0"/>
              <w:ind w:left="993" w:hanging="633"/>
              <w:rPr>
                <w:rFonts w:cs="Arial"/>
              </w:rPr>
            </w:pPr>
            <w:r w:rsidRPr="00721B34">
              <w:rPr>
                <w:rFonts w:cs="Arial"/>
              </w:rPr>
              <w:t>Note the impact of the Early Years National Funding Formula</w:t>
            </w:r>
            <w:r w:rsidR="00064AE1">
              <w:rPr>
                <w:rFonts w:cs="Arial"/>
              </w:rPr>
              <w:t>.</w:t>
            </w:r>
          </w:p>
          <w:p w:rsidR="00226594" w:rsidRDefault="00226594" w:rsidP="00995538">
            <w:pPr>
              <w:numPr>
                <w:ilvl w:val="0"/>
                <w:numId w:val="3"/>
              </w:numPr>
              <w:autoSpaceDE w:val="0"/>
              <w:autoSpaceDN w:val="0"/>
              <w:adjustRightInd w:val="0"/>
              <w:ind w:left="993" w:hanging="633"/>
              <w:rPr>
                <w:rFonts w:cs="Arial"/>
              </w:rPr>
            </w:pPr>
            <w:r w:rsidRPr="00721B34">
              <w:rPr>
                <w:rFonts w:cs="Arial"/>
              </w:rPr>
              <w:t>Note the proposals for the early closure of accounts</w:t>
            </w:r>
            <w:r w:rsidR="00064AE1">
              <w:rPr>
                <w:rFonts w:cs="Arial"/>
              </w:rPr>
              <w:t>.</w:t>
            </w:r>
          </w:p>
          <w:p w:rsidR="00064AE1" w:rsidRPr="00721B34" w:rsidRDefault="00064AE1" w:rsidP="002846E7">
            <w:pPr>
              <w:autoSpaceDE w:val="0"/>
              <w:autoSpaceDN w:val="0"/>
              <w:adjustRightInd w:val="0"/>
              <w:ind w:left="360"/>
              <w:rPr>
                <w:rFonts w:cs="Arial"/>
              </w:rPr>
            </w:pPr>
          </w:p>
        </w:tc>
      </w:tr>
      <w:tr w:rsidR="009771A2" w:rsidRPr="00553269" w:rsidTr="00553269">
        <w:tc>
          <w:tcPr>
            <w:tcW w:w="9857" w:type="dxa"/>
            <w:gridSpan w:val="2"/>
            <w:tcBorders>
              <w:top w:val="nil"/>
              <w:bottom w:val="single" w:sz="4" w:space="0" w:color="auto"/>
            </w:tcBorders>
          </w:tcPr>
          <w:p w:rsidR="00765B07" w:rsidRPr="00721B34" w:rsidRDefault="00765B07" w:rsidP="00E7688F">
            <w:pPr>
              <w:ind w:left="720"/>
              <w:rPr>
                <w:rFonts w:cs="Arial"/>
              </w:rPr>
            </w:pPr>
          </w:p>
        </w:tc>
      </w:tr>
      <w:tr w:rsidR="009771A2" w:rsidRPr="00553269" w:rsidTr="00553269">
        <w:tc>
          <w:tcPr>
            <w:tcW w:w="9857" w:type="dxa"/>
            <w:gridSpan w:val="2"/>
            <w:tcBorders>
              <w:bottom w:val="nil"/>
            </w:tcBorders>
          </w:tcPr>
          <w:p w:rsidR="009771A2" w:rsidRPr="00721B34" w:rsidRDefault="009771A2" w:rsidP="00F62747">
            <w:pPr>
              <w:rPr>
                <w:rFonts w:cs="Arial"/>
                <w:b/>
              </w:rPr>
            </w:pPr>
            <w:r w:rsidRPr="00721B34">
              <w:rPr>
                <w:rFonts w:cs="Arial"/>
                <w:b/>
              </w:rPr>
              <w:t>Reason(s)</w:t>
            </w:r>
          </w:p>
        </w:tc>
      </w:tr>
      <w:tr w:rsidR="009771A2" w:rsidRPr="00553269" w:rsidTr="00553269">
        <w:tc>
          <w:tcPr>
            <w:tcW w:w="9857" w:type="dxa"/>
            <w:gridSpan w:val="2"/>
            <w:tcBorders>
              <w:top w:val="nil"/>
            </w:tcBorders>
          </w:tcPr>
          <w:p w:rsidR="009771A2" w:rsidRPr="00721B34" w:rsidRDefault="006262A7" w:rsidP="006262A7">
            <w:pPr>
              <w:rPr>
                <w:rFonts w:cs="Arial"/>
              </w:rPr>
            </w:pPr>
            <w:r w:rsidRPr="00721B34">
              <w:rPr>
                <w:rFonts w:cs="Arial"/>
              </w:rPr>
              <w:t>None</w:t>
            </w:r>
          </w:p>
        </w:tc>
      </w:tr>
    </w:tbl>
    <w:p w:rsidR="009A0F2F" w:rsidRPr="00411851" w:rsidRDefault="00C43EE1" w:rsidP="00575B31">
      <w:pPr>
        <w:tabs>
          <w:tab w:val="left" w:pos="0"/>
        </w:tabs>
        <w:rPr>
          <w:rFonts w:cs="Arial"/>
          <w:b/>
        </w:rPr>
      </w:pPr>
      <w:r>
        <w:rPr>
          <w:rFonts w:cs="Arial"/>
        </w:rPr>
        <w:br w:type="page"/>
      </w:r>
      <w:r w:rsidR="00411851" w:rsidRPr="00411851">
        <w:rPr>
          <w:rFonts w:cs="Arial"/>
          <w:b/>
        </w:rPr>
        <w:lastRenderedPageBreak/>
        <w:t>1</w:t>
      </w:r>
      <w:r w:rsidR="00411851">
        <w:rPr>
          <w:rFonts w:cs="Arial"/>
          <w:b/>
        </w:rPr>
        <w:t>.</w:t>
      </w:r>
      <w:r w:rsidR="00411851" w:rsidRPr="00411851">
        <w:rPr>
          <w:rFonts w:cs="Arial"/>
          <w:b/>
        </w:rPr>
        <w:tab/>
      </w:r>
      <w:r w:rsidR="00E7688F" w:rsidRPr="00411851">
        <w:rPr>
          <w:rFonts w:cs="Arial"/>
          <w:b/>
        </w:rPr>
        <w:t>Introduction and Background</w:t>
      </w:r>
    </w:p>
    <w:p w:rsidR="009A0F2F" w:rsidRPr="00242399" w:rsidRDefault="009A0F2F" w:rsidP="00F7272A">
      <w:pPr>
        <w:rPr>
          <w:rFonts w:cs="Arial"/>
        </w:rPr>
      </w:pPr>
    </w:p>
    <w:p w:rsidR="00CA5E3F" w:rsidRPr="00D90D2E" w:rsidRDefault="00CA5E3F" w:rsidP="00166E5E">
      <w:pPr>
        <w:numPr>
          <w:ilvl w:val="1"/>
          <w:numId w:val="2"/>
        </w:numPr>
        <w:tabs>
          <w:tab w:val="clear" w:pos="360"/>
          <w:tab w:val="num" w:pos="-567"/>
        </w:tabs>
        <w:ind w:left="709" w:hanging="709"/>
        <w:jc w:val="both"/>
        <w:rPr>
          <w:rFonts w:cs="Arial"/>
          <w:color w:val="000000"/>
        </w:rPr>
      </w:pPr>
      <w:r>
        <w:rPr>
          <w:rFonts w:cs="Arial"/>
        </w:rPr>
        <w:t xml:space="preserve">The School Forum is a </w:t>
      </w:r>
      <w:r w:rsidRPr="00D90D2E">
        <w:rPr>
          <w:rFonts w:cs="Arial"/>
        </w:rPr>
        <w:t>decision making and consultative body in relation to matters concerning schools’ budgets as defined in the School Finance (England) Regulations 2012</w:t>
      </w:r>
      <w:r>
        <w:rPr>
          <w:rFonts w:cs="Arial"/>
        </w:rPr>
        <w:t xml:space="preserve"> and the </w:t>
      </w:r>
      <w:r w:rsidRPr="00D90D2E">
        <w:rPr>
          <w:rFonts w:cs="Arial"/>
        </w:rPr>
        <w:t>Schools Forums (England) Regulations 2012</w:t>
      </w:r>
      <w:r w:rsidRPr="00D90D2E">
        <w:rPr>
          <w:rFonts w:cs="Arial"/>
          <w:color w:val="000000"/>
        </w:rPr>
        <w:t>.</w:t>
      </w:r>
      <w:r>
        <w:rPr>
          <w:rFonts w:cs="Arial"/>
          <w:color w:val="000000"/>
        </w:rPr>
        <w:t xml:space="preserve">  T</w:t>
      </w:r>
      <w:r w:rsidR="00383EA6">
        <w:rPr>
          <w:rFonts w:cs="Arial"/>
          <w:color w:val="000000"/>
        </w:rPr>
        <w:t>he</w:t>
      </w:r>
      <w:r>
        <w:rPr>
          <w:rFonts w:cs="Arial"/>
          <w:color w:val="000000"/>
        </w:rPr>
        <w:t xml:space="preserve"> Forum is required to meet at least four times a year.    </w:t>
      </w:r>
    </w:p>
    <w:p w:rsidR="009A0F2F" w:rsidRDefault="00CA5E3F" w:rsidP="0083323F">
      <w:pPr>
        <w:ind w:left="720" w:hanging="720"/>
        <w:rPr>
          <w:rFonts w:cs="Arial"/>
        </w:rPr>
      </w:pPr>
      <w:r>
        <w:rPr>
          <w:rFonts w:cs="Arial"/>
        </w:rPr>
        <w:t xml:space="preserve"> </w:t>
      </w:r>
      <w:r w:rsidR="006B0B04">
        <w:rPr>
          <w:rFonts w:cs="Arial"/>
        </w:rPr>
        <w:tab/>
      </w:r>
    </w:p>
    <w:p w:rsidR="00B52BD3" w:rsidRPr="00BB58E6" w:rsidRDefault="00237113" w:rsidP="0083246D">
      <w:pPr>
        <w:rPr>
          <w:rFonts w:cs="Arial"/>
        </w:rPr>
      </w:pPr>
      <w:r>
        <w:rPr>
          <w:rFonts w:cs="Arial"/>
        </w:rPr>
        <w:tab/>
      </w:r>
      <w:r w:rsidR="00657B37">
        <w:rPr>
          <w:rFonts w:cs="Arial"/>
          <w:b/>
        </w:rPr>
        <w:tab/>
      </w:r>
    </w:p>
    <w:p w:rsidR="006F49E8" w:rsidRPr="00E24839" w:rsidRDefault="006F49E8" w:rsidP="006F49E8">
      <w:pPr>
        <w:numPr>
          <w:ilvl w:val="0"/>
          <w:numId w:val="2"/>
        </w:numPr>
        <w:rPr>
          <w:rFonts w:cs="Arial"/>
          <w:b/>
          <w:u w:val="single"/>
        </w:rPr>
      </w:pPr>
      <w:r w:rsidRPr="00E24839">
        <w:rPr>
          <w:rFonts w:cs="Arial"/>
          <w:b/>
          <w:u w:val="single"/>
        </w:rPr>
        <w:t>Dedicated Schools Grant 201</w:t>
      </w:r>
      <w:r w:rsidR="00320E9A" w:rsidRPr="00E24839">
        <w:rPr>
          <w:rFonts w:cs="Arial"/>
          <w:b/>
          <w:u w:val="single"/>
        </w:rPr>
        <w:t>7</w:t>
      </w:r>
      <w:r w:rsidRPr="00E24839">
        <w:rPr>
          <w:rFonts w:cs="Arial"/>
          <w:b/>
          <w:u w:val="single"/>
        </w:rPr>
        <w:t>-1</w:t>
      </w:r>
      <w:r w:rsidR="00320E9A" w:rsidRPr="00E24839">
        <w:rPr>
          <w:rFonts w:cs="Arial"/>
          <w:b/>
          <w:u w:val="single"/>
        </w:rPr>
        <w:t>8</w:t>
      </w:r>
    </w:p>
    <w:p w:rsidR="006F49E8" w:rsidRDefault="006F49E8" w:rsidP="006F49E8">
      <w:pPr>
        <w:rPr>
          <w:rFonts w:cs="Arial"/>
          <w:b/>
        </w:rPr>
      </w:pPr>
    </w:p>
    <w:p w:rsidR="002C1B17" w:rsidRDefault="002C1B17" w:rsidP="006F49E8">
      <w:pPr>
        <w:rPr>
          <w:rFonts w:cs="Arial"/>
          <w:b/>
        </w:rPr>
      </w:pPr>
      <w:r>
        <w:rPr>
          <w:rFonts w:cs="Arial"/>
          <w:b/>
        </w:rPr>
        <w:t>Table 1</w:t>
      </w:r>
    </w:p>
    <w:p w:rsidR="008E5E22" w:rsidRDefault="008E5E22" w:rsidP="006F49E8">
      <w:pPr>
        <w:ind w:left="709" w:hanging="709"/>
        <w:rPr>
          <w:rFonts w:cs="Arial"/>
        </w:rPr>
      </w:pPr>
      <w:r w:rsidRPr="008E5E22">
        <w:rPr>
          <w:noProof/>
        </w:rPr>
        <w:drawing>
          <wp:inline distT="0" distB="0" distL="0" distR="0">
            <wp:extent cx="6358797" cy="2184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2358" cy="2212912"/>
                    </a:xfrm>
                    <a:prstGeom prst="rect">
                      <a:avLst/>
                    </a:prstGeom>
                    <a:noFill/>
                    <a:ln>
                      <a:noFill/>
                    </a:ln>
                  </pic:spPr>
                </pic:pic>
              </a:graphicData>
            </a:graphic>
          </wp:inline>
        </w:drawing>
      </w:r>
    </w:p>
    <w:p w:rsidR="008E5E22" w:rsidRDefault="008E5E22" w:rsidP="006F49E8">
      <w:pPr>
        <w:ind w:left="709" w:hanging="709"/>
        <w:rPr>
          <w:rFonts w:cs="Arial"/>
        </w:rPr>
      </w:pPr>
    </w:p>
    <w:p w:rsidR="00E60F11" w:rsidRDefault="00E60F11" w:rsidP="006F49E8">
      <w:pPr>
        <w:ind w:left="709" w:hanging="709"/>
        <w:rPr>
          <w:rFonts w:cs="Arial"/>
        </w:rPr>
      </w:pPr>
    </w:p>
    <w:p w:rsidR="00E60F11" w:rsidRPr="00E60F11" w:rsidRDefault="002C1B17" w:rsidP="00E60F11">
      <w:pPr>
        <w:rPr>
          <w:rFonts w:cs="Arial"/>
          <w:b/>
          <w:bCs/>
          <w:color w:val="000000"/>
        </w:rPr>
      </w:pPr>
      <w:r>
        <w:rPr>
          <w:rFonts w:cs="Arial"/>
          <w:b/>
          <w:bCs/>
          <w:color w:val="000000"/>
        </w:rPr>
        <w:t xml:space="preserve">Table 2: </w:t>
      </w:r>
      <w:r w:rsidR="00E60F11" w:rsidRPr="00E60F11">
        <w:rPr>
          <w:rFonts w:cs="Arial"/>
          <w:b/>
          <w:bCs/>
          <w:color w:val="000000"/>
        </w:rPr>
        <w:t>Dedicated Schools Grant 2017-18 Forecast Outturn Position after adjustments</w:t>
      </w:r>
    </w:p>
    <w:p w:rsidR="008E5E22" w:rsidRDefault="008E5E22" w:rsidP="006F49E8">
      <w:pPr>
        <w:ind w:left="709" w:hanging="709"/>
        <w:rPr>
          <w:rFonts w:cs="Arial"/>
        </w:rPr>
      </w:pPr>
    </w:p>
    <w:tbl>
      <w:tblPr>
        <w:tblW w:w="9356" w:type="dxa"/>
        <w:tblInd w:w="108" w:type="dxa"/>
        <w:tblLook w:val="04A0" w:firstRow="1" w:lastRow="0" w:firstColumn="1" w:lastColumn="0" w:noHBand="0" w:noVBand="1"/>
      </w:tblPr>
      <w:tblGrid>
        <w:gridCol w:w="778"/>
        <w:gridCol w:w="2624"/>
        <w:gridCol w:w="1701"/>
        <w:gridCol w:w="1701"/>
        <w:gridCol w:w="2552"/>
      </w:tblGrid>
      <w:tr w:rsidR="00E60F11" w:rsidRPr="00E60F11" w:rsidTr="00CB2F93">
        <w:trPr>
          <w:trHeight w:val="820"/>
        </w:trPr>
        <w:tc>
          <w:tcPr>
            <w:tcW w:w="7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60F11" w:rsidRPr="00E60F11" w:rsidRDefault="00E60F11" w:rsidP="00E60F11">
            <w:pPr>
              <w:jc w:val="center"/>
              <w:rPr>
                <w:rFonts w:cs="Arial"/>
                <w:b/>
                <w:bCs/>
                <w:color w:val="000000"/>
                <w:sz w:val="22"/>
                <w:szCs w:val="22"/>
              </w:rPr>
            </w:pPr>
            <w:r w:rsidRPr="00E60F11">
              <w:rPr>
                <w:rFonts w:cs="Arial"/>
                <w:b/>
                <w:bCs/>
                <w:color w:val="000000"/>
                <w:sz w:val="22"/>
                <w:szCs w:val="22"/>
              </w:rPr>
              <w:t>Notes</w:t>
            </w:r>
          </w:p>
        </w:tc>
        <w:tc>
          <w:tcPr>
            <w:tcW w:w="2624" w:type="dxa"/>
            <w:tcBorders>
              <w:top w:val="single" w:sz="4" w:space="0" w:color="auto"/>
              <w:left w:val="nil"/>
              <w:bottom w:val="single" w:sz="4" w:space="0" w:color="auto"/>
              <w:right w:val="single" w:sz="4" w:space="0" w:color="auto"/>
            </w:tcBorders>
            <w:shd w:val="clear" w:color="auto" w:fill="auto"/>
            <w:vAlign w:val="center"/>
            <w:hideMark/>
          </w:tcPr>
          <w:p w:rsidR="00E60F11" w:rsidRPr="00E60F11" w:rsidRDefault="00E60F11" w:rsidP="00E60F11">
            <w:pPr>
              <w:jc w:val="center"/>
              <w:rPr>
                <w:rFonts w:cs="Arial"/>
                <w:b/>
                <w:bCs/>
                <w:color w:val="000000"/>
                <w:sz w:val="22"/>
                <w:szCs w:val="22"/>
              </w:rPr>
            </w:pPr>
            <w:r w:rsidRPr="00E60F11">
              <w:rPr>
                <w:rFonts w:cs="Arial"/>
                <w:b/>
                <w:bCs/>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0F11" w:rsidRPr="00E60F11" w:rsidRDefault="00E60F11" w:rsidP="00E60F11">
            <w:pPr>
              <w:jc w:val="center"/>
              <w:rPr>
                <w:rFonts w:cs="Arial"/>
                <w:b/>
                <w:bCs/>
                <w:color w:val="000000"/>
                <w:sz w:val="22"/>
                <w:szCs w:val="22"/>
              </w:rPr>
            </w:pPr>
            <w:r w:rsidRPr="00E60F11">
              <w:rPr>
                <w:rFonts w:cs="Arial"/>
                <w:b/>
                <w:bCs/>
                <w:color w:val="000000"/>
                <w:sz w:val="22"/>
                <w:szCs w:val="22"/>
              </w:rPr>
              <w:t>2017-18 Budget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0F11" w:rsidRPr="00E60F11" w:rsidRDefault="00E60F11" w:rsidP="00E60F11">
            <w:pPr>
              <w:jc w:val="center"/>
              <w:rPr>
                <w:rFonts w:cs="Arial"/>
                <w:b/>
                <w:bCs/>
                <w:color w:val="000000"/>
                <w:sz w:val="22"/>
                <w:szCs w:val="22"/>
              </w:rPr>
            </w:pPr>
            <w:r w:rsidRPr="00E60F11">
              <w:rPr>
                <w:rFonts w:cs="Arial"/>
                <w:b/>
                <w:bCs/>
                <w:color w:val="000000"/>
                <w:sz w:val="22"/>
                <w:szCs w:val="22"/>
              </w:rPr>
              <w:t>2017-18 Forecast Outturn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B2F93" w:rsidRDefault="00E60F11" w:rsidP="00E60F11">
            <w:pPr>
              <w:jc w:val="center"/>
              <w:rPr>
                <w:rFonts w:cs="Arial"/>
                <w:b/>
                <w:bCs/>
                <w:color w:val="000000"/>
                <w:sz w:val="22"/>
                <w:szCs w:val="22"/>
              </w:rPr>
            </w:pPr>
            <w:r w:rsidRPr="00E60F11">
              <w:rPr>
                <w:rFonts w:cs="Arial"/>
                <w:b/>
                <w:bCs/>
                <w:color w:val="000000"/>
                <w:sz w:val="22"/>
                <w:szCs w:val="22"/>
              </w:rPr>
              <w:t>Year End Variance</w:t>
            </w:r>
          </w:p>
          <w:p w:rsidR="00E60F11" w:rsidRPr="00E60F11" w:rsidRDefault="00CB2F93" w:rsidP="00E60F11">
            <w:pPr>
              <w:jc w:val="center"/>
              <w:rPr>
                <w:rFonts w:cs="Arial"/>
                <w:b/>
                <w:bCs/>
                <w:color w:val="000000"/>
                <w:sz w:val="22"/>
                <w:szCs w:val="22"/>
              </w:rPr>
            </w:pPr>
            <w:r w:rsidRPr="001E3CC4">
              <w:rPr>
                <w:rFonts w:cs="Arial"/>
                <w:b/>
                <w:bCs/>
                <w:color w:val="000000"/>
                <w:sz w:val="22"/>
                <w:szCs w:val="22"/>
              </w:rPr>
              <w:t>(underspend) / overspend</w:t>
            </w:r>
          </w:p>
        </w:tc>
      </w:tr>
      <w:tr w:rsidR="00E60F11" w:rsidRPr="00E60F11" w:rsidTr="00CB2F93">
        <w:trPr>
          <w:trHeight w:val="310"/>
        </w:trPr>
        <w:tc>
          <w:tcPr>
            <w:tcW w:w="778" w:type="dxa"/>
            <w:tcBorders>
              <w:top w:val="nil"/>
              <w:left w:val="single" w:sz="4" w:space="0" w:color="auto"/>
              <w:bottom w:val="single" w:sz="4" w:space="0" w:color="auto"/>
              <w:right w:val="single" w:sz="4" w:space="0" w:color="auto"/>
            </w:tcBorders>
            <w:shd w:val="clear" w:color="auto" w:fill="auto"/>
            <w:textDirection w:val="btLr"/>
            <w:vAlign w:val="center"/>
            <w:hideMark/>
          </w:tcPr>
          <w:p w:rsidR="00E60F11" w:rsidRPr="00E60F11" w:rsidRDefault="00E60F11" w:rsidP="00E60F11">
            <w:pPr>
              <w:jc w:val="center"/>
              <w:rPr>
                <w:rFonts w:cs="Arial"/>
                <w:b/>
                <w:bCs/>
                <w:color w:val="000000"/>
                <w:sz w:val="22"/>
                <w:szCs w:val="22"/>
              </w:rPr>
            </w:pPr>
            <w:r w:rsidRPr="00E60F11">
              <w:rPr>
                <w:rFonts w:cs="Arial"/>
                <w:b/>
                <w:bCs/>
                <w:color w:val="000000"/>
                <w:sz w:val="22"/>
                <w:szCs w:val="22"/>
              </w:rPr>
              <w:t> </w:t>
            </w:r>
          </w:p>
        </w:tc>
        <w:tc>
          <w:tcPr>
            <w:tcW w:w="2624"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jc w:val="center"/>
              <w:rPr>
                <w:rFonts w:cs="Arial"/>
                <w:b/>
                <w:bCs/>
                <w:color w:val="000000"/>
                <w:sz w:val="22"/>
                <w:szCs w:val="22"/>
              </w:rPr>
            </w:pPr>
            <w:r w:rsidRPr="00E60F11">
              <w:rPr>
                <w:rFonts w:cs="Arial"/>
                <w:b/>
                <w:bCs/>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jc w:val="center"/>
              <w:rPr>
                <w:rFonts w:cs="Arial"/>
                <w:b/>
                <w:bCs/>
                <w:color w:val="000000"/>
                <w:sz w:val="22"/>
                <w:szCs w:val="22"/>
              </w:rPr>
            </w:pPr>
            <w:r w:rsidRPr="00E60F11">
              <w:rPr>
                <w:rFonts w:cs="Arial"/>
                <w:b/>
                <w:bCs/>
                <w:color w:val="000000"/>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jc w:val="center"/>
              <w:rPr>
                <w:rFonts w:cs="Arial"/>
                <w:b/>
                <w:bCs/>
                <w:color w:val="000000"/>
                <w:sz w:val="22"/>
                <w:szCs w:val="22"/>
              </w:rPr>
            </w:pPr>
            <w:r w:rsidRPr="00E60F11">
              <w:rPr>
                <w:rFonts w:cs="Arial"/>
                <w:b/>
                <w:bCs/>
                <w:color w:val="000000"/>
                <w:sz w:val="22"/>
                <w:szCs w:val="22"/>
              </w:rPr>
              <w:t>£’000</w:t>
            </w:r>
          </w:p>
        </w:tc>
        <w:tc>
          <w:tcPr>
            <w:tcW w:w="2552"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jc w:val="center"/>
              <w:rPr>
                <w:rFonts w:cs="Arial"/>
                <w:b/>
                <w:bCs/>
                <w:color w:val="000000"/>
                <w:sz w:val="22"/>
                <w:szCs w:val="22"/>
              </w:rPr>
            </w:pPr>
            <w:r w:rsidRPr="00E60F11">
              <w:rPr>
                <w:rFonts w:cs="Arial"/>
                <w:b/>
                <w:bCs/>
                <w:color w:val="000000"/>
                <w:sz w:val="22"/>
                <w:szCs w:val="22"/>
              </w:rPr>
              <w:t>£’000</w:t>
            </w:r>
          </w:p>
        </w:tc>
      </w:tr>
      <w:tr w:rsidR="00E60F11" w:rsidRPr="00E60F11" w:rsidTr="00CB2F93">
        <w:trPr>
          <w:trHeight w:val="31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E60F11" w:rsidRPr="00E60F11" w:rsidRDefault="00E60F11" w:rsidP="00E60F11">
            <w:pPr>
              <w:jc w:val="center"/>
              <w:rPr>
                <w:rFonts w:cs="Arial"/>
                <w:color w:val="000000"/>
                <w:sz w:val="22"/>
                <w:szCs w:val="22"/>
              </w:rPr>
            </w:pPr>
            <w:r>
              <w:rPr>
                <w:rFonts w:cs="Arial"/>
                <w:color w:val="000000"/>
                <w:sz w:val="22"/>
                <w:szCs w:val="22"/>
              </w:rPr>
              <w:t>2.2</w:t>
            </w:r>
          </w:p>
        </w:tc>
        <w:tc>
          <w:tcPr>
            <w:tcW w:w="2624"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rPr>
                <w:rFonts w:cs="Arial"/>
                <w:color w:val="000000"/>
                <w:sz w:val="22"/>
                <w:szCs w:val="22"/>
              </w:rPr>
            </w:pPr>
            <w:r w:rsidRPr="00E60F11">
              <w:rPr>
                <w:rFonts w:cs="Arial"/>
                <w:color w:val="000000"/>
                <w:sz w:val="22"/>
                <w:szCs w:val="22"/>
              </w:rPr>
              <w:t>Early Years Block</w:t>
            </w:r>
          </w:p>
        </w:tc>
        <w:tc>
          <w:tcPr>
            <w:tcW w:w="1701"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jc w:val="right"/>
              <w:rPr>
                <w:rFonts w:cs="Arial"/>
                <w:color w:val="000000"/>
                <w:sz w:val="22"/>
                <w:szCs w:val="22"/>
              </w:rPr>
            </w:pPr>
            <w:r w:rsidRPr="00E60F11">
              <w:rPr>
                <w:rFonts w:cs="Arial"/>
                <w:color w:val="000000"/>
                <w:sz w:val="22"/>
                <w:szCs w:val="22"/>
              </w:rPr>
              <w:t xml:space="preserve">            19,681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0F11" w:rsidRPr="00E60F11" w:rsidRDefault="00E60F11" w:rsidP="00E60F11">
            <w:pPr>
              <w:jc w:val="right"/>
              <w:rPr>
                <w:rFonts w:cs="Arial"/>
                <w:color w:val="000000"/>
                <w:sz w:val="22"/>
                <w:szCs w:val="22"/>
              </w:rPr>
            </w:pPr>
            <w:r w:rsidRPr="00E60F11">
              <w:rPr>
                <w:rFonts w:cs="Arial"/>
                <w:color w:val="000000"/>
                <w:sz w:val="22"/>
                <w:szCs w:val="22"/>
              </w:rPr>
              <w:t xml:space="preserve">           18,836 </w:t>
            </w:r>
          </w:p>
        </w:tc>
        <w:tc>
          <w:tcPr>
            <w:tcW w:w="2552"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jc w:val="right"/>
              <w:rPr>
                <w:rFonts w:cs="Arial"/>
                <w:color w:val="000000"/>
                <w:sz w:val="22"/>
                <w:szCs w:val="22"/>
              </w:rPr>
            </w:pPr>
            <w:r w:rsidRPr="00E60F11">
              <w:rPr>
                <w:rFonts w:cs="Arial"/>
                <w:color w:val="FF0000"/>
                <w:sz w:val="22"/>
                <w:szCs w:val="22"/>
              </w:rPr>
              <w:t>(845)</w:t>
            </w:r>
          </w:p>
        </w:tc>
      </w:tr>
      <w:tr w:rsidR="00E60F11" w:rsidRPr="00E60F11" w:rsidTr="00CB2F93">
        <w:trPr>
          <w:trHeight w:val="31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E60F11" w:rsidRPr="00E60F11" w:rsidRDefault="00E60F11" w:rsidP="00E60F11">
            <w:pPr>
              <w:jc w:val="center"/>
              <w:rPr>
                <w:rFonts w:cs="Arial"/>
                <w:color w:val="000000"/>
                <w:sz w:val="22"/>
                <w:szCs w:val="22"/>
              </w:rPr>
            </w:pPr>
            <w:r w:rsidRPr="00E60F11">
              <w:rPr>
                <w:rFonts w:cs="Arial"/>
                <w:color w:val="000000"/>
                <w:sz w:val="22"/>
                <w:szCs w:val="22"/>
              </w:rPr>
              <w:t>2</w:t>
            </w:r>
            <w:r w:rsidR="002B1E30">
              <w:rPr>
                <w:rFonts w:cs="Arial"/>
                <w:color w:val="000000"/>
                <w:sz w:val="22"/>
                <w:szCs w:val="22"/>
              </w:rPr>
              <w:t>.3</w:t>
            </w:r>
          </w:p>
        </w:tc>
        <w:tc>
          <w:tcPr>
            <w:tcW w:w="2624"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rPr>
                <w:rFonts w:cs="Arial"/>
                <w:color w:val="000000"/>
                <w:sz w:val="22"/>
                <w:szCs w:val="22"/>
              </w:rPr>
            </w:pPr>
            <w:r w:rsidRPr="00E60F11">
              <w:rPr>
                <w:rFonts w:cs="Arial"/>
                <w:color w:val="000000"/>
                <w:sz w:val="22"/>
                <w:szCs w:val="22"/>
              </w:rPr>
              <w:t>High Needs Block</w:t>
            </w:r>
          </w:p>
        </w:tc>
        <w:tc>
          <w:tcPr>
            <w:tcW w:w="1701"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jc w:val="right"/>
              <w:rPr>
                <w:rFonts w:cs="Arial"/>
                <w:color w:val="000000"/>
                <w:sz w:val="22"/>
                <w:szCs w:val="22"/>
              </w:rPr>
            </w:pPr>
            <w:r w:rsidRPr="00E60F11">
              <w:rPr>
                <w:rFonts w:cs="Arial"/>
                <w:color w:val="000000"/>
                <w:sz w:val="22"/>
                <w:szCs w:val="22"/>
              </w:rPr>
              <w:t xml:space="preserve">            26,190 </w:t>
            </w:r>
          </w:p>
        </w:tc>
        <w:tc>
          <w:tcPr>
            <w:tcW w:w="1701"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jc w:val="right"/>
              <w:rPr>
                <w:rFonts w:cs="Arial"/>
                <w:color w:val="000000"/>
                <w:sz w:val="22"/>
                <w:szCs w:val="22"/>
              </w:rPr>
            </w:pPr>
            <w:r w:rsidRPr="00E60F11">
              <w:rPr>
                <w:rFonts w:cs="Arial"/>
                <w:color w:val="000000"/>
                <w:sz w:val="22"/>
                <w:szCs w:val="22"/>
              </w:rPr>
              <w:t xml:space="preserve">           26,653 </w:t>
            </w:r>
          </w:p>
        </w:tc>
        <w:tc>
          <w:tcPr>
            <w:tcW w:w="2552"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jc w:val="right"/>
              <w:rPr>
                <w:rFonts w:cs="Arial"/>
                <w:color w:val="000000"/>
                <w:sz w:val="22"/>
                <w:szCs w:val="22"/>
              </w:rPr>
            </w:pPr>
            <w:r w:rsidRPr="00E60F11">
              <w:rPr>
                <w:rFonts w:cs="Arial"/>
                <w:color w:val="000000"/>
                <w:sz w:val="22"/>
                <w:szCs w:val="22"/>
              </w:rPr>
              <w:t xml:space="preserve">                463 </w:t>
            </w:r>
          </w:p>
        </w:tc>
      </w:tr>
      <w:tr w:rsidR="00E60F11" w:rsidRPr="00E60F11" w:rsidTr="00CB2F93">
        <w:trPr>
          <w:trHeight w:val="31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E60F11" w:rsidRPr="00E60F11" w:rsidRDefault="002B1E30" w:rsidP="00E60F11">
            <w:pPr>
              <w:jc w:val="center"/>
              <w:rPr>
                <w:rFonts w:cs="Arial"/>
                <w:color w:val="000000"/>
                <w:sz w:val="22"/>
                <w:szCs w:val="22"/>
              </w:rPr>
            </w:pPr>
            <w:r w:rsidRPr="00200F1B">
              <w:rPr>
                <w:rFonts w:cs="Arial"/>
                <w:color w:val="000000"/>
                <w:sz w:val="22"/>
                <w:szCs w:val="22"/>
              </w:rPr>
              <w:t>2.4</w:t>
            </w:r>
          </w:p>
        </w:tc>
        <w:tc>
          <w:tcPr>
            <w:tcW w:w="2624"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rPr>
                <w:rFonts w:cs="Arial"/>
                <w:color w:val="000000"/>
                <w:sz w:val="22"/>
                <w:szCs w:val="22"/>
              </w:rPr>
            </w:pPr>
            <w:r w:rsidRPr="00E60F11">
              <w:rPr>
                <w:rFonts w:cs="Arial"/>
                <w:color w:val="000000"/>
                <w:sz w:val="22"/>
                <w:szCs w:val="22"/>
              </w:rPr>
              <w:t>Schools Block</w:t>
            </w:r>
          </w:p>
        </w:tc>
        <w:tc>
          <w:tcPr>
            <w:tcW w:w="1701"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jc w:val="right"/>
              <w:rPr>
                <w:rFonts w:cs="Arial"/>
                <w:color w:val="000000"/>
                <w:sz w:val="22"/>
                <w:szCs w:val="22"/>
              </w:rPr>
            </w:pPr>
            <w:r w:rsidRPr="00E60F11">
              <w:rPr>
                <w:rFonts w:cs="Arial"/>
                <w:color w:val="000000"/>
                <w:sz w:val="22"/>
                <w:szCs w:val="22"/>
              </w:rPr>
              <w:t xml:space="preserve">          166,016 </w:t>
            </w:r>
          </w:p>
        </w:tc>
        <w:tc>
          <w:tcPr>
            <w:tcW w:w="1701"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jc w:val="right"/>
              <w:rPr>
                <w:rFonts w:cs="Arial"/>
                <w:color w:val="000000"/>
                <w:sz w:val="22"/>
                <w:szCs w:val="22"/>
              </w:rPr>
            </w:pPr>
            <w:r w:rsidRPr="00E60F11">
              <w:rPr>
                <w:rFonts w:cs="Arial"/>
                <w:color w:val="000000"/>
                <w:sz w:val="22"/>
                <w:szCs w:val="22"/>
              </w:rPr>
              <w:t xml:space="preserve">         </w:t>
            </w:r>
            <w:r w:rsidR="005B2344">
              <w:rPr>
                <w:rFonts w:cs="Arial"/>
                <w:color w:val="000000"/>
                <w:sz w:val="22"/>
                <w:szCs w:val="22"/>
              </w:rPr>
              <w:t>165,600</w:t>
            </w:r>
            <w:r w:rsidRPr="00E60F11">
              <w:rPr>
                <w:rFonts w:cs="Arial"/>
                <w:color w:val="000000"/>
                <w:sz w:val="22"/>
                <w:szCs w:val="22"/>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E60F11" w:rsidRPr="00E60F11" w:rsidRDefault="00E60F11" w:rsidP="00E60F11">
            <w:pPr>
              <w:jc w:val="right"/>
              <w:rPr>
                <w:rFonts w:cs="Arial"/>
                <w:color w:val="000000"/>
                <w:sz w:val="22"/>
                <w:szCs w:val="22"/>
              </w:rPr>
            </w:pPr>
            <w:r w:rsidRPr="00E60F11">
              <w:rPr>
                <w:rFonts w:cs="Arial"/>
                <w:color w:val="000000"/>
                <w:sz w:val="22"/>
                <w:szCs w:val="22"/>
              </w:rPr>
              <w:t xml:space="preserve">                   </w:t>
            </w:r>
            <w:r w:rsidR="005B2344">
              <w:rPr>
                <w:rFonts w:cs="Arial"/>
                <w:color w:val="000000"/>
                <w:sz w:val="22"/>
                <w:szCs w:val="22"/>
              </w:rPr>
              <w:t>(416)</w:t>
            </w:r>
            <w:r w:rsidRPr="00E60F11">
              <w:rPr>
                <w:rFonts w:cs="Arial"/>
                <w:color w:val="000000"/>
                <w:sz w:val="22"/>
                <w:szCs w:val="22"/>
              </w:rPr>
              <w:t xml:space="preserve">   </w:t>
            </w:r>
          </w:p>
        </w:tc>
      </w:tr>
      <w:tr w:rsidR="00E60F11" w:rsidRPr="00E60F11" w:rsidTr="00CB2F93">
        <w:trPr>
          <w:trHeight w:val="31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E60F11" w:rsidRPr="00E60F11" w:rsidRDefault="00E60F11" w:rsidP="00E60F11">
            <w:pPr>
              <w:jc w:val="center"/>
              <w:rPr>
                <w:rFonts w:cs="Arial"/>
                <w:b/>
                <w:bCs/>
                <w:color w:val="000000"/>
                <w:sz w:val="22"/>
                <w:szCs w:val="22"/>
              </w:rPr>
            </w:pPr>
            <w:r w:rsidRPr="00E60F11">
              <w:rPr>
                <w:rFonts w:cs="Arial"/>
                <w:b/>
                <w:bCs/>
                <w:color w:val="000000"/>
                <w:sz w:val="22"/>
                <w:szCs w:val="22"/>
              </w:rPr>
              <w:t> </w:t>
            </w:r>
          </w:p>
        </w:tc>
        <w:tc>
          <w:tcPr>
            <w:tcW w:w="2624" w:type="dxa"/>
            <w:tcBorders>
              <w:top w:val="nil"/>
              <w:left w:val="nil"/>
              <w:bottom w:val="single" w:sz="4" w:space="0" w:color="auto"/>
              <w:right w:val="single" w:sz="4" w:space="0" w:color="auto"/>
            </w:tcBorders>
            <w:shd w:val="clear" w:color="000000" w:fill="FFD966"/>
            <w:vAlign w:val="center"/>
            <w:hideMark/>
          </w:tcPr>
          <w:p w:rsidR="00E60F11" w:rsidRPr="00E60F11" w:rsidRDefault="00E60F11" w:rsidP="00E60F11">
            <w:pPr>
              <w:rPr>
                <w:rFonts w:cs="Arial"/>
                <w:b/>
                <w:bCs/>
                <w:color w:val="000000"/>
                <w:sz w:val="22"/>
                <w:szCs w:val="22"/>
              </w:rPr>
            </w:pPr>
            <w:r w:rsidRPr="00E60F11">
              <w:rPr>
                <w:rFonts w:cs="Arial"/>
                <w:b/>
                <w:bCs/>
                <w:color w:val="000000"/>
                <w:sz w:val="22"/>
                <w:szCs w:val="22"/>
              </w:rPr>
              <w:t>TOTAL</w:t>
            </w:r>
          </w:p>
        </w:tc>
        <w:tc>
          <w:tcPr>
            <w:tcW w:w="1701" w:type="dxa"/>
            <w:tcBorders>
              <w:top w:val="nil"/>
              <w:left w:val="nil"/>
              <w:bottom w:val="single" w:sz="4" w:space="0" w:color="auto"/>
              <w:right w:val="single" w:sz="4" w:space="0" w:color="auto"/>
            </w:tcBorders>
            <w:shd w:val="clear" w:color="000000" w:fill="FFD966"/>
            <w:vAlign w:val="center"/>
            <w:hideMark/>
          </w:tcPr>
          <w:p w:rsidR="00E60F11" w:rsidRPr="00E60F11" w:rsidRDefault="00E60F11" w:rsidP="00E60F11">
            <w:pPr>
              <w:jc w:val="right"/>
              <w:rPr>
                <w:rFonts w:cs="Arial"/>
                <w:b/>
                <w:bCs/>
                <w:color w:val="000000"/>
                <w:sz w:val="22"/>
                <w:szCs w:val="22"/>
              </w:rPr>
            </w:pPr>
            <w:r w:rsidRPr="00E60F11">
              <w:rPr>
                <w:rFonts w:cs="Arial"/>
                <w:b/>
                <w:bCs/>
                <w:color w:val="000000"/>
                <w:sz w:val="22"/>
                <w:szCs w:val="22"/>
              </w:rPr>
              <w:t>£211,887</w:t>
            </w:r>
          </w:p>
        </w:tc>
        <w:tc>
          <w:tcPr>
            <w:tcW w:w="1701" w:type="dxa"/>
            <w:tcBorders>
              <w:top w:val="nil"/>
              <w:left w:val="nil"/>
              <w:bottom w:val="single" w:sz="4" w:space="0" w:color="auto"/>
              <w:right w:val="single" w:sz="4" w:space="0" w:color="auto"/>
            </w:tcBorders>
            <w:shd w:val="clear" w:color="000000" w:fill="FFD966"/>
            <w:vAlign w:val="center"/>
            <w:hideMark/>
          </w:tcPr>
          <w:p w:rsidR="00E60F11" w:rsidRPr="00E60F11" w:rsidRDefault="00E60F11" w:rsidP="00E60F11">
            <w:pPr>
              <w:jc w:val="right"/>
              <w:rPr>
                <w:rFonts w:cs="Arial"/>
                <w:b/>
                <w:bCs/>
                <w:color w:val="000000"/>
                <w:sz w:val="22"/>
                <w:szCs w:val="22"/>
              </w:rPr>
            </w:pPr>
            <w:r w:rsidRPr="001E3CC4">
              <w:rPr>
                <w:rFonts w:cs="Arial"/>
                <w:b/>
                <w:bCs/>
                <w:color w:val="000000"/>
                <w:sz w:val="22"/>
                <w:szCs w:val="22"/>
              </w:rPr>
              <w:t>£211,</w:t>
            </w:r>
            <w:r w:rsidR="00142E26" w:rsidRPr="001E3CC4">
              <w:rPr>
                <w:rFonts w:cs="Arial"/>
                <w:b/>
                <w:bCs/>
                <w:color w:val="000000"/>
                <w:sz w:val="22"/>
                <w:szCs w:val="22"/>
              </w:rPr>
              <w:t>089</w:t>
            </w:r>
          </w:p>
        </w:tc>
        <w:tc>
          <w:tcPr>
            <w:tcW w:w="2552" w:type="dxa"/>
            <w:tcBorders>
              <w:top w:val="nil"/>
              <w:left w:val="nil"/>
              <w:bottom w:val="single" w:sz="4" w:space="0" w:color="auto"/>
              <w:right w:val="single" w:sz="4" w:space="0" w:color="auto"/>
            </w:tcBorders>
            <w:shd w:val="clear" w:color="000000" w:fill="FFD966"/>
            <w:vAlign w:val="center"/>
            <w:hideMark/>
          </w:tcPr>
          <w:p w:rsidR="00E60F11" w:rsidRPr="00E60F11" w:rsidRDefault="00E60F11" w:rsidP="00E60F11">
            <w:pPr>
              <w:jc w:val="right"/>
              <w:rPr>
                <w:rFonts w:cs="Arial"/>
                <w:b/>
                <w:bCs/>
                <w:color w:val="000000"/>
                <w:sz w:val="22"/>
                <w:szCs w:val="22"/>
              </w:rPr>
            </w:pPr>
            <w:r w:rsidRPr="00E60F11">
              <w:rPr>
                <w:rFonts w:cs="Arial"/>
                <w:b/>
                <w:bCs/>
                <w:color w:val="FF0000"/>
                <w:sz w:val="22"/>
                <w:szCs w:val="22"/>
              </w:rPr>
              <w:t>(£</w:t>
            </w:r>
            <w:r w:rsidR="005B2344">
              <w:rPr>
                <w:rFonts w:cs="Arial"/>
                <w:b/>
                <w:bCs/>
                <w:color w:val="FF0000"/>
                <w:sz w:val="22"/>
                <w:szCs w:val="22"/>
              </w:rPr>
              <w:t>798</w:t>
            </w:r>
            <w:r w:rsidRPr="00E60F11">
              <w:rPr>
                <w:rFonts w:cs="Arial"/>
                <w:b/>
                <w:bCs/>
                <w:color w:val="FF0000"/>
                <w:sz w:val="22"/>
                <w:szCs w:val="22"/>
              </w:rPr>
              <w:t>)</w:t>
            </w:r>
          </w:p>
        </w:tc>
      </w:tr>
    </w:tbl>
    <w:p w:rsidR="00E60F11" w:rsidRDefault="00E60F11" w:rsidP="006F49E8">
      <w:pPr>
        <w:ind w:left="709" w:hanging="709"/>
        <w:rPr>
          <w:rFonts w:cs="Arial"/>
        </w:rPr>
      </w:pPr>
    </w:p>
    <w:p w:rsidR="00E60F11" w:rsidRDefault="00E60F11" w:rsidP="006F49E8">
      <w:pPr>
        <w:ind w:left="709" w:hanging="709"/>
        <w:rPr>
          <w:rFonts w:cs="Arial"/>
        </w:rPr>
      </w:pPr>
    </w:p>
    <w:p w:rsidR="0011747C" w:rsidRPr="00FF7D97" w:rsidRDefault="00294D66" w:rsidP="0011747C">
      <w:pPr>
        <w:rPr>
          <w:rFonts w:cs="Arial"/>
          <w:b/>
        </w:rPr>
      </w:pPr>
      <w:r w:rsidRPr="00FF7D97">
        <w:rPr>
          <w:rFonts w:cs="Arial"/>
          <w:b/>
        </w:rPr>
        <w:t>2.2</w:t>
      </w:r>
      <w:r w:rsidRPr="00FF7D97">
        <w:rPr>
          <w:rFonts w:cs="Arial"/>
          <w:b/>
        </w:rPr>
        <w:tab/>
      </w:r>
      <w:r w:rsidR="0011747C" w:rsidRPr="00FF7D97">
        <w:rPr>
          <w:rFonts w:cs="Arial"/>
          <w:b/>
        </w:rPr>
        <w:t>Early Years Block</w:t>
      </w:r>
      <w:r w:rsidR="0011747C" w:rsidRPr="00FF7D97">
        <w:rPr>
          <w:rFonts w:cs="Arial"/>
          <w:b/>
        </w:rPr>
        <w:tab/>
      </w:r>
      <w:r w:rsidRPr="00FF7D97">
        <w:rPr>
          <w:rFonts w:cs="Arial"/>
          <w:b/>
        </w:rPr>
        <w:t>is reporting a</w:t>
      </w:r>
      <w:r w:rsidR="00E60F11" w:rsidRPr="00FF7D97">
        <w:rPr>
          <w:rFonts w:cs="Arial"/>
          <w:b/>
        </w:rPr>
        <w:t>n underspend of (</w:t>
      </w:r>
      <w:r w:rsidRPr="00FF7D97">
        <w:rPr>
          <w:rFonts w:cs="Arial"/>
          <w:b/>
        </w:rPr>
        <w:t>£</w:t>
      </w:r>
      <w:r w:rsidR="00E60F11" w:rsidRPr="00FF7D97">
        <w:rPr>
          <w:rFonts w:cs="Arial"/>
          <w:b/>
        </w:rPr>
        <w:t>845k)</w:t>
      </w:r>
    </w:p>
    <w:p w:rsidR="00294D66" w:rsidRPr="00FF7D97" w:rsidRDefault="00294D66" w:rsidP="0011747C">
      <w:pPr>
        <w:rPr>
          <w:rFonts w:cs="Arial"/>
        </w:rPr>
      </w:pPr>
    </w:p>
    <w:p w:rsidR="00FF7D97" w:rsidRPr="00FF7D97" w:rsidRDefault="00294D66" w:rsidP="0011747C">
      <w:pPr>
        <w:ind w:left="709" w:hanging="709"/>
      </w:pPr>
      <w:r w:rsidRPr="00FF7D97">
        <w:t>2.2.1</w:t>
      </w:r>
      <w:r w:rsidRPr="00FF7D97">
        <w:tab/>
      </w:r>
      <w:r w:rsidR="00E60F11" w:rsidRPr="00FF7D97">
        <w:t xml:space="preserve">There is underspend </w:t>
      </w:r>
      <w:r w:rsidR="0011747C" w:rsidRPr="00FF7D97">
        <w:t xml:space="preserve">relating to </w:t>
      </w:r>
      <w:r w:rsidR="00E60F11" w:rsidRPr="00FF7D97">
        <w:t>2 Year</w:t>
      </w:r>
      <w:r w:rsidR="000C1A29">
        <w:t xml:space="preserve"> </w:t>
      </w:r>
      <w:r w:rsidR="00E60F11" w:rsidRPr="00FF7D97">
        <w:t xml:space="preserve">Old funding of £775k and an underspend of </w:t>
      </w:r>
      <w:r w:rsidR="00457CF5" w:rsidRPr="00FF7D97">
        <w:t xml:space="preserve">£70k from the Early Years centrally retained budget. </w:t>
      </w:r>
      <w:r w:rsidR="00FF7D97" w:rsidRPr="00FF7D97">
        <w:t xml:space="preserve">There is a projected underspend on the funding for 3 and 4 year olds of £800k. This has not been factored into </w:t>
      </w:r>
      <w:r w:rsidR="00280EC4">
        <w:t xml:space="preserve">the forecast </w:t>
      </w:r>
      <w:r w:rsidR="00FF7D97" w:rsidRPr="00280EC4">
        <w:t>as</w:t>
      </w:r>
      <w:r w:rsidR="00FF7D97" w:rsidRPr="00FF7D97">
        <w:t xml:space="preserve"> this funding will be adjusted in June 2018 by the DfE. The underspend is as a result of the low take up of the additional 15 hours. It was estimated that there were 1,600 children eligible, however there has only been a take up of 586</w:t>
      </w:r>
      <w:r w:rsidR="008D40E0">
        <w:t>, despite efforts to encourage take up</w:t>
      </w:r>
      <w:r w:rsidR="00FF7D97" w:rsidRPr="00FF7D97">
        <w:t>. There have been issues with families registering on the HMRC website. The Early Years team are embarking on a marketing campaign to encourage take up.</w:t>
      </w:r>
    </w:p>
    <w:p w:rsidR="00294D66" w:rsidRDefault="00294D66" w:rsidP="0011747C">
      <w:pPr>
        <w:ind w:left="709" w:hanging="709"/>
      </w:pPr>
    </w:p>
    <w:p w:rsidR="00294D66" w:rsidRPr="00261196" w:rsidRDefault="00294D66" w:rsidP="00294D66">
      <w:pPr>
        <w:rPr>
          <w:rFonts w:cs="Arial"/>
          <w:b/>
        </w:rPr>
      </w:pPr>
      <w:r>
        <w:t>2.3</w:t>
      </w:r>
      <w:r>
        <w:tab/>
      </w:r>
      <w:r w:rsidRPr="00261196">
        <w:rPr>
          <w:rFonts w:cs="Arial"/>
          <w:b/>
        </w:rPr>
        <w:t>High Needs Block</w:t>
      </w:r>
      <w:r>
        <w:rPr>
          <w:rFonts w:cs="Arial"/>
          <w:b/>
        </w:rPr>
        <w:t xml:space="preserve"> is reporting a variance of £</w:t>
      </w:r>
      <w:r w:rsidR="008E5E22">
        <w:rPr>
          <w:rFonts w:cs="Arial"/>
          <w:b/>
        </w:rPr>
        <w:t>463</w:t>
      </w:r>
      <w:r>
        <w:rPr>
          <w:rFonts w:cs="Arial"/>
          <w:b/>
        </w:rPr>
        <w:t>k</w:t>
      </w:r>
    </w:p>
    <w:p w:rsidR="00294D66" w:rsidRDefault="00294D66" w:rsidP="0011747C">
      <w:pPr>
        <w:ind w:left="709" w:hanging="709"/>
        <w:rPr>
          <w:rFonts w:cs="Arial"/>
          <w:b/>
        </w:rPr>
      </w:pPr>
    </w:p>
    <w:p w:rsidR="00F7660F" w:rsidRDefault="00294D66" w:rsidP="002C1B17">
      <w:pPr>
        <w:ind w:left="720" w:hanging="720"/>
      </w:pPr>
      <w:bookmarkStart w:id="1" w:name="_Hlk502750773"/>
      <w:r w:rsidRPr="002C1B17">
        <w:lastRenderedPageBreak/>
        <w:t>2.3.1</w:t>
      </w:r>
      <w:r w:rsidRPr="002C1B17">
        <w:tab/>
      </w:r>
      <w:r w:rsidR="002C1B17">
        <w:t>T</w:t>
      </w:r>
      <w:r w:rsidR="00F7660F" w:rsidRPr="00F7660F">
        <w:t xml:space="preserve">he High Needs </w:t>
      </w:r>
      <w:r w:rsidR="00F7660F">
        <w:t xml:space="preserve">Block </w:t>
      </w:r>
      <w:r w:rsidR="00F7660F" w:rsidRPr="00F7660F">
        <w:t>is currently forecasting a</w:t>
      </w:r>
      <w:r w:rsidR="00F7660F">
        <w:t>n</w:t>
      </w:r>
      <w:r w:rsidR="00F7660F" w:rsidRPr="00F7660F">
        <w:t xml:space="preserve"> overspend of £</w:t>
      </w:r>
      <w:r w:rsidR="00F7660F" w:rsidRPr="002C1B17">
        <w:t>4</w:t>
      </w:r>
      <w:r w:rsidR="00CB089C" w:rsidRPr="002C1B17">
        <w:t>6</w:t>
      </w:r>
      <w:r w:rsidR="00F7660F" w:rsidRPr="002C1B17">
        <w:t>3k</w:t>
      </w:r>
      <w:r w:rsidR="00F7660F" w:rsidRPr="00F7660F">
        <w:t>. There is</w:t>
      </w:r>
      <w:r w:rsidR="00F7660F">
        <w:t xml:space="preserve"> a projected overspend on ARP provision and Special School Pre-16 of £200k each due to additional places created and</w:t>
      </w:r>
      <w:r w:rsidR="005E3600">
        <w:t xml:space="preserve"> the </w:t>
      </w:r>
      <w:r w:rsidR="00F7660F">
        <w:t xml:space="preserve">increase in demand for this service. There is a projected £585k overspend on SEN Contingency (In Borough Top-Ups) due to demographic pressures with an increasing number of pupils with SEN requirements.  This overspend is partially offset by projected underspend </w:t>
      </w:r>
      <w:r w:rsidR="006711CF">
        <w:t xml:space="preserve">of £200k caused by the delay in the </w:t>
      </w:r>
      <w:r w:rsidR="00F7660F">
        <w:t xml:space="preserve">SEMH </w:t>
      </w:r>
      <w:r w:rsidR="006711CF">
        <w:t>provision</w:t>
      </w:r>
      <w:r w:rsidR="00F7660F">
        <w:t xml:space="preserve">.  There was also </w:t>
      </w:r>
      <w:r w:rsidR="006711CF">
        <w:t xml:space="preserve">a one off </w:t>
      </w:r>
      <w:r w:rsidR="00F7660F">
        <w:t>accounting adjustment for Purchas</w:t>
      </w:r>
      <w:r w:rsidR="001E3CC4">
        <w:t>e</w:t>
      </w:r>
      <w:r w:rsidR="00F7660F">
        <w:t xml:space="preserve"> Orders </w:t>
      </w:r>
      <w:r w:rsidR="006711CF">
        <w:t xml:space="preserve">which were </w:t>
      </w:r>
      <w:r w:rsidR="00F7660F">
        <w:t xml:space="preserve">over </w:t>
      </w:r>
      <w:r w:rsidR="00F7660F" w:rsidRPr="001E3CC4">
        <w:t>good</w:t>
      </w:r>
      <w:r w:rsidR="000C1A29" w:rsidRPr="001E3CC4">
        <w:t>s</w:t>
      </w:r>
      <w:r w:rsidR="00F7660F" w:rsidRPr="001E3CC4">
        <w:t xml:space="preserve"> receipted</w:t>
      </w:r>
      <w:r w:rsidR="00F7660F">
        <w:t xml:space="preserve"> in the previous </w:t>
      </w:r>
      <w:r w:rsidR="006711CF">
        <w:t xml:space="preserve">financial </w:t>
      </w:r>
      <w:r w:rsidR="00F7660F">
        <w:t xml:space="preserve">year </w:t>
      </w:r>
      <w:r w:rsidR="006711CF">
        <w:t xml:space="preserve">which has reduced the </w:t>
      </w:r>
      <w:r w:rsidR="00F7660F">
        <w:t>overall budget pressure</w:t>
      </w:r>
      <w:r w:rsidR="006711CF">
        <w:t xml:space="preserve"> for 2017-18</w:t>
      </w:r>
      <w:r w:rsidR="00F7660F">
        <w:t>.</w:t>
      </w:r>
    </w:p>
    <w:bookmarkEnd w:id="1"/>
    <w:p w:rsidR="00294D66" w:rsidRDefault="00294D66" w:rsidP="00294D66">
      <w:pPr>
        <w:ind w:left="709" w:hanging="709"/>
        <w:rPr>
          <w:rFonts w:cs="Arial"/>
          <w:b/>
        </w:rPr>
      </w:pPr>
    </w:p>
    <w:p w:rsidR="00294D66" w:rsidRPr="001E3CC4" w:rsidRDefault="00294D66" w:rsidP="005B2344">
      <w:pPr>
        <w:ind w:left="709" w:hanging="709"/>
        <w:rPr>
          <w:rFonts w:cs="Arial"/>
          <w:b/>
        </w:rPr>
      </w:pPr>
      <w:r>
        <w:rPr>
          <w:rFonts w:cs="Arial"/>
          <w:b/>
        </w:rPr>
        <w:t>2.</w:t>
      </w:r>
      <w:r w:rsidR="002C1B17">
        <w:rPr>
          <w:rFonts w:cs="Arial"/>
          <w:b/>
        </w:rPr>
        <w:t>4</w:t>
      </w:r>
      <w:r>
        <w:rPr>
          <w:rFonts w:cs="Arial"/>
          <w:b/>
        </w:rPr>
        <w:tab/>
      </w:r>
      <w:r w:rsidRPr="001E3CC4">
        <w:rPr>
          <w:rFonts w:cs="Arial"/>
          <w:b/>
        </w:rPr>
        <w:t xml:space="preserve">Schools Block has a projected </w:t>
      </w:r>
      <w:r w:rsidR="005B2344" w:rsidRPr="001E3CC4">
        <w:rPr>
          <w:rFonts w:cs="Arial"/>
          <w:b/>
        </w:rPr>
        <w:t>underspend of (£416k)</w:t>
      </w:r>
    </w:p>
    <w:p w:rsidR="005B2344" w:rsidRPr="001E3CC4" w:rsidRDefault="005B2344" w:rsidP="005B2344">
      <w:pPr>
        <w:ind w:left="709" w:hanging="709"/>
        <w:rPr>
          <w:rFonts w:cs="Arial"/>
        </w:rPr>
      </w:pPr>
    </w:p>
    <w:p w:rsidR="00C34139" w:rsidRPr="001E3CC4" w:rsidRDefault="00C34139" w:rsidP="00C34139">
      <w:pPr>
        <w:ind w:left="709" w:hanging="709"/>
        <w:rPr>
          <w:rFonts w:cs="Arial"/>
        </w:rPr>
      </w:pPr>
      <w:r w:rsidRPr="001E3CC4">
        <w:rPr>
          <w:rFonts w:cs="Arial"/>
        </w:rPr>
        <w:t>2.</w:t>
      </w:r>
      <w:r w:rsidR="005B2344" w:rsidRPr="001E3CC4">
        <w:rPr>
          <w:rFonts w:cs="Arial"/>
        </w:rPr>
        <w:t>4</w:t>
      </w:r>
      <w:r w:rsidRPr="001E3CC4">
        <w:rPr>
          <w:rFonts w:cs="Arial"/>
        </w:rPr>
        <w:t>.1</w:t>
      </w:r>
      <w:r w:rsidR="00294D66" w:rsidRPr="001E3CC4">
        <w:rPr>
          <w:rFonts w:cs="Arial"/>
        </w:rPr>
        <w:tab/>
      </w:r>
      <w:r w:rsidRPr="001E3CC4">
        <w:rPr>
          <w:rFonts w:cs="Arial"/>
        </w:rPr>
        <w:t>T</w:t>
      </w:r>
      <w:r w:rsidR="005B2344" w:rsidRPr="001E3CC4">
        <w:rPr>
          <w:rFonts w:cs="Arial"/>
        </w:rPr>
        <w:t xml:space="preserve">he Schools Block is reporting an underspend of £416k as </w:t>
      </w:r>
      <w:r w:rsidR="005E3600">
        <w:rPr>
          <w:rFonts w:cs="Arial"/>
        </w:rPr>
        <w:t>a</w:t>
      </w:r>
      <w:r w:rsidR="005B2344" w:rsidRPr="001E3CC4">
        <w:rPr>
          <w:rFonts w:cs="Arial"/>
        </w:rPr>
        <w:t xml:space="preserve"> result of lower than anticipated call on the centrally held </w:t>
      </w:r>
      <w:r w:rsidR="00CB2F93" w:rsidRPr="001E3CC4">
        <w:rPr>
          <w:rFonts w:cs="Arial"/>
        </w:rPr>
        <w:t>growth fund</w:t>
      </w:r>
      <w:r w:rsidR="005B2344" w:rsidRPr="001E3CC4">
        <w:rPr>
          <w:rFonts w:cs="Arial"/>
        </w:rPr>
        <w:t xml:space="preserve">. The </w:t>
      </w:r>
      <w:r w:rsidR="00CB2F93" w:rsidRPr="001E3CC4">
        <w:rPr>
          <w:rFonts w:cs="Arial"/>
        </w:rPr>
        <w:t xml:space="preserve">central </w:t>
      </w:r>
      <w:r w:rsidR="005B2344" w:rsidRPr="001E3CC4">
        <w:rPr>
          <w:rFonts w:cs="Arial"/>
        </w:rPr>
        <w:t>growth</w:t>
      </w:r>
      <w:r w:rsidR="00CB2F93" w:rsidRPr="001E3CC4">
        <w:rPr>
          <w:rFonts w:cs="Arial"/>
        </w:rPr>
        <w:t xml:space="preserve"> fund budget is </w:t>
      </w:r>
      <w:r w:rsidR="005B2344" w:rsidRPr="001E3CC4">
        <w:rPr>
          <w:rFonts w:cs="Arial"/>
        </w:rPr>
        <w:t>£2,500</w:t>
      </w:r>
      <w:r w:rsidR="00CB2F93" w:rsidRPr="001E3CC4">
        <w:rPr>
          <w:rFonts w:cs="Arial"/>
        </w:rPr>
        <w:t>k</w:t>
      </w:r>
      <w:r w:rsidR="005B2344" w:rsidRPr="001E3CC4">
        <w:rPr>
          <w:rFonts w:cs="Arial"/>
        </w:rPr>
        <w:t xml:space="preserve"> against a forecast spend of £2,084</w:t>
      </w:r>
      <w:r w:rsidR="00CB2F93" w:rsidRPr="001E3CC4">
        <w:rPr>
          <w:rFonts w:cs="Arial"/>
        </w:rPr>
        <w:t>k</w:t>
      </w:r>
      <w:r w:rsidR="005B2344" w:rsidRPr="001E3CC4">
        <w:rPr>
          <w:rFonts w:cs="Arial"/>
        </w:rPr>
        <w:t xml:space="preserve"> as a result of some of the growth being </w:t>
      </w:r>
      <w:r w:rsidR="00CB2F93" w:rsidRPr="001E3CC4">
        <w:rPr>
          <w:rFonts w:cs="Arial"/>
        </w:rPr>
        <w:t xml:space="preserve">funded through the </w:t>
      </w:r>
      <w:r w:rsidR="005B2344" w:rsidRPr="001E3CC4">
        <w:rPr>
          <w:rFonts w:cs="Arial"/>
        </w:rPr>
        <w:t>Authority Proforma Toolkit (APT)</w:t>
      </w:r>
      <w:r w:rsidR="00CB2F93" w:rsidRPr="001E3CC4">
        <w:rPr>
          <w:rFonts w:cs="Arial"/>
        </w:rPr>
        <w:t xml:space="preserve">.  All other areas are expected to be breaking even.    </w:t>
      </w:r>
    </w:p>
    <w:p w:rsidR="00C34139" w:rsidRPr="00F7660F" w:rsidRDefault="00C34139" w:rsidP="00C34139">
      <w:pPr>
        <w:ind w:left="709" w:hanging="709"/>
        <w:rPr>
          <w:rFonts w:cs="Arial"/>
          <w:highlight w:val="green"/>
        </w:rPr>
      </w:pPr>
    </w:p>
    <w:p w:rsidR="00C34139" w:rsidRDefault="00C34139" w:rsidP="00294D66">
      <w:pPr>
        <w:ind w:left="1429" w:hanging="709"/>
        <w:rPr>
          <w:rFonts w:cs="Arial"/>
        </w:rPr>
      </w:pPr>
    </w:p>
    <w:p w:rsidR="002201F0" w:rsidRPr="008D40E0" w:rsidRDefault="00240ECA" w:rsidP="00411851">
      <w:pPr>
        <w:pStyle w:val="ListParagraph"/>
        <w:numPr>
          <w:ilvl w:val="0"/>
          <w:numId w:val="2"/>
        </w:numPr>
        <w:rPr>
          <w:rFonts w:cs="Arial"/>
          <w:b/>
          <w:u w:val="single"/>
        </w:rPr>
      </w:pPr>
      <w:r w:rsidRPr="008D40E0">
        <w:rPr>
          <w:rFonts w:cs="Arial"/>
          <w:b/>
          <w:u w:val="single"/>
        </w:rPr>
        <w:t>Dedicated Schools Grant 201</w:t>
      </w:r>
      <w:r w:rsidR="00DB1F5F" w:rsidRPr="008D40E0">
        <w:rPr>
          <w:rFonts w:cs="Arial"/>
          <w:b/>
          <w:u w:val="single"/>
        </w:rPr>
        <w:t>8</w:t>
      </w:r>
      <w:r w:rsidR="003F6B28" w:rsidRPr="008D40E0">
        <w:rPr>
          <w:rFonts w:cs="Arial"/>
          <w:b/>
          <w:u w:val="single"/>
        </w:rPr>
        <w:t>-1</w:t>
      </w:r>
      <w:r w:rsidR="00DB1F5F" w:rsidRPr="008D40E0">
        <w:rPr>
          <w:rFonts w:cs="Arial"/>
          <w:b/>
          <w:u w:val="single"/>
        </w:rPr>
        <w:t>9</w:t>
      </w:r>
      <w:r w:rsidR="00765F1B" w:rsidRPr="008D40E0">
        <w:rPr>
          <w:rFonts w:cs="Arial"/>
          <w:b/>
          <w:u w:val="single"/>
        </w:rPr>
        <w:t xml:space="preserve"> </w:t>
      </w:r>
    </w:p>
    <w:p w:rsidR="00C6714F" w:rsidRDefault="00C6714F" w:rsidP="00C6714F">
      <w:pPr>
        <w:ind w:left="709" w:hanging="709"/>
        <w:rPr>
          <w:rFonts w:cs="Arial"/>
        </w:rPr>
      </w:pPr>
    </w:p>
    <w:p w:rsidR="00F416AE" w:rsidRPr="00F416AE" w:rsidRDefault="00F416AE" w:rsidP="00F416AE">
      <w:pPr>
        <w:ind w:left="720" w:hanging="720"/>
        <w:rPr>
          <w:rFonts w:cs="Arial"/>
        </w:rPr>
      </w:pPr>
      <w:r w:rsidRPr="00F416AE">
        <w:rPr>
          <w:rFonts w:cs="Arial"/>
        </w:rPr>
        <w:t>3.1</w:t>
      </w:r>
      <w:r w:rsidRPr="00F416AE">
        <w:rPr>
          <w:rFonts w:cs="Arial"/>
        </w:rPr>
        <w:tab/>
      </w:r>
      <w:r w:rsidR="00CA5F06" w:rsidRPr="00F416AE">
        <w:rPr>
          <w:rFonts w:cs="Arial"/>
        </w:rPr>
        <w:t>The Schools Revenue Funding settlement for 201</w:t>
      </w:r>
      <w:r w:rsidR="00D23614" w:rsidRPr="00F416AE">
        <w:rPr>
          <w:rFonts w:cs="Arial"/>
        </w:rPr>
        <w:t>8</w:t>
      </w:r>
      <w:r w:rsidR="00CA5F06" w:rsidRPr="00F416AE">
        <w:rPr>
          <w:rFonts w:cs="Arial"/>
        </w:rPr>
        <w:t>-1</w:t>
      </w:r>
      <w:r w:rsidR="00D23614" w:rsidRPr="00F416AE">
        <w:rPr>
          <w:rFonts w:cs="Arial"/>
        </w:rPr>
        <w:t>9</w:t>
      </w:r>
      <w:r w:rsidR="00CA5F06" w:rsidRPr="00F416AE">
        <w:rPr>
          <w:rFonts w:cs="Arial"/>
        </w:rPr>
        <w:t xml:space="preserve"> was announced by the Department for Education(DfE) on </w:t>
      </w:r>
      <w:r w:rsidR="00D23614" w:rsidRPr="00F416AE">
        <w:rPr>
          <w:rFonts w:cs="Arial"/>
        </w:rPr>
        <w:t>2</w:t>
      </w:r>
      <w:r w:rsidR="00F7660F">
        <w:rPr>
          <w:rFonts w:cs="Arial"/>
        </w:rPr>
        <w:t>1</w:t>
      </w:r>
      <w:r w:rsidR="00CA5F06" w:rsidRPr="00F416AE">
        <w:rPr>
          <w:rFonts w:cs="Arial"/>
        </w:rPr>
        <w:t xml:space="preserve"> December 201</w:t>
      </w:r>
      <w:r w:rsidR="00D23614" w:rsidRPr="00F416AE">
        <w:rPr>
          <w:rFonts w:cs="Arial"/>
        </w:rPr>
        <w:t>7</w:t>
      </w:r>
      <w:r w:rsidR="00CA5F06" w:rsidRPr="00F416AE">
        <w:rPr>
          <w:rFonts w:cs="Arial"/>
        </w:rPr>
        <w:t xml:space="preserve">. The Dedicated Schools Grant(DSG) is </w:t>
      </w:r>
      <w:r w:rsidR="00CA5F06" w:rsidRPr="00F416AE">
        <w:rPr>
          <w:rFonts w:cs="Arial"/>
          <w:b/>
        </w:rPr>
        <w:t>£2</w:t>
      </w:r>
      <w:r w:rsidR="00314DE9">
        <w:rPr>
          <w:rFonts w:cs="Arial"/>
          <w:b/>
        </w:rPr>
        <w:t>65</w:t>
      </w:r>
      <w:r w:rsidRPr="00F416AE">
        <w:rPr>
          <w:rFonts w:cs="Arial"/>
          <w:b/>
        </w:rPr>
        <w:t>.</w:t>
      </w:r>
      <w:r w:rsidR="00314DE9">
        <w:rPr>
          <w:rFonts w:cs="Arial"/>
          <w:b/>
        </w:rPr>
        <w:t>014</w:t>
      </w:r>
      <w:r w:rsidR="00CA5F06" w:rsidRPr="00F416AE">
        <w:rPr>
          <w:rFonts w:cs="Arial"/>
          <w:b/>
        </w:rPr>
        <w:t xml:space="preserve"> million</w:t>
      </w:r>
      <w:r w:rsidR="00CA5F06" w:rsidRPr="00F416AE">
        <w:rPr>
          <w:rFonts w:cs="Arial"/>
        </w:rPr>
        <w:t xml:space="preserve"> for 201</w:t>
      </w:r>
      <w:r w:rsidRPr="00F416AE">
        <w:rPr>
          <w:rFonts w:cs="Arial"/>
        </w:rPr>
        <w:t>8</w:t>
      </w:r>
      <w:r w:rsidR="00CA5F06" w:rsidRPr="00F416AE">
        <w:rPr>
          <w:rFonts w:cs="Arial"/>
        </w:rPr>
        <w:t>-1</w:t>
      </w:r>
      <w:r w:rsidRPr="00F416AE">
        <w:rPr>
          <w:rFonts w:cs="Arial"/>
        </w:rPr>
        <w:t>9</w:t>
      </w:r>
      <w:r w:rsidR="00CA5F06" w:rsidRPr="00F416AE">
        <w:rPr>
          <w:rFonts w:cs="Arial"/>
        </w:rPr>
        <w:t>. This figure is the gross amount before Academies Recoupment from the Schools Block(SB) and High Needs Block Deductions.</w:t>
      </w:r>
      <w:r w:rsidRPr="00F416AE">
        <w:rPr>
          <w:rFonts w:cs="Arial"/>
        </w:rPr>
        <w:t xml:space="preserve"> </w:t>
      </w:r>
      <w:r w:rsidR="008875A7">
        <w:rPr>
          <w:rFonts w:cs="Arial"/>
        </w:rPr>
        <w:t xml:space="preserve">  </w:t>
      </w:r>
      <w:r w:rsidR="008875A7" w:rsidRPr="002C1B17">
        <w:rPr>
          <w:rFonts w:cs="Arial"/>
        </w:rPr>
        <w:t>The figures for Early Years are provisional and will be updated based on January 2018 and January 2019 census data.</w:t>
      </w:r>
      <w:r w:rsidR="008875A7">
        <w:rPr>
          <w:rFonts w:cs="Arial"/>
        </w:rPr>
        <w:t xml:space="preserve"> </w:t>
      </w:r>
    </w:p>
    <w:p w:rsidR="00F416AE" w:rsidRDefault="00F416AE" w:rsidP="00F416AE">
      <w:pPr>
        <w:pStyle w:val="ListParagraph"/>
        <w:ind w:left="360"/>
        <w:jc w:val="both"/>
        <w:rPr>
          <w:rFonts w:cs="Arial"/>
        </w:rPr>
      </w:pPr>
    </w:p>
    <w:p w:rsidR="002C1B17" w:rsidRPr="002C1B17" w:rsidRDefault="002C1B17" w:rsidP="00F416AE">
      <w:pPr>
        <w:pStyle w:val="ListParagraph"/>
        <w:ind w:left="360"/>
        <w:jc w:val="both"/>
        <w:rPr>
          <w:rFonts w:cs="Arial"/>
          <w:b/>
        </w:rPr>
      </w:pPr>
      <w:r w:rsidRPr="002C1B17">
        <w:rPr>
          <w:rFonts w:cs="Arial"/>
          <w:b/>
        </w:rPr>
        <w:t>Table 3: Dedicated Schools Grant 2018-19</w:t>
      </w:r>
    </w:p>
    <w:tbl>
      <w:tblPr>
        <w:tblW w:w="10490" w:type="dxa"/>
        <w:tblInd w:w="108" w:type="dxa"/>
        <w:tblLook w:val="04A0" w:firstRow="1" w:lastRow="0" w:firstColumn="1" w:lastColumn="0" w:noHBand="0" w:noVBand="1"/>
      </w:tblPr>
      <w:tblGrid>
        <w:gridCol w:w="567"/>
        <w:gridCol w:w="1902"/>
        <w:gridCol w:w="1397"/>
        <w:gridCol w:w="1428"/>
        <w:gridCol w:w="1227"/>
        <w:gridCol w:w="1417"/>
        <w:gridCol w:w="1134"/>
        <w:gridCol w:w="1418"/>
      </w:tblGrid>
      <w:tr w:rsidR="0049174F" w:rsidRPr="0049174F" w:rsidTr="0049174F">
        <w:trPr>
          <w:trHeight w:val="78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174F" w:rsidRPr="0049174F" w:rsidRDefault="0049174F" w:rsidP="0049174F">
            <w:pPr>
              <w:jc w:val="center"/>
              <w:rPr>
                <w:rFonts w:cs="Arial"/>
                <w:b/>
                <w:bCs/>
                <w:color w:val="000000"/>
              </w:rPr>
            </w:pPr>
            <w:r w:rsidRPr="0049174F">
              <w:rPr>
                <w:rFonts w:cs="Arial"/>
                <w:b/>
                <w:bCs/>
                <w:color w:val="000000"/>
              </w:rPr>
              <w:t>Notes</w:t>
            </w:r>
          </w:p>
        </w:tc>
        <w:tc>
          <w:tcPr>
            <w:tcW w:w="1902" w:type="dxa"/>
            <w:tcBorders>
              <w:top w:val="single" w:sz="4" w:space="0" w:color="auto"/>
              <w:left w:val="nil"/>
              <w:bottom w:val="single" w:sz="4" w:space="0" w:color="auto"/>
              <w:right w:val="single" w:sz="4" w:space="0" w:color="auto"/>
            </w:tcBorders>
            <w:shd w:val="clear" w:color="000000" w:fill="BDD7EE"/>
            <w:vAlign w:val="center"/>
            <w:hideMark/>
          </w:tcPr>
          <w:p w:rsidR="0049174F" w:rsidRPr="0049174F" w:rsidRDefault="0049174F" w:rsidP="0049174F">
            <w:pPr>
              <w:jc w:val="center"/>
              <w:rPr>
                <w:rFonts w:cs="Arial"/>
                <w:b/>
                <w:bCs/>
                <w:color w:val="000000"/>
                <w:sz w:val="20"/>
                <w:szCs w:val="20"/>
              </w:rPr>
            </w:pPr>
            <w:r w:rsidRPr="0049174F">
              <w:rPr>
                <w:rFonts w:cs="Arial"/>
                <w:b/>
                <w:bCs/>
                <w:color w:val="000000"/>
                <w:sz w:val="20"/>
                <w:szCs w:val="20"/>
              </w:rPr>
              <w:t> </w:t>
            </w:r>
          </w:p>
        </w:tc>
        <w:tc>
          <w:tcPr>
            <w:tcW w:w="1397" w:type="dxa"/>
            <w:tcBorders>
              <w:top w:val="single" w:sz="4" w:space="0" w:color="auto"/>
              <w:left w:val="nil"/>
              <w:bottom w:val="single" w:sz="4" w:space="0" w:color="auto"/>
              <w:right w:val="single" w:sz="4" w:space="0" w:color="auto"/>
            </w:tcBorders>
            <w:shd w:val="clear" w:color="000000" w:fill="BDD7EE"/>
            <w:vAlign w:val="center"/>
            <w:hideMark/>
          </w:tcPr>
          <w:p w:rsidR="0049174F" w:rsidRPr="0049174F" w:rsidRDefault="0049174F" w:rsidP="0049174F">
            <w:pPr>
              <w:jc w:val="center"/>
              <w:rPr>
                <w:rFonts w:cs="Arial"/>
                <w:b/>
                <w:bCs/>
                <w:color w:val="000000"/>
                <w:sz w:val="20"/>
                <w:szCs w:val="20"/>
              </w:rPr>
            </w:pPr>
            <w:r w:rsidRPr="0049174F">
              <w:rPr>
                <w:rFonts w:cs="Arial"/>
                <w:b/>
                <w:bCs/>
                <w:color w:val="000000"/>
                <w:sz w:val="20"/>
                <w:szCs w:val="20"/>
              </w:rPr>
              <w:t>2018-19 DfE Allocation</w:t>
            </w:r>
          </w:p>
        </w:tc>
        <w:tc>
          <w:tcPr>
            <w:tcW w:w="1428" w:type="dxa"/>
            <w:tcBorders>
              <w:top w:val="single" w:sz="4" w:space="0" w:color="auto"/>
              <w:left w:val="nil"/>
              <w:bottom w:val="single" w:sz="4" w:space="0" w:color="auto"/>
              <w:right w:val="single" w:sz="4" w:space="0" w:color="auto"/>
            </w:tcBorders>
            <w:shd w:val="clear" w:color="000000" w:fill="BDD7EE"/>
            <w:vAlign w:val="center"/>
            <w:hideMark/>
          </w:tcPr>
          <w:p w:rsidR="0049174F" w:rsidRPr="0049174F" w:rsidRDefault="0049174F" w:rsidP="0049174F">
            <w:pPr>
              <w:jc w:val="center"/>
              <w:rPr>
                <w:rFonts w:cs="Arial"/>
                <w:b/>
                <w:bCs/>
                <w:color w:val="000000"/>
                <w:sz w:val="20"/>
                <w:szCs w:val="20"/>
              </w:rPr>
            </w:pPr>
            <w:r w:rsidRPr="0049174F">
              <w:rPr>
                <w:rFonts w:cs="Arial"/>
                <w:b/>
                <w:bCs/>
                <w:color w:val="000000"/>
                <w:sz w:val="20"/>
                <w:szCs w:val="20"/>
              </w:rPr>
              <w:t>Recoupment</w:t>
            </w:r>
          </w:p>
        </w:tc>
        <w:tc>
          <w:tcPr>
            <w:tcW w:w="1227" w:type="dxa"/>
            <w:tcBorders>
              <w:top w:val="single" w:sz="4" w:space="0" w:color="auto"/>
              <w:left w:val="nil"/>
              <w:bottom w:val="single" w:sz="4" w:space="0" w:color="auto"/>
              <w:right w:val="single" w:sz="4" w:space="0" w:color="auto"/>
            </w:tcBorders>
            <w:shd w:val="clear" w:color="000000" w:fill="BDD7EE"/>
            <w:vAlign w:val="center"/>
            <w:hideMark/>
          </w:tcPr>
          <w:p w:rsidR="0049174F" w:rsidRPr="0049174F" w:rsidRDefault="0049174F" w:rsidP="0049174F">
            <w:pPr>
              <w:rPr>
                <w:rFonts w:cs="Arial"/>
                <w:b/>
                <w:bCs/>
                <w:color w:val="000000"/>
                <w:sz w:val="20"/>
                <w:szCs w:val="20"/>
              </w:rPr>
            </w:pPr>
            <w:r w:rsidRPr="0049174F">
              <w:rPr>
                <w:rFonts w:cs="Arial"/>
                <w:b/>
                <w:bCs/>
                <w:color w:val="000000"/>
                <w:sz w:val="20"/>
                <w:szCs w:val="20"/>
              </w:rPr>
              <w:t>High Needs Deduction</w:t>
            </w:r>
          </w:p>
        </w:tc>
        <w:tc>
          <w:tcPr>
            <w:tcW w:w="1417" w:type="dxa"/>
            <w:tcBorders>
              <w:top w:val="single" w:sz="4" w:space="0" w:color="auto"/>
              <w:left w:val="nil"/>
              <w:bottom w:val="single" w:sz="4" w:space="0" w:color="auto"/>
              <w:right w:val="single" w:sz="4" w:space="0" w:color="auto"/>
            </w:tcBorders>
            <w:shd w:val="clear" w:color="000000" w:fill="BDD7EE"/>
            <w:vAlign w:val="center"/>
            <w:hideMark/>
          </w:tcPr>
          <w:p w:rsidR="0049174F" w:rsidRPr="0049174F" w:rsidRDefault="0049174F" w:rsidP="0049174F">
            <w:pPr>
              <w:jc w:val="center"/>
              <w:rPr>
                <w:rFonts w:cs="Arial"/>
                <w:b/>
                <w:bCs/>
                <w:color w:val="000000"/>
                <w:sz w:val="20"/>
                <w:szCs w:val="20"/>
              </w:rPr>
            </w:pPr>
            <w:r w:rsidRPr="0049174F">
              <w:rPr>
                <w:rFonts w:cs="Arial"/>
                <w:b/>
                <w:bCs/>
                <w:color w:val="000000"/>
                <w:sz w:val="20"/>
                <w:szCs w:val="20"/>
              </w:rPr>
              <w:t>Base Allocation</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rsidR="0049174F" w:rsidRPr="0049174F" w:rsidRDefault="0049174F" w:rsidP="0049174F">
            <w:pPr>
              <w:jc w:val="center"/>
              <w:rPr>
                <w:rFonts w:cs="Arial"/>
                <w:b/>
                <w:bCs/>
                <w:color w:val="000000"/>
                <w:sz w:val="20"/>
                <w:szCs w:val="20"/>
              </w:rPr>
            </w:pPr>
            <w:r w:rsidRPr="0049174F">
              <w:rPr>
                <w:rFonts w:cs="Arial"/>
                <w:b/>
                <w:bCs/>
                <w:color w:val="000000"/>
                <w:sz w:val="20"/>
                <w:szCs w:val="20"/>
              </w:rPr>
              <w:t>Transfers between blocks</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rsidR="0049174F" w:rsidRPr="0049174F" w:rsidRDefault="0049174F" w:rsidP="0049174F">
            <w:pPr>
              <w:jc w:val="center"/>
              <w:rPr>
                <w:rFonts w:cs="Arial"/>
                <w:b/>
                <w:bCs/>
                <w:color w:val="000000"/>
                <w:sz w:val="20"/>
                <w:szCs w:val="20"/>
              </w:rPr>
            </w:pPr>
            <w:r w:rsidRPr="0049174F">
              <w:rPr>
                <w:rFonts w:cs="Arial"/>
                <w:b/>
                <w:bCs/>
                <w:color w:val="000000"/>
                <w:sz w:val="20"/>
                <w:szCs w:val="20"/>
              </w:rPr>
              <w:t>2018-19 Revised Budget</w:t>
            </w:r>
          </w:p>
        </w:tc>
      </w:tr>
      <w:tr w:rsidR="0049174F" w:rsidRPr="0049174F" w:rsidTr="0049174F">
        <w:trPr>
          <w:trHeight w:val="3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174F" w:rsidRPr="0049174F" w:rsidRDefault="0049174F" w:rsidP="0049174F">
            <w:pPr>
              <w:rPr>
                <w:rFonts w:cs="Arial"/>
                <w:color w:val="000000"/>
              </w:rPr>
            </w:pPr>
            <w:r w:rsidRPr="0049174F">
              <w:rPr>
                <w:rFonts w:cs="Arial"/>
                <w:color w:val="000000"/>
              </w:rPr>
              <w:t> </w:t>
            </w:r>
          </w:p>
        </w:tc>
        <w:tc>
          <w:tcPr>
            <w:tcW w:w="1902"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center"/>
              <w:rPr>
                <w:rFonts w:cs="Arial"/>
                <w:b/>
                <w:bCs/>
                <w:color w:val="000000"/>
                <w:sz w:val="22"/>
                <w:szCs w:val="22"/>
              </w:rPr>
            </w:pPr>
            <w:r w:rsidRPr="0049174F">
              <w:rPr>
                <w:rFonts w:cs="Arial"/>
                <w:b/>
                <w:bCs/>
                <w:color w:val="000000"/>
                <w:sz w:val="22"/>
                <w:szCs w:val="22"/>
              </w:rPr>
              <w:t> </w:t>
            </w:r>
          </w:p>
        </w:tc>
        <w:tc>
          <w:tcPr>
            <w:tcW w:w="139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center"/>
              <w:rPr>
                <w:rFonts w:cs="Arial"/>
                <w:b/>
                <w:bCs/>
                <w:color w:val="000000"/>
                <w:sz w:val="22"/>
                <w:szCs w:val="22"/>
              </w:rPr>
            </w:pPr>
            <w:r w:rsidRPr="0049174F">
              <w:rPr>
                <w:rFonts w:cs="Arial"/>
                <w:b/>
                <w:bCs/>
                <w:color w:val="000000"/>
                <w:sz w:val="22"/>
                <w:szCs w:val="22"/>
              </w:rPr>
              <w:t>£’000</w:t>
            </w:r>
          </w:p>
        </w:tc>
        <w:tc>
          <w:tcPr>
            <w:tcW w:w="1428"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center"/>
              <w:rPr>
                <w:rFonts w:cs="Arial"/>
                <w:b/>
                <w:bCs/>
                <w:color w:val="000000"/>
                <w:sz w:val="22"/>
                <w:szCs w:val="22"/>
              </w:rPr>
            </w:pPr>
            <w:r w:rsidRPr="0049174F">
              <w:rPr>
                <w:rFonts w:cs="Arial"/>
                <w:b/>
                <w:bCs/>
                <w:color w:val="000000"/>
                <w:sz w:val="22"/>
                <w:szCs w:val="22"/>
              </w:rPr>
              <w:t>£’000</w:t>
            </w:r>
          </w:p>
        </w:tc>
        <w:tc>
          <w:tcPr>
            <w:tcW w:w="122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center"/>
              <w:rPr>
                <w:rFonts w:cs="Arial"/>
                <w:b/>
                <w:bCs/>
                <w:color w:val="000000"/>
                <w:sz w:val="22"/>
                <w:szCs w:val="22"/>
              </w:rPr>
            </w:pPr>
            <w:r w:rsidRPr="0049174F">
              <w:rPr>
                <w:rFonts w:cs="Arial"/>
                <w:b/>
                <w:bCs/>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center"/>
              <w:rPr>
                <w:rFonts w:cs="Arial"/>
                <w:b/>
                <w:bCs/>
                <w:color w:val="000000"/>
                <w:sz w:val="22"/>
                <w:szCs w:val="22"/>
              </w:rPr>
            </w:pPr>
            <w:r w:rsidRPr="0049174F">
              <w:rPr>
                <w:rFonts w:cs="Arial"/>
                <w:b/>
                <w:bCs/>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center"/>
              <w:rPr>
                <w:rFonts w:cs="Arial"/>
                <w:b/>
                <w:bCs/>
                <w:color w:val="000000"/>
                <w:sz w:val="22"/>
                <w:szCs w:val="22"/>
              </w:rPr>
            </w:pPr>
            <w:r w:rsidRPr="0049174F">
              <w:rPr>
                <w:rFonts w:cs="Arial"/>
                <w:b/>
                <w:bCs/>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center"/>
              <w:rPr>
                <w:rFonts w:cs="Arial"/>
                <w:b/>
                <w:bCs/>
                <w:color w:val="000000"/>
                <w:sz w:val="22"/>
                <w:szCs w:val="22"/>
              </w:rPr>
            </w:pPr>
            <w:r w:rsidRPr="0049174F">
              <w:rPr>
                <w:rFonts w:cs="Arial"/>
                <w:b/>
                <w:bCs/>
                <w:color w:val="000000"/>
                <w:sz w:val="22"/>
                <w:szCs w:val="22"/>
              </w:rPr>
              <w:t>£’000</w:t>
            </w:r>
          </w:p>
        </w:tc>
      </w:tr>
      <w:tr w:rsidR="0049174F" w:rsidRPr="0049174F" w:rsidTr="0049174F">
        <w:trPr>
          <w:trHeight w:val="3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174F" w:rsidRPr="0049174F" w:rsidRDefault="002B1E30" w:rsidP="0049174F">
            <w:pPr>
              <w:jc w:val="right"/>
              <w:rPr>
                <w:rFonts w:cs="Arial"/>
                <w:color w:val="000000"/>
              </w:rPr>
            </w:pPr>
            <w:r>
              <w:rPr>
                <w:rFonts w:cs="Arial"/>
                <w:color w:val="000000"/>
              </w:rPr>
              <w:t>3.2</w:t>
            </w:r>
          </w:p>
        </w:tc>
        <w:tc>
          <w:tcPr>
            <w:tcW w:w="1902"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rPr>
                <w:rFonts w:cs="Arial"/>
                <w:color w:val="000000"/>
                <w:sz w:val="22"/>
                <w:szCs w:val="22"/>
              </w:rPr>
            </w:pPr>
            <w:r w:rsidRPr="0049174F">
              <w:rPr>
                <w:rFonts w:cs="Arial"/>
                <w:color w:val="000000"/>
                <w:sz w:val="22"/>
                <w:szCs w:val="22"/>
              </w:rPr>
              <w:t>Early Years Block</w:t>
            </w:r>
          </w:p>
        </w:tc>
        <w:tc>
          <w:tcPr>
            <w:tcW w:w="139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22,223</w:t>
            </w:r>
          </w:p>
        </w:tc>
        <w:tc>
          <w:tcPr>
            <w:tcW w:w="1428"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 </w:t>
            </w:r>
          </w:p>
        </w:tc>
        <w:tc>
          <w:tcPr>
            <w:tcW w:w="122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22,223</w:t>
            </w:r>
          </w:p>
        </w:tc>
        <w:tc>
          <w:tcPr>
            <w:tcW w:w="1134"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22,223</w:t>
            </w:r>
          </w:p>
        </w:tc>
      </w:tr>
      <w:tr w:rsidR="0049174F" w:rsidRPr="0049174F" w:rsidTr="0049174F">
        <w:trPr>
          <w:trHeight w:val="3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174F" w:rsidRPr="0049174F" w:rsidRDefault="002B1E30" w:rsidP="0049174F">
            <w:pPr>
              <w:jc w:val="right"/>
              <w:rPr>
                <w:rFonts w:cs="Arial"/>
                <w:color w:val="000000"/>
              </w:rPr>
            </w:pPr>
            <w:r>
              <w:rPr>
                <w:rFonts w:cs="Arial"/>
                <w:color w:val="000000"/>
              </w:rPr>
              <w:t>3.3</w:t>
            </w:r>
          </w:p>
        </w:tc>
        <w:tc>
          <w:tcPr>
            <w:tcW w:w="1902"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rPr>
                <w:rFonts w:cs="Arial"/>
                <w:color w:val="000000"/>
                <w:sz w:val="22"/>
                <w:szCs w:val="22"/>
              </w:rPr>
            </w:pPr>
            <w:r w:rsidRPr="0049174F">
              <w:rPr>
                <w:rFonts w:cs="Arial"/>
                <w:color w:val="000000"/>
                <w:sz w:val="22"/>
                <w:szCs w:val="22"/>
              </w:rPr>
              <w:t>High Needs Block</w:t>
            </w:r>
          </w:p>
        </w:tc>
        <w:tc>
          <w:tcPr>
            <w:tcW w:w="139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27,971</w:t>
            </w:r>
          </w:p>
        </w:tc>
        <w:tc>
          <w:tcPr>
            <w:tcW w:w="1428" w:type="dxa"/>
            <w:tcBorders>
              <w:top w:val="nil"/>
              <w:left w:val="nil"/>
              <w:bottom w:val="single" w:sz="4" w:space="0" w:color="auto"/>
              <w:right w:val="single" w:sz="4" w:space="0" w:color="auto"/>
            </w:tcBorders>
            <w:shd w:val="clear" w:color="auto" w:fill="auto"/>
            <w:noWrap/>
            <w:vAlign w:val="bottom"/>
            <w:hideMark/>
          </w:tcPr>
          <w:p w:rsidR="0049174F" w:rsidRPr="0049174F" w:rsidRDefault="0049174F" w:rsidP="0049174F">
            <w:pPr>
              <w:rPr>
                <w:rFonts w:ascii="Times New Roman" w:hAnsi="Times New Roman"/>
                <w:color w:val="000000"/>
                <w:sz w:val="20"/>
                <w:szCs w:val="20"/>
              </w:rPr>
            </w:pPr>
            <w:r w:rsidRPr="0049174F">
              <w:rPr>
                <w:rFonts w:ascii="Times New Roman" w:hAnsi="Times New Roman"/>
                <w:color w:val="000000"/>
                <w:sz w:val="20"/>
                <w:szCs w:val="20"/>
              </w:rPr>
              <w:t> </w:t>
            </w:r>
          </w:p>
        </w:tc>
        <w:tc>
          <w:tcPr>
            <w:tcW w:w="1227" w:type="dxa"/>
            <w:tcBorders>
              <w:top w:val="nil"/>
              <w:left w:val="nil"/>
              <w:bottom w:val="single" w:sz="4" w:space="0" w:color="auto"/>
              <w:right w:val="single" w:sz="4" w:space="0" w:color="auto"/>
            </w:tcBorders>
            <w:shd w:val="clear" w:color="auto" w:fill="auto"/>
            <w:noWrap/>
            <w:vAlign w:val="bottom"/>
            <w:hideMark/>
          </w:tcPr>
          <w:p w:rsidR="0049174F" w:rsidRPr="0049174F" w:rsidRDefault="0049174F" w:rsidP="0049174F">
            <w:pPr>
              <w:jc w:val="right"/>
              <w:rPr>
                <w:rFonts w:cs="Arial"/>
                <w:color w:val="000000"/>
                <w:sz w:val="22"/>
                <w:szCs w:val="22"/>
              </w:rPr>
            </w:pPr>
            <w:r w:rsidRPr="0049174F">
              <w:rPr>
                <w:rFonts w:cs="Arial"/>
                <w:color w:val="FF0000"/>
                <w:sz w:val="22"/>
                <w:szCs w:val="22"/>
              </w:rPr>
              <w:t>(2,328)</w:t>
            </w:r>
          </w:p>
        </w:tc>
        <w:tc>
          <w:tcPr>
            <w:tcW w:w="141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25,643</w:t>
            </w:r>
          </w:p>
        </w:tc>
        <w:tc>
          <w:tcPr>
            <w:tcW w:w="1134"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750</w:t>
            </w:r>
          </w:p>
        </w:tc>
        <w:tc>
          <w:tcPr>
            <w:tcW w:w="1418"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26,393</w:t>
            </w:r>
          </w:p>
        </w:tc>
      </w:tr>
      <w:tr w:rsidR="0049174F" w:rsidRPr="0049174F" w:rsidTr="0049174F">
        <w:trPr>
          <w:trHeight w:val="3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174F" w:rsidRPr="0049174F" w:rsidRDefault="0049174F" w:rsidP="0049174F">
            <w:pPr>
              <w:jc w:val="right"/>
              <w:rPr>
                <w:rFonts w:cs="Arial"/>
                <w:color w:val="000000"/>
              </w:rPr>
            </w:pPr>
            <w:r w:rsidRPr="0049174F">
              <w:rPr>
                <w:rFonts w:cs="Arial"/>
                <w:color w:val="000000"/>
              </w:rPr>
              <w:t>3</w:t>
            </w:r>
            <w:r w:rsidR="002B1E30">
              <w:rPr>
                <w:rFonts w:cs="Arial"/>
                <w:color w:val="000000"/>
              </w:rPr>
              <w:t>.4</w:t>
            </w:r>
          </w:p>
        </w:tc>
        <w:tc>
          <w:tcPr>
            <w:tcW w:w="1902"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rPr>
                <w:rFonts w:cs="Arial"/>
                <w:color w:val="000000"/>
                <w:sz w:val="22"/>
                <w:szCs w:val="22"/>
              </w:rPr>
            </w:pPr>
            <w:r w:rsidRPr="0049174F">
              <w:rPr>
                <w:rFonts w:cs="Arial"/>
                <w:color w:val="000000"/>
                <w:sz w:val="22"/>
                <w:szCs w:val="22"/>
              </w:rPr>
              <w:t>Central Block</w:t>
            </w:r>
          </w:p>
        </w:tc>
        <w:tc>
          <w:tcPr>
            <w:tcW w:w="139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2,559</w:t>
            </w:r>
          </w:p>
        </w:tc>
        <w:tc>
          <w:tcPr>
            <w:tcW w:w="1428"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 </w:t>
            </w:r>
          </w:p>
        </w:tc>
        <w:tc>
          <w:tcPr>
            <w:tcW w:w="122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2,559</w:t>
            </w:r>
          </w:p>
        </w:tc>
        <w:tc>
          <w:tcPr>
            <w:tcW w:w="1134"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2,559</w:t>
            </w:r>
          </w:p>
        </w:tc>
      </w:tr>
      <w:tr w:rsidR="0049174F" w:rsidRPr="0049174F" w:rsidTr="0049174F">
        <w:trPr>
          <w:trHeight w:val="3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174F" w:rsidRPr="0049174F" w:rsidRDefault="0049174F" w:rsidP="0049174F">
            <w:pPr>
              <w:jc w:val="right"/>
              <w:rPr>
                <w:rFonts w:cs="Arial"/>
                <w:color w:val="000000"/>
              </w:rPr>
            </w:pPr>
          </w:p>
        </w:tc>
        <w:tc>
          <w:tcPr>
            <w:tcW w:w="1902"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rPr>
                <w:rFonts w:cs="Arial"/>
                <w:color w:val="000000"/>
                <w:sz w:val="22"/>
                <w:szCs w:val="22"/>
              </w:rPr>
            </w:pPr>
            <w:r w:rsidRPr="0049174F">
              <w:rPr>
                <w:rFonts w:cs="Arial"/>
                <w:color w:val="000000"/>
                <w:sz w:val="22"/>
                <w:szCs w:val="22"/>
              </w:rPr>
              <w:t>Schools Block</w:t>
            </w:r>
          </w:p>
        </w:tc>
        <w:tc>
          <w:tcPr>
            <w:tcW w:w="139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212,261</w:t>
            </w:r>
          </w:p>
        </w:tc>
        <w:tc>
          <w:tcPr>
            <w:tcW w:w="1428" w:type="dxa"/>
            <w:tcBorders>
              <w:top w:val="nil"/>
              <w:left w:val="nil"/>
              <w:bottom w:val="single" w:sz="4" w:space="0" w:color="auto"/>
              <w:right w:val="single" w:sz="4" w:space="0" w:color="auto"/>
            </w:tcBorders>
            <w:shd w:val="clear" w:color="auto" w:fill="auto"/>
            <w:noWrap/>
            <w:vAlign w:val="bottom"/>
            <w:hideMark/>
          </w:tcPr>
          <w:p w:rsidR="0049174F" w:rsidRPr="0049174F" w:rsidRDefault="0049174F" w:rsidP="0049174F">
            <w:pPr>
              <w:jc w:val="right"/>
              <w:rPr>
                <w:rFonts w:cs="Arial"/>
                <w:color w:val="000000"/>
                <w:sz w:val="22"/>
                <w:szCs w:val="22"/>
              </w:rPr>
            </w:pPr>
            <w:r w:rsidRPr="0049174F">
              <w:rPr>
                <w:rFonts w:cs="Arial"/>
                <w:color w:val="FF0000"/>
                <w:sz w:val="22"/>
                <w:szCs w:val="22"/>
              </w:rPr>
              <w:t>(44,358)</w:t>
            </w:r>
          </w:p>
        </w:tc>
        <w:tc>
          <w:tcPr>
            <w:tcW w:w="122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167,903</w:t>
            </w:r>
          </w:p>
        </w:tc>
        <w:tc>
          <w:tcPr>
            <w:tcW w:w="1134"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-750</w:t>
            </w:r>
          </w:p>
        </w:tc>
        <w:tc>
          <w:tcPr>
            <w:tcW w:w="1418" w:type="dxa"/>
            <w:tcBorders>
              <w:top w:val="nil"/>
              <w:left w:val="nil"/>
              <w:bottom w:val="single" w:sz="4" w:space="0" w:color="auto"/>
              <w:right w:val="single" w:sz="4" w:space="0" w:color="auto"/>
            </w:tcBorders>
            <w:shd w:val="clear" w:color="auto" w:fill="auto"/>
            <w:vAlign w:val="center"/>
            <w:hideMark/>
          </w:tcPr>
          <w:p w:rsidR="0049174F" w:rsidRPr="0049174F" w:rsidRDefault="0049174F" w:rsidP="0049174F">
            <w:pPr>
              <w:jc w:val="right"/>
              <w:rPr>
                <w:rFonts w:cs="Arial"/>
                <w:color w:val="000000"/>
                <w:sz w:val="22"/>
                <w:szCs w:val="22"/>
              </w:rPr>
            </w:pPr>
            <w:r w:rsidRPr="0049174F">
              <w:rPr>
                <w:rFonts w:cs="Arial"/>
                <w:color w:val="000000"/>
                <w:sz w:val="22"/>
                <w:szCs w:val="22"/>
              </w:rPr>
              <w:t>167,153</w:t>
            </w:r>
          </w:p>
        </w:tc>
      </w:tr>
      <w:tr w:rsidR="0049174F" w:rsidRPr="0049174F" w:rsidTr="0049174F">
        <w:trPr>
          <w:trHeight w:val="3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174F" w:rsidRPr="0049174F" w:rsidRDefault="0049174F" w:rsidP="0049174F">
            <w:pPr>
              <w:rPr>
                <w:rFonts w:cs="Arial"/>
                <w:color w:val="000000"/>
              </w:rPr>
            </w:pPr>
            <w:r w:rsidRPr="0049174F">
              <w:rPr>
                <w:rFonts w:cs="Arial"/>
                <w:color w:val="000000"/>
              </w:rPr>
              <w:t> </w:t>
            </w:r>
          </w:p>
        </w:tc>
        <w:tc>
          <w:tcPr>
            <w:tcW w:w="1902" w:type="dxa"/>
            <w:tcBorders>
              <w:top w:val="nil"/>
              <w:left w:val="nil"/>
              <w:bottom w:val="single" w:sz="4" w:space="0" w:color="auto"/>
              <w:right w:val="single" w:sz="4" w:space="0" w:color="auto"/>
            </w:tcBorders>
            <w:shd w:val="clear" w:color="000000" w:fill="FFD966"/>
            <w:vAlign w:val="center"/>
            <w:hideMark/>
          </w:tcPr>
          <w:p w:rsidR="0049174F" w:rsidRPr="0049174F" w:rsidRDefault="0049174F" w:rsidP="0049174F">
            <w:pPr>
              <w:rPr>
                <w:rFonts w:cs="Arial"/>
                <w:b/>
                <w:bCs/>
                <w:color w:val="000000"/>
                <w:sz w:val="22"/>
                <w:szCs w:val="22"/>
              </w:rPr>
            </w:pPr>
            <w:r w:rsidRPr="0049174F">
              <w:rPr>
                <w:rFonts w:cs="Arial"/>
                <w:b/>
                <w:bCs/>
                <w:color w:val="000000"/>
                <w:sz w:val="22"/>
                <w:szCs w:val="22"/>
              </w:rPr>
              <w:t>TOTAL</w:t>
            </w:r>
          </w:p>
        </w:tc>
        <w:tc>
          <w:tcPr>
            <w:tcW w:w="1397" w:type="dxa"/>
            <w:tcBorders>
              <w:top w:val="nil"/>
              <w:left w:val="nil"/>
              <w:bottom w:val="single" w:sz="4" w:space="0" w:color="auto"/>
              <w:right w:val="single" w:sz="4" w:space="0" w:color="auto"/>
            </w:tcBorders>
            <w:shd w:val="clear" w:color="000000" w:fill="FFD966"/>
            <w:vAlign w:val="center"/>
            <w:hideMark/>
          </w:tcPr>
          <w:p w:rsidR="0049174F" w:rsidRPr="0049174F" w:rsidRDefault="0049174F" w:rsidP="0049174F">
            <w:pPr>
              <w:jc w:val="right"/>
              <w:rPr>
                <w:rFonts w:cs="Arial"/>
                <w:b/>
                <w:bCs/>
                <w:color w:val="000000"/>
                <w:sz w:val="22"/>
                <w:szCs w:val="22"/>
              </w:rPr>
            </w:pPr>
            <w:r w:rsidRPr="0049174F">
              <w:rPr>
                <w:rFonts w:cs="Arial"/>
                <w:b/>
                <w:bCs/>
                <w:color w:val="000000"/>
                <w:sz w:val="22"/>
                <w:szCs w:val="22"/>
              </w:rPr>
              <w:t>£265,014</w:t>
            </w:r>
          </w:p>
        </w:tc>
        <w:tc>
          <w:tcPr>
            <w:tcW w:w="1428" w:type="dxa"/>
            <w:tcBorders>
              <w:top w:val="nil"/>
              <w:left w:val="nil"/>
              <w:bottom w:val="single" w:sz="4" w:space="0" w:color="auto"/>
              <w:right w:val="single" w:sz="4" w:space="0" w:color="auto"/>
            </w:tcBorders>
            <w:shd w:val="clear" w:color="000000" w:fill="FFD966"/>
            <w:vAlign w:val="center"/>
            <w:hideMark/>
          </w:tcPr>
          <w:p w:rsidR="0049174F" w:rsidRPr="0049174F" w:rsidRDefault="0049174F" w:rsidP="0049174F">
            <w:pPr>
              <w:jc w:val="right"/>
              <w:rPr>
                <w:rFonts w:cs="Arial"/>
                <w:b/>
                <w:bCs/>
                <w:color w:val="000000"/>
                <w:sz w:val="22"/>
                <w:szCs w:val="22"/>
              </w:rPr>
            </w:pPr>
            <w:r w:rsidRPr="0049174F">
              <w:rPr>
                <w:rFonts w:cs="Arial"/>
                <w:b/>
                <w:bCs/>
                <w:color w:val="FF0000"/>
                <w:sz w:val="22"/>
                <w:szCs w:val="22"/>
              </w:rPr>
              <w:t>(£44,358)</w:t>
            </w:r>
          </w:p>
        </w:tc>
        <w:tc>
          <w:tcPr>
            <w:tcW w:w="1227" w:type="dxa"/>
            <w:tcBorders>
              <w:top w:val="nil"/>
              <w:left w:val="nil"/>
              <w:bottom w:val="single" w:sz="4" w:space="0" w:color="auto"/>
              <w:right w:val="single" w:sz="4" w:space="0" w:color="auto"/>
            </w:tcBorders>
            <w:shd w:val="clear" w:color="000000" w:fill="FFD966"/>
            <w:vAlign w:val="center"/>
            <w:hideMark/>
          </w:tcPr>
          <w:p w:rsidR="0049174F" w:rsidRPr="0049174F" w:rsidRDefault="0049174F" w:rsidP="0049174F">
            <w:pPr>
              <w:jc w:val="right"/>
              <w:rPr>
                <w:rFonts w:cs="Arial"/>
                <w:b/>
                <w:bCs/>
                <w:color w:val="000000"/>
                <w:sz w:val="22"/>
                <w:szCs w:val="22"/>
              </w:rPr>
            </w:pPr>
            <w:r w:rsidRPr="0049174F">
              <w:rPr>
                <w:rFonts w:cs="Arial"/>
                <w:b/>
                <w:bCs/>
                <w:color w:val="FF0000"/>
                <w:sz w:val="22"/>
                <w:szCs w:val="22"/>
              </w:rPr>
              <w:t>(£2,328)</w:t>
            </w:r>
          </w:p>
        </w:tc>
        <w:tc>
          <w:tcPr>
            <w:tcW w:w="1417" w:type="dxa"/>
            <w:tcBorders>
              <w:top w:val="nil"/>
              <w:left w:val="nil"/>
              <w:bottom w:val="single" w:sz="4" w:space="0" w:color="auto"/>
              <w:right w:val="single" w:sz="4" w:space="0" w:color="auto"/>
            </w:tcBorders>
            <w:shd w:val="clear" w:color="000000" w:fill="FFD966"/>
            <w:vAlign w:val="center"/>
            <w:hideMark/>
          </w:tcPr>
          <w:p w:rsidR="0049174F" w:rsidRPr="0049174F" w:rsidRDefault="0049174F" w:rsidP="0049174F">
            <w:pPr>
              <w:jc w:val="right"/>
              <w:rPr>
                <w:rFonts w:cs="Arial"/>
                <w:b/>
                <w:bCs/>
                <w:color w:val="000000"/>
                <w:sz w:val="22"/>
                <w:szCs w:val="22"/>
              </w:rPr>
            </w:pPr>
            <w:r w:rsidRPr="0049174F">
              <w:rPr>
                <w:rFonts w:cs="Arial"/>
                <w:b/>
                <w:bCs/>
                <w:color w:val="000000"/>
                <w:sz w:val="22"/>
                <w:szCs w:val="22"/>
              </w:rPr>
              <w:t>£218,328</w:t>
            </w:r>
          </w:p>
        </w:tc>
        <w:tc>
          <w:tcPr>
            <w:tcW w:w="1134" w:type="dxa"/>
            <w:tcBorders>
              <w:top w:val="nil"/>
              <w:left w:val="nil"/>
              <w:bottom w:val="single" w:sz="4" w:space="0" w:color="auto"/>
              <w:right w:val="single" w:sz="4" w:space="0" w:color="auto"/>
            </w:tcBorders>
            <w:shd w:val="clear" w:color="000000" w:fill="FFD966"/>
            <w:vAlign w:val="center"/>
            <w:hideMark/>
          </w:tcPr>
          <w:p w:rsidR="0049174F" w:rsidRPr="0049174F" w:rsidRDefault="0049174F" w:rsidP="0049174F">
            <w:pPr>
              <w:jc w:val="right"/>
              <w:rPr>
                <w:rFonts w:cs="Arial"/>
                <w:b/>
                <w:bCs/>
                <w:color w:val="000000"/>
                <w:sz w:val="22"/>
                <w:szCs w:val="22"/>
              </w:rPr>
            </w:pPr>
            <w:r w:rsidRPr="0049174F">
              <w:rPr>
                <w:rFonts w:cs="Arial"/>
                <w:b/>
                <w:bCs/>
                <w:color w:val="000000"/>
                <w:sz w:val="22"/>
                <w:szCs w:val="22"/>
              </w:rPr>
              <w:t>£0</w:t>
            </w:r>
          </w:p>
        </w:tc>
        <w:tc>
          <w:tcPr>
            <w:tcW w:w="1418" w:type="dxa"/>
            <w:tcBorders>
              <w:top w:val="nil"/>
              <w:left w:val="nil"/>
              <w:bottom w:val="single" w:sz="4" w:space="0" w:color="auto"/>
              <w:right w:val="single" w:sz="4" w:space="0" w:color="auto"/>
            </w:tcBorders>
            <w:shd w:val="clear" w:color="000000" w:fill="FFD966"/>
            <w:vAlign w:val="center"/>
            <w:hideMark/>
          </w:tcPr>
          <w:p w:rsidR="0049174F" w:rsidRPr="0049174F" w:rsidRDefault="0049174F" w:rsidP="0049174F">
            <w:pPr>
              <w:jc w:val="right"/>
              <w:rPr>
                <w:rFonts w:cs="Arial"/>
                <w:b/>
                <w:bCs/>
                <w:color w:val="000000"/>
                <w:sz w:val="22"/>
                <w:szCs w:val="22"/>
              </w:rPr>
            </w:pPr>
            <w:r w:rsidRPr="0049174F">
              <w:rPr>
                <w:rFonts w:cs="Arial"/>
                <w:b/>
                <w:bCs/>
                <w:color w:val="000000"/>
                <w:sz w:val="22"/>
                <w:szCs w:val="22"/>
              </w:rPr>
              <w:t>£218,328</w:t>
            </w:r>
          </w:p>
        </w:tc>
      </w:tr>
    </w:tbl>
    <w:p w:rsidR="00F416AE" w:rsidRDefault="00F416AE" w:rsidP="00E04F1C">
      <w:pPr>
        <w:jc w:val="both"/>
      </w:pPr>
    </w:p>
    <w:p w:rsidR="009B049B" w:rsidRDefault="009B049B" w:rsidP="00E04F1C">
      <w:pPr>
        <w:jc w:val="both"/>
      </w:pPr>
    </w:p>
    <w:p w:rsidR="002C1B17" w:rsidRPr="002C1B17" w:rsidRDefault="002C1B17" w:rsidP="002C1B17">
      <w:pPr>
        <w:ind w:left="720" w:hanging="720"/>
        <w:rPr>
          <w:rFonts w:cs="Arial"/>
        </w:rPr>
      </w:pPr>
      <w:r>
        <w:rPr>
          <w:rFonts w:cs="Arial"/>
        </w:rPr>
        <w:t>3.2</w:t>
      </w:r>
      <w:r>
        <w:rPr>
          <w:rFonts w:cs="Arial"/>
        </w:rPr>
        <w:tab/>
      </w:r>
      <w:r w:rsidR="00F77774" w:rsidRPr="00F77774">
        <w:rPr>
          <w:rFonts w:cs="Arial"/>
          <w:b/>
        </w:rPr>
        <w:t>Early Years Block</w:t>
      </w:r>
      <w:r w:rsidR="00F77774">
        <w:rPr>
          <w:rFonts w:cs="Arial"/>
        </w:rPr>
        <w:t xml:space="preserve"> : </w:t>
      </w:r>
      <w:r w:rsidRPr="002C1B17">
        <w:rPr>
          <w:rFonts w:cs="Arial"/>
        </w:rPr>
        <w:t xml:space="preserve">The EYB is comprised of funding for Universal 15 hours entitlement for all 3 to 4 year olds </w:t>
      </w:r>
      <w:r w:rsidRPr="002C1B17">
        <w:rPr>
          <w:rFonts w:cs="Arial"/>
          <w:b/>
        </w:rPr>
        <w:t>(£14.495 million)</w:t>
      </w:r>
      <w:r w:rsidRPr="002C1B17">
        <w:rPr>
          <w:rFonts w:cs="Arial"/>
        </w:rPr>
        <w:t xml:space="preserve">; funding for an additional 15 hours for eligible working parents for three and four year olds </w:t>
      </w:r>
      <w:r w:rsidRPr="002C1B17">
        <w:rPr>
          <w:rFonts w:cs="Arial"/>
          <w:b/>
        </w:rPr>
        <w:t>(£3.16 million);</w:t>
      </w:r>
      <w:r w:rsidRPr="002C1B17">
        <w:rPr>
          <w:rFonts w:cs="Arial"/>
        </w:rPr>
        <w:t xml:space="preserve"> funding for the Early Years Pupil premium </w:t>
      </w:r>
      <w:r w:rsidRPr="002C1B17">
        <w:rPr>
          <w:rFonts w:cs="Arial"/>
          <w:b/>
        </w:rPr>
        <w:t>(£0.166 million)</w:t>
      </w:r>
      <w:r w:rsidRPr="002C1B17">
        <w:rPr>
          <w:rFonts w:cs="Arial"/>
        </w:rPr>
        <w:t xml:space="preserve">; funding for Disability Access </w:t>
      </w:r>
      <w:r w:rsidRPr="002C1B17">
        <w:rPr>
          <w:rFonts w:cs="Arial"/>
          <w:b/>
        </w:rPr>
        <w:t>(£0.084m)</w:t>
      </w:r>
      <w:r w:rsidRPr="002C1B17">
        <w:rPr>
          <w:rFonts w:cs="Arial"/>
        </w:rPr>
        <w:t xml:space="preserve"> and funding for eligible 2 year olds </w:t>
      </w:r>
      <w:r w:rsidRPr="002C1B17">
        <w:rPr>
          <w:rFonts w:cs="Arial"/>
          <w:b/>
        </w:rPr>
        <w:t>(£4.317 m).</w:t>
      </w:r>
      <w:r w:rsidRPr="002C1B17">
        <w:rPr>
          <w:rFonts w:cs="Arial"/>
        </w:rPr>
        <w:t xml:space="preserve"> </w:t>
      </w:r>
      <w:r w:rsidRPr="001E3CC4">
        <w:rPr>
          <w:rFonts w:cs="Arial"/>
        </w:rPr>
        <w:t>The total</w:t>
      </w:r>
      <w:r w:rsidR="000C1A29" w:rsidRPr="001E3CC4">
        <w:rPr>
          <w:rFonts w:cs="Arial"/>
        </w:rPr>
        <w:t xml:space="preserve"> provisional</w:t>
      </w:r>
      <w:r w:rsidRPr="001E3CC4">
        <w:rPr>
          <w:rFonts w:cs="Arial"/>
        </w:rPr>
        <w:t xml:space="preserve"> allocation is </w:t>
      </w:r>
      <w:r w:rsidRPr="001E3CC4">
        <w:rPr>
          <w:rFonts w:cs="Arial"/>
          <w:b/>
        </w:rPr>
        <w:t>£22.223m</w:t>
      </w:r>
      <w:r w:rsidRPr="001E3CC4">
        <w:rPr>
          <w:rFonts w:cs="Arial"/>
        </w:rPr>
        <w:t xml:space="preserve"> for Barking and Dagenham</w:t>
      </w:r>
      <w:r w:rsidR="000C1A29" w:rsidRPr="001E3CC4">
        <w:rPr>
          <w:rFonts w:cs="Arial"/>
        </w:rPr>
        <w:t>, and would be updated as per the January 2018 and 2019 censuses</w:t>
      </w:r>
      <w:r w:rsidRPr="001E3CC4">
        <w:rPr>
          <w:rFonts w:cs="Arial"/>
        </w:rPr>
        <w:t xml:space="preserve">. The breakdown of </w:t>
      </w:r>
      <w:r w:rsidR="000C1A29" w:rsidRPr="001E3CC4">
        <w:rPr>
          <w:rFonts w:cs="Arial"/>
        </w:rPr>
        <w:t>the provisional</w:t>
      </w:r>
      <w:r w:rsidRPr="001E3CC4">
        <w:rPr>
          <w:rFonts w:cs="Arial"/>
        </w:rPr>
        <w:t xml:space="preserve"> funding is shown in </w:t>
      </w:r>
      <w:r w:rsidR="000C1A29" w:rsidRPr="001E3CC4">
        <w:rPr>
          <w:rFonts w:cs="Arial"/>
        </w:rPr>
        <w:t>T</w:t>
      </w:r>
      <w:r w:rsidRPr="001E3CC4">
        <w:rPr>
          <w:rFonts w:cs="Arial"/>
        </w:rPr>
        <w:t xml:space="preserve">able </w:t>
      </w:r>
      <w:r w:rsidR="00145BDB" w:rsidRPr="001E3CC4">
        <w:rPr>
          <w:rFonts w:cs="Arial"/>
        </w:rPr>
        <w:t>4.</w:t>
      </w:r>
    </w:p>
    <w:p w:rsidR="002C1B17" w:rsidRDefault="002C1B17" w:rsidP="002C1B17">
      <w:pPr>
        <w:pStyle w:val="ListParagraph"/>
        <w:jc w:val="both"/>
      </w:pPr>
    </w:p>
    <w:p w:rsidR="002C1B17" w:rsidRDefault="002C1B17" w:rsidP="002C1B17">
      <w:pPr>
        <w:ind w:left="709" w:hanging="709"/>
        <w:jc w:val="both"/>
      </w:pPr>
    </w:p>
    <w:tbl>
      <w:tblPr>
        <w:tblW w:w="8930" w:type="dxa"/>
        <w:tblInd w:w="817" w:type="dxa"/>
        <w:tblLook w:val="04A0" w:firstRow="1" w:lastRow="0" w:firstColumn="1" w:lastColumn="0" w:noHBand="0" w:noVBand="1"/>
      </w:tblPr>
      <w:tblGrid>
        <w:gridCol w:w="5471"/>
        <w:gridCol w:w="3459"/>
      </w:tblGrid>
      <w:tr w:rsidR="002C1B17" w:rsidRPr="00765F1B" w:rsidTr="00145BDB">
        <w:trPr>
          <w:trHeight w:val="310"/>
        </w:trPr>
        <w:tc>
          <w:tcPr>
            <w:tcW w:w="8930" w:type="dxa"/>
            <w:gridSpan w:val="2"/>
            <w:tcBorders>
              <w:top w:val="nil"/>
              <w:left w:val="nil"/>
              <w:bottom w:val="nil"/>
              <w:right w:val="nil"/>
            </w:tcBorders>
            <w:shd w:val="clear" w:color="auto" w:fill="auto"/>
            <w:noWrap/>
            <w:vAlign w:val="center"/>
            <w:hideMark/>
          </w:tcPr>
          <w:p w:rsidR="002C1B17" w:rsidRPr="00765F1B" w:rsidRDefault="002C1B17" w:rsidP="007649FA">
            <w:pPr>
              <w:rPr>
                <w:rFonts w:cs="Arial"/>
                <w:b/>
                <w:bCs/>
                <w:color w:val="000000"/>
              </w:rPr>
            </w:pPr>
            <w:r w:rsidRPr="002C1B17">
              <w:rPr>
                <w:rFonts w:cs="Arial"/>
                <w:b/>
                <w:bCs/>
                <w:color w:val="000000"/>
              </w:rPr>
              <w:lastRenderedPageBreak/>
              <w:t>Table 4: Early Years Block DSG Funding 2018-19</w:t>
            </w:r>
          </w:p>
        </w:tc>
      </w:tr>
      <w:tr w:rsidR="002C1B17" w:rsidRPr="00765F1B" w:rsidTr="00145BDB">
        <w:trPr>
          <w:trHeight w:val="620"/>
        </w:trPr>
        <w:tc>
          <w:tcPr>
            <w:tcW w:w="5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B17" w:rsidRPr="00765F1B" w:rsidRDefault="002C1B17" w:rsidP="007649FA">
            <w:pPr>
              <w:rPr>
                <w:rFonts w:cs="Arial"/>
                <w:color w:val="000000"/>
              </w:rPr>
            </w:pPr>
            <w:r w:rsidRPr="00765F1B">
              <w:rPr>
                <w:rFonts w:cs="Arial"/>
                <w:color w:val="000000"/>
              </w:rPr>
              <w:t> </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2C1B17" w:rsidRPr="00765F1B" w:rsidRDefault="002C1B17" w:rsidP="007649FA">
            <w:pPr>
              <w:jc w:val="right"/>
              <w:rPr>
                <w:rFonts w:cs="Arial"/>
                <w:b/>
                <w:bCs/>
                <w:color w:val="000000"/>
              </w:rPr>
            </w:pPr>
            <w:r w:rsidRPr="00765F1B">
              <w:rPr>
                <w:rFonts w:cs="Arial"/>
                <w:b/>
                <w:bCs/>
                <w:color w:val="000000"/>
              </w:rPr>
              <w:t>Allocation £'000</w:t>
            </w:r>
          </w:p>
        </w:tc>
      </w:tr>
      <w:tr w:rsidR="002C1B17" w:rsidRPr="00765F1B" w:rsidTr="00145BDB">
        <w:trPr>
          <w:trHeight w:val="310"/>
        </w:trPr>
        <w:tc>
          <w:tcPr>
            <w:tcW w:w="5471" w:type="dxa"/>
            <w:tcBorders>
              <w:top w:val="nil"/>
              <w:left w:val="single" w:sz="4" w:space="0" w:color="auto"/>
              <w:bottom w:val="single" w:sz="4" w:space="0" w:color="auto"/>
              <w:right w:val="single" w:sz="4" w:space="0" w:color="auto"/>
            </w:tcBorders>
            <w:shd w:val="clear" w:color="auto" w:fill="auto"/>
            <w:vAlign w:val="center"/>
            <w:hideMark/>
          </w:tcPr>
          <w:p w:rsidR="002C1B17" w:rsidRPr="00765F1B" w:rsidRDefault="002C1B17" w:rsidP="007649FA">
            <w:pPr>
              <w:rPr>
                <w:rFonts w:cs="Arial"/>
                <w:color w:val="000000"/>
              </w:rPr>
            </w:pPr>
            <w:r w:rsidRPr="00765F1B">
              <w:rPr>
                <w:rFonts w:cs="Arial"/>
                <w:color w:val="000000"/>
              </w:rPr>
              <w:t>3-4 Year olds (Universal-15 Hrs)</w:t>
            </w:r>
          </w:p>
        </w:tc>
        <w:tc>
          <w:tcPr>
            <w:tcW w:w="3459" w:type="dxa"/>
            <w:tcBorders>
              <w:top w:val="nil"/>
              <w:left w:val="nil"/>
              <w:bottom w:val="single" w:sz="4" w:space="0" w:color="auto"/>
              <w:right w:val="single" w:sz="4" w:space="0" w:color="auto"/>
            </w:tcBorders>
            <w:shd w:val="clear" w:color="auto" w:fill="auto"/>
            <w:noWrap/>
            <w:vAlign w:val="center"/>
            <w:hideMark/>
          </w:tcPr>
          <w:p w:rsidR="002C1B17" w:rsidRPr="00765F1B" w:rsidRDefault="002C1B17" w:rsidP="007649FA">
            <w:pPr>
              <w:jc w:val="right"/>
              <w:rPr>
                <w:rFonts w:cs="Arial"/>
                <w:color w:val="000000"/>
              </w:rPr>
            </w:pPr>
            <w:r w:rsidRPr="00765F1B">
              <w:rPr>
                <w:rFonts w:cs="Arial"/>
                <w:color w:val="000000"/>
              </w:rPr>
              <w:t>14,495</w:t>
            </w:r>
          </w:p>
        </w:tc>
      </w:tr>
      <w:tr w:rsidR="002C1B17" w:rsidRPr="00765F1B" w:rsidTr="00145BDB">
        <w:trPr>
          <w:trHeight w:val="310"/>
        </w:trPr>
        <w:tc>
          <w:tcPr>
            <w:tcW w:w="5471" w:type="dxa"/>
            <w:tcBorders>
              <w:top w:val="nil"/>
              <w:left w:val="single" w:sz="4" w:space="0" w:color="auto"/>
              <w:bottom w:val="single" w:sz="4" w:space="0" w:color="auto"/>
              <w:right w:val="single" w:sz="4" w:space="0" w:color="auto"/>
            </w:tcBorders>
            <w:shd w:val="clear" w:color="auto" w:fill="auto"/>
            <w:vAlign w:val="center"/>
            <w:hideMark/>
          </w:tcPr>
          <w:p w:rsidR="002C1B17" w:rsidRPr="00765F1B" w:rsidRDefault="002C1B17" w:rsidP="007649FA">
            <w:pPr>
              <w:rPr>
                <w:rFonts w:cs="Arial"/>
                <w:color w:val="000000"/>
              </w:rPr>
            </w:pPr>
            <w:r w:rsidRPr="00765F1B">
              <w:rPr>
                <w:rFonts w:cs="Arial"/>
                <w:color w:val="000000"/>
              </w:rPr>
              <w:t>3-4 Year olds (Additional 15 Hrs)</w:t>
            </w:r>
          </w:p>
        </w:tc>
        <w:tc>
          <w:tcPr>
            <w:tcW w:w="3459" w:type="dxa"/>
            <w:tcBorders>
              <w:top w:val="nil"/>
              <w:left w:val="nil"/>
              <w:bottom w:val="single" w:sz="4" w:space="0" w:color="auto"/>
              <w:right w:val="single" w:sz="4" w:space="0" w:color="auto"/>
            </w:tcBorders>
            <w:shd w:val="clear" w:color="auto" w:fill="auto"/>
            <w:noWrap/>
            <w:vAlign w:val="center"/>
            <w:hideMark/>
          </w:tcPr>
          <w:p w:rsidR="002C1B17" w:rsidRPr="00765F1B" w:rsidRDefault="002C1B17" w:rsidP="007649FA">
            <w:pPr>
              <w:jc w:val="right"/>
              <w:rPr>
                <w:rFonts w:cs="Arial"/>
                <w:color w:val="000000"/>
              </w:rPr>
            </w:pPr>
            <w:r w:rsidRPr="00765F1B">
              <w:rPr>
                <w:rFonts w:cs="Arial"/>
                <w:color w:val="000000"/>
              </w:rPr>
              <w:t>3,160</w:t>
            </w:r>
          </w:p>
        </w:tc>
      </w:tr>
      <w:tr w:rsidR="002C1B17" w:rsidRPr="00765F1B" w:rsidTr="00145BDB">
        <w:trPr>
          <w:trHeight w:val="310"/>
        </w:trPr>
        <w:tc>
          <w:tcPr>
            <w:tcW w:w="5471" w:type="dxa"/>
            <w:tcBorders>
              <w:top w:val="nil"/>
              <w:left w:val="single" w:sz="4" w:space="0" w:color="auto"/>
              <w:bottom w:val="single" w:sz="4" w:space="0" w:color="auto"/>
              <w:right w:val="single" w:sz="4" w:space="0" w:color="auto"/>
            </w:tcBorders>
            <w:shd w:val="clear" w:color="auto" w:fill="auto"/>
            <w:vAlign w:val="center"/>
            <w:hideMark/>
          </w:tcPr>
          <w:p w:rsidR="002C1B17" w:rsidRPr="00765F1B" w:rsidRDefault="002C1B17" w:rsidP="007649FA">
            <w:pPr>
              <w:rPr>
                <w:rFonts w:cs="Arial"/>
                <w:color w:val="000000"/>
              </w:rPr>
            </w:pPr>
            <w:r w:rsidRPr="00765F1B">
              <w:rPr>
                <w:rFonts w:cs="Arial"/>
                <w:color w:val="000000"/>
              </w:rPr>
              <w:t>2 Year Olds</w:t>
            </w:r>
          </w:p>
        </w:tc>
        <w:tc>
          <w:tcPr>
            <w:tcW w:w="3459" w:type="dxa"/>
            <w:tcBorders>
              <w:top w:val="nil"/>
              <w:left w:val="nil"/>
              <w:bottom w:val="single" w:sz="4" w:space="0" w:color="auto"/>
              <w:right w:val="single" w:sz="4" w:space="0" w:color="auto"/>
            </w:tcBorders>
            <w:shd w:val="clear" w:color="auto" w:fill="auto"/>
            <w:noWrap/>
            <w:vAlign w:val="center"/>
            <w:hideMark/>
          </w:tcPr>
          <w:p w:rsidR="002C1B17" w:rsidRPr="00765F1B" w:rsidRDefault="002C1B17" w:rsidP="007649FA">
            <w:pPr>
              <w:jc w:val="right"/>
              <w:rPr>
                <w:rFonts w:cs="Arial"/>
                <w:color w:val="000000"/>
              </w:rPr>
            </w:pPr>
            <w:r w:rsidRPr="00765F1B">
              <w:rPr>
                <w:rFonts w:cs="Arial"/>
                <w:color w:val="000000"/>
              </w:rPr>
              <w:t>4,317</w:t>
            </w:r>
          </w:p>
        </w:tc>
      </w:tr>
      <w:tr w:rsidR="002C1B17" w:rsidRPr="00765F1B" w:rsidTr="00145BDB">
        <w:trPr>
          <w:trHeight w:val="310"/>
        </w:trPr>
        <w:tc>
          <w:tcPr>
            <w:tcW w:w="5471" w:type="dxa"/>
            <w:tcBorders>
              <w:top w:val="nil"/>
              <w:left w:val="single" w:sz="4" w:space="0" w:color="auto"/>
              <w:bottom w:val="single" w:sz="4" w:space="0" w:color="auto"/>
              <w:right w:val="single" w:sz="4" w:space="0" w:color="auto"/>
            </w:tcBorders>
            <w:shd w:val="clear" w:color="auto" w:fill="auto"/>
            <w:vAlign w:val="center"/>
            <w:hideMark/>
          </w:tcPr>
          <w:p w:rsidR="002C1B17" w:rsidRPr="00765F1B" w:rsidRDefault="002C1B17" w:rsidP="007649FA">
            <w:pPr>
              <w:rPr>
                <w:rFonts w:cs="Arial"/>
                <w:color w:val="000000"/>
              </w:rPr>
            </w:pPr>
            <w:r w:rsidRPr="00765F1B">
              <w:rPr>
                <w:rFonts w:cs="Arial"/>
                <w:color w:val="000000"/>
              </w:rPr>
              <w:t>3-4 Year olds Disability Access Fund</w:t>
            </w:r>
          </w:p>
        </w:tc>
        <w:tc>
          <w:tcPr>
            <w:tcW w:w="3459" w:type="dxa"/>
            <w:tcBorders>
              <w:top w:val="nil"/>
              <w:left w:val="nil"/>
              <w:bottom w:val="single" w:sz="4" w:space="0" w:color="auto"/>
              <w:right w:val="single" w:sz="4" w:space="0" w:color="auto"/>
            </w:tcBorders>
            <w:shd w:val="clear" w:color="auto" w:fill="auto"/>
            <w:noWrap/>
            <w:vAlign w:val="center"/>
            <w:hideMark/>
          </w:tcPr>
          <w:p w:rsidR="002C1B17" w:rsidRPr="00765F1B" w:rsidRDefault="002C1B17" w:rsidP="007649FA">
            <w:pPr>
              <w:jc w:val="right"/>
              <w:rPr>
                <w:rFonts w:cs="Arial"/>
                <w:color w:val="000000"/>
              </w:rPr>
            </w:pPr>
            <w:r w:rsidRPr="00765F1B">
              <w:rPr>
                <w:rFonts w:cs="Arial"/>
                <w:color w:val="000000"/>
              </w:rPr>
              <w:t>84</w:t>
            </w:r>
          </w:p>
        </w:tc>
      </w:tr>
      <w:tr w:rsidR="002C1B17" w:rsidRPr="00765F1B" w:rsidTr="00145BDB">
        <w:trPr>
          <w:trHeight w:val="310"/>
        </w:trPr>
        <w:tc>
          <w:tcPr>
            <w:tcW w:w="5471" w:type="dxa"/>
            <w:tcBorders>
              <w:top w:val="nil"/>
              <w:left w:val="single" w:sz="4" w:space="0" w:color="auto"/>
              <w:bottom w:val="single" w:sz="4" w:space="0" w:color="auto"/>
              <w:right w:val="single" w:sz="4" w:space="0" w:color="auto"/>
            </w:tcBorders>
            <w:shd w:val="clear" w:color="auto" w:fill="auto"/>
            <w:vAlign w:val="center"/>
            <w:hideMark/>
          </w:tcPr>
          <w:p w:rsidR="002C1B17" w:rsidRPr="00765F1B" w:rsidRDefault="002C1B17" w:rsidP="007649FA">
            <w:pPr>
              <w:rPr>
                <w:rFonts w:cs="Arial"/>
                <w:color w:val="000000"/>
              </w:rPr>
            </w:pPr>
            <w:r w:rsidRPr="00765F1B">
              <w:rPr>
                <w:rFonts w:cs="Arial"/>
                <w:color w:val="000000"/>
              </w:rPr>
              <w:t>Early Years Pupil Premium</w:t>
            </w:r>
          </w:p>
        </w:tc>
        <w:tc>
          <w:tcPr>
            <w:tcW w:w="3459" w:type="dxa"/>
            <w:tcBorders>
              <w:top w:val="nil"/>
              <w:left w:val="nil"/>
              <w:bottom w:val="single" w:sz="4" w:space="0" w:color="auto"/>
              <w:right w:val="single" w:sz="4" w:space="0" w:color="auto"/>
            </w:tcBorders>
            <w:shd w:val="clear" w:color="auto" w:fill="auto"/>
            <w:noWrap/>
            <w:vAlign w:val="center"/>
            <w:hideMark/>
          </w:tcPr>
          <w:p w:rsidR="002C1B17" w:rsidRPr="00765F1B" w:rsidRDefault="002C1B17" w:rsidP="007649FA">
            <w:pPr>
              <w:jc w:val="right"/>
              <w:rPr>
                <w:rFonts w:cs="Arial"/>
                <w:color w:val="000000"/>
              </w:rPr>
            </w:pPr>
            <w:r w:rsidRPr="00765F1B">
              <w:rPr>
                <w:rFonts w:cs="Arial"/>
                <w:color w:val="000000"/>
              </w:rPr>
              <w:t>166</w:t>
            </w:r>
          </w:p>
        </w:tc>
      </w:tr>
      <w:tr w:rsidR="002C1B17" w:rsidRPr="00765F1B" w:rsidTr="00145BDB">
        <w:trPr>
          <w:trHeight w:val="310"/>
        </w:trPr>
        <w:tc>
          <w:tcPr>
            <w:tcW w:w="5471" w:type="dxa"/>
            <w:tcBorders>
              <w:top w:val="nil"/>
              <w:left w:val="single" w:sz="4" w:space="0" w:color="auto"/>
              <w:bottom w:val="single" w:sz="4" w:space="0" w:color="auto"/>
              <w:right w:val="single" w:sz="4" w:space="0" w:color="auto"/>
            </w:tcBorders>
            <w:shd w:val="clear" w:color="000000" w:fill="FFD966"/>
            <w:vAlign w:val="center"/>
            <w:hideMark/>
          </w:tcPr>
          <w:p w:rsidR="002C1B17" w:rsidRPr="00765F1B" w:rsidRDefault="002C1B17" w:rsidP="007649FA">
            <w:pPr>
              <w:rPr>
                <w:rFonts w:cs="Arial"/>
                <w:b/>
                <w:bCs/>
                <w:color w:val="000000"/>
              </w:rPr>
            </w:pPr>
            <w:r w:rsidRPr="00765F1B">
              <w:rPr>
                <w:rFonts w:cs="Arial"/>
                <w:b/>
                <w:bCs/>
                <w:color w:val="000000"/>
              </w:rPr>
              <w:t>Total Funding</w:t>
            </w:r>
          </w:p>
        </w:tc>
        <w:tc>
          <w:tcPr>
            <w:tcW w:w="3459" w:type="dxa"/>
            <w:tcBorders>
              <w:top w:val="nil"/>
              <w:left w:val="nil"/>
              <w:bottom w:val="single" w:sz="4" w:space="0" w:color="auto"/>
              <w:right w:val="single" w:sz="4" w:space="0" w:color="auto"/>
            </w:tcBorders>
            <w:shd w:val="clear" w:color="000000" w:fill="FFD966"/>
            <w:noWrap/>
            <w:vAlign w:val="center"/>
            <w:hideMark/>
          </w:tcPr>
          <w:p w:rsidR="002C1B17" w:rsidRPr="00765F1B" w:rsidRDefault="002C1B17" w:rsidP="007649FA">
            <w:pPr>
              <w:jc w:val="right"/>
              <w:rPr>
                <w:rFonts w:cs="Arial"/>
                <w:b/>
                <w:bCs/>
                <w:color w:val="000000"/>
              </w:rPr>
            </w:pPr>
            <w:r w:rsidRPr="00765F1B">
              <w:rPr>
                <w:rFonts w:cs="Arial"/>
                <w:b/>
                <w:bCs/>
                <w:color w:val="000000"/>
              </w:rPr>
              <w:t>22,223</w:t>
            </w:r>
          </w:p>
        </w:tc>
      </w:tr>
    </w:tbl>
    <w:p w:rsidR="002C1B17" w:rsidRDefault="002C1B17" w:rsidP="00E04F1C">
      <w:pPr>
        <w:jc w:val="both"/>
      </w:pPr>
    </w:p>
    <w:p w:rsidR="007649FA" w:rsidRDefault="007649FA" w:rsidP="00E04F1C">
      <w:pPr>
        <w:jc w:val="both"/>
      </w:pPr>
    </w:p>
    <w:p w:rsidR="007649FA" w:rsidRPr="007649FA" w:rsidRDefault="00C42B40" w:rsidP="007649FA">
      <w:pPr>
        <w:ind w:left="709" w:hanging="709"/>
        <w:jc w:val="both"/>
      </w:pPr>
      <w:r>
        <w:t>3.</w:t>
      </w:r>
      <w:r w:rsidR="00C659F7">
        <w:t>3</w:t>
      </w:r>
      <w:r w:rsidR="007649FA">
        <w:tab/>
      </w:r>
      <w:r w:rsidR="007649FA" w:rsidRPr="007649FA">
        <w:rPr>
          <w:b/>
        </w:rPr>
        <w:t>The High Needs Block</w:t>
      </w:r>
      <w:r w:rsidR="007649FA">
        <w:t xml:space="preserve">: A </w:t>
      </w:r>
      <w:r w:rsidR="007649FA" w:rsidRPr="007649FA">
        <w:t>baselin</w:t>
      </w:r>
      <w:r w:rsidR="007649FA">
        <w:t xml:space="preserve">ing exercise was undertaken by the DfE in 2016 to </w:t>
      </w:r>
      <w:r w:rsidR="007649FA" w:rsidRPr="007649FA">
        <w:t xml:space="preserve">reflect spending patterns as returned by local authorities. </w:t>
      </w:r>
      <w:r w:rsidR="007649FA">
        <w:t xml:space="preserve">There have been changes in the way the DfE are allocating budgets. Table 5 shows the allocations for the High Needs block in 2017-18 and </w:t>
      </w:r>
      <w:r w:rsidR="00C659F7">
        <w:t>included £</w:t>
      </w:r>
      <w:r w:rsidR="007649FA" w:rsidRPr="007649FA">
        <w:rPr>
          <w:b/>
        </w:rPr>
        <w:t>1.388</w:t>
      </w:r>
      <w:r w:rsidR="00C659F7">
        <w:rPr>
          <w:b/>
        </w:rPr>
        <w:t>m</w:t>
      </w:r>
      <w:r w:rsidR="007649FA" w:rsidRPr="007649FA">
        <w:t xml:space="preserve"> of post 16 funding for the HNB. This additional transfer was previously held by the DfE and represents place led funding for post-16 institutions and providers. From 2017 to 2018</w:t>
      </w:r>
      <w:r w:rsidR="00C659F7">
        <w:t xml:space="preserve"> onwards</w:t>
      </w:r>
      <w:r w:rsidR="007649FA" w:rsidRPr="007649FA">
        <w:t xml:space="preserve"> all these places will be funded from the initial high needs block allocations to local authorities. Deductions will then be made to fund institutions directly, based on information collected from local authorities</w:t>
      </w:r>
      <w:r w:rsidR="00C659F7">
        <w:t>.</w:t>
      </w:r>
      <w:r w:rsidR="007649FA" w:rsidRPr="007649FA">
        <w:t xml:space="preserve"> </w:t>
      </w:r>
    </w:p>
    <w:p w:rsidR="007649FA" w:rsidRPr="007649FA" w:rsidRDefault="007649FA" w:rsidP="007649FA">
      <w:pPr>
        <w:ind w:left="1418" w:hanging="709"/>
        <w:jc w:val="both"/>
      </w:pPr>
    </w:p>
    <w:p w:rsidR="00531D72" w:rsidRDefault="007649FA" w:rsidP="007649FA">
      <w:pPr>
        <w:ind w:left="709" w:hanging="709"/>
        <w:jc w:val="both"/>
      </w:pPr>
      <w:r w:rsidRPr="007649FA">
        <w:t>3.</w:t>
      </w:r>
      <w:r w:rsidR="00C659F7">
        <w:t>3.1</w:t>
      </w:r>
      <w:r w:rsidRPr="007649FA">
        <w:tab/>
        <w:t xml:space="preserve">The DfE </w:t>
      </w:r>
      <w:r w:rsidR="00C659F7">
        <w:t xml:space="preserve">also </w:t>
      </w:r>
      <w:r w:rsidRPr="007649FA">
        <w:t xml:space="preserve">recognised the cost pressures on the HNB nationally and made additional distributions to the baseline. </w:t>
      </w:r>
      <w:r w:rsidR="00C659F7">
        <w:t xml:space="preserve">The growth funding in 2017/18 was </w:t>
      </w:r>
      <w:r w:rsidR="00C659F7" w:rsidRPr="00C659F7">
        <w:rPr>
          <w:b/>
        </w:rPr>
        <w:t>£1.048m</w:t>
      </w:r>
      <w:r w:rsidR="00C659F7" w:rsidRPr="00C659F7">
        <w:t>, there is further g</w:t>
      </w:r>
      <w:r w:rsidR="00C659F7">
        <w:t xml:space="preserve">rowth in 2018-19 of </w:t>
      </w:r>
      <w:r w:rsidR="00C659F7" w:rsidRPr="00C659F7">
        <w:rPr>
          <w:b/>
        </w:rPr>
        <w:t>£1.441m</w:t>
      </w:r>
      <w:r w:rsidR="00C659F7">
        <w:t xml:space="preserve">. </w:t>
      </w:r>
    </w:p>
    <w:p w:rsidR="00531D72" w:rsidRDefault="00531D72" w:rsidP="007649FA">
      <w:pPr>
        <w:ind w:left="709" w:hanging="709"/>
        <w:jc w:val="both"/>
      </w:pPr>
    </w:p>
    <w:p w:rsidR="007649FA" w:rsidRPr="007649FA" w:rsidRDefault="00531D72" w:rsidP="007649FA">
      <w:pPr>
        <w:ind w:left="709" w:hanging="709"/>
        <w:jc w:val="both"/>
        <w:rPr>
          <w:b/>
        </w:rPr>
      </w:pPr>
      <w:r>
        <w:t>3.3.2</w:t>
      </w:r>
      <w:r>
        <w:tab/>
      </w:r>
      <w:r w:rsidR="00C659F7">
        <w:t xml:space="preserve">In 2018-19, the DfE have transferred </w:t>
      </w:r>
      <w:r w:rsidR="00C659F7" w:rsidRPr="00531D72">
        <w:rPr>
          <w:b/>
        </w:rPr>
        <w:t>£1.593m</w:t>
      </w:r>
      <w:r w:rsidR="00C659F7">
        <w:t xml:space="preserve"> from the High Needs block to the Schools</w:t>
      </w:r>
      <w:r>
        <w:t>. This is to reflect that the</w:t>
      </w:r>
      <w:r w:rsidR="007D3E8D">
        <w:rPr>
          <w:rFonts w:cs="Arial"/>
          <w:color w:val="000000"/>
        </w:rPr>
        <w:t xml:space="preserve"> initial £4,000 of place funding in ARPs will now be funded through the Schools Block.</w:t>
      </w:r>
      <w:r w:rsidR="00C659F7">
        <w:t xml:space="preserve"> </w:t>
      </w:r>
    </w:p>
    <w:p w:rsidR="002C1B17" w:rsidRDefault="002C1B17" w:rsidP="00E04F1C">
      <w:pPr>
        <w:jc w:val="both"/>
      </w:pPr>
    </w:p>
    <w:p w:rsidR="002C1B17" w:rsidRDefault="002C1B17" w:rsidP="00E04F1C">
      <w:pPr>
        <w:jc w:val="both"/>
      </w:pPr>
    </w:p>
    <w:tbl>
      <w:tblPr>
        <w:tblW w:w="9027" w:type="dxa"/>
        <w:tblInd w:w="720" w:type="dxa"/>
        <w:tblLook w:val="04A0" w:firstRow="1" w:lastRow="0" w:firstColumn="1" w:lastColumn="0" w:noHBand="0" w:noVBand="1"/>
      </w:tblPr>
      <w:tblGrid>
        <w:gridCol w:w="5740"/>
        <w:gridCol w:w="1586"/>
        <w:gridCol w:w="1701"/>
      </w:tblGrid>
      <w:tr w:rsidR="007649FA" w:rsidRPr="007649FA" w:rsidTr="00145BDB">
        <w:trPr>
          <w:trHeight w:val="310"/>
        </w:trPr>
        <w:tc>
          <w:tcPr>
            <w:tcW w:w="9027" w:type="dxa"/>
            <w:gridSpan w:val="3"/>
            <w:tcBorders>
              <w:top w:val="nil"/>
              <w:left w:val="nil"/>
              <w:bottom w:val="nil"/>
              <w:right w:val="nil"/>
            </w:tcBorders>
            <w:shd w:val="clear" w:color="auto" w:fill="auto"/>
            <w:noWrap/>
            <w:vAlign w:val="bottom"/>
            <w:hideMark/>
          </w:tcPr>
          <w:p w:rsidR="007649FA" w:rsidRPr="007649FA" w:rsidRDefault="00531D72" w:rsidP="007649FA">
            <w:pPr>
              <w:rPr>
                <w:rFonts w:cs="Arial"/>
                <w:b/>
                <w:bCs/>
                <w:color w:val="000000"/>
                <w:sz w:val="22"/>
                <w:szCs w:val="22"/>
              </w:rPr>
            </w:pPr>
            <w:r>
              <w:rPr>
                <w:rFonts w:cs="Arial"/>
                <w:b/>
                <w:bCs/>
                <w:color w:val="000000"/>
                <w:sz w:val="22"/>
                <w:szCs w:val="22"/>
              </w:rPr>
              <w:t xml:space="preserve">Table 5: </w:t>
            </w:r>
            <w:r w:rsidR="007649FA" w:rsidRPr="007649FA">
              <w:rPr>
                <w:rFonts w:cs="Arial"/>
                <w:b/>
                <w:bCs/>
                <w:color w:val="000000"/>
                <w:sz w:val="22"/>
                <w:szCs w:val="22"/>
              </w:rPr>
              <w:t xml:space="preserve">High Needs Allocations </w:t>
            </w:r>
            <w:r>
              <w:rPr>
                <w:rFonts w:cs="Arial"/>
                <w:b/>
                <w:bCs/>
                <w:color w:val="000000"/>
                <w:sz w:val="22"/>
                <w:szCs w:val="22"/>
              </w:rPr>
              <w:t xml:space="preserve">- </w:t>
            </w:r>
            <w:r w:rsidR="007649FA" w:rsidRPr="007649FA">
              <w:rPr>
                <w:rFonts w:cs="Arial"/>
                <w:b/>
                <w:bCs/>
                <w:color w:val="000000"/>
                <w:sz w:val="22"/>
                <w:szCs w:val="22"/>
              </w:rPr>
              <w:t>2017/18 and 2018/19</w:t>
            </w:r>
          </w:p>
        </w:tc>
      </w:tr>
      <w:tr w:rsidR="007649FA" w:rsidRPr="007649FA" w:rsidTr="00145BDB">
        <w:trPr>
          <w:trHeight w:val="310"/>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9FA" w:rsidRPr="007649FA" w:rsidRDefault="007649FA" w:rsidP="007649FA">
            <w:pPr>
              <w:rPr>
                <w:rFonts w:cs="Arial"/>
                <w:color w:val="000000"/>
                <w:sz w:val="22"/>
                <w:szCs w:val="22"/>
              </w:rPr>
            </w:pPr>
            <w:r w:rsidRPr="007649FA">
              <w:rPr>
                <w:rFonts w:cs="Arial"/>
                <w:color w:val="000000"/>
                <w:sz w:val="22"/>
                <w:szCs w:val="22"/>
              </w:rPr>
              <w:t> </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rsidR="007649FA" w:rsidRPr="007649FA" w:rsidRDefault="007649FA" w:rsidP="00145BDB">
            <w:pPr>
              <w:jc w:val="right"/>
              <w:rPr>
                <w:rFonts w:cs="Arial"/>
                <w:b/>
                <w:bCs/>
                <w:color w:val="000000"/>
                <w:sz w:val="22"/>
                <w:szCs w:val="22"/>
              </w:rPr>
            </w:pPr>
            <w:r w:rsidRPr="007649FA">
              <w:rPr>
                <w:rFonts w:cs="Arial"/>
                <w:b/>
                <w:bCs/>
                <w:color w:val="000000"/>
                <w:sz w:val="22"/>
                <w:szCs w:val="22"/>
              </w:rPr>
              <w:t>2017/18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49FA" w:rsidRPr="007649FA" w:rsidRDefault="007649FA" w:rsidP="00145BDB">
            <w:pPr>
              <w:jc w:val="right"/>
              <w:rPr>
                <w:rFonts w:cs="Arial"/>
                <w:b/>
                <w:bCs/>
                <w:color w:val="000000"/>
                <w:sz w:val="22"/>
                <w:szCs w:val="22"/>
              </w:rPr>
            </w:pPr>
            <w:r w:rsidRPr="007649FA">
              <w:rPr>
                <w:rFonts w:cs="Arial"/>
                <w:b/>
                <w:bCs/>
                <w:color w:val="000000"/>
                <w:sz w:val="22"/>
                <w:szCs w:val="22"/>
              </w:rPr>
              <w:t>2018/19</w:t>
            </w:r>
          </w:p>
        </w:tc>
      </w:tr>
      <w:tr w:rsidR="007649FA" w:rsidRPr="007649FA" w:rsidTr="00145BDB">
        <w:trPr>
          <w:trHeight w:val="31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7649FA" w:rsidRPr="007649FA" w:rsidRDefault="007649FA" w:rsidP="007649FA">
            <w:pPr>
              <w:rPr>
                <w:rFonts w:cs="Arial"/>
                <w:color w:val="000000"/>
                <w:sz w:val="22"/>
                <w:szCs w:val="22"/>
              </w:rPr>
            </w:pPr>
            <w:r w:rsidRPr="007649FA">
              <w:rPr>
                <w:rFonts w:cs="Arial"/>
                <w:color w:val="000000"/>
                <w:sz w:val="22"/>
                <w:szCs w:val="22"/>
              </w:rPr>
              <w:t> </w:t>
            </w:r>
          </w:p>
        </w:tc>
        <w:tc>
          <w:tcPr>
            <w:tcW w:w="1586" w:type="dxa"/>
            <w:tcBorders>
              <w:top w:val="nil"/>
              <w:left w:val="nil"/>
              <w:bottom w:val="single" w:sz="4" w:space="0" w:color="auto"/>
              <w:right w:val="single" w:sz="4" w:space="0" w:color="auto"/>
            </w:tcBorders>
            <w:shd w:val="clear" w:color="auto" w:fill="auto"/>
            <w:noWrap/>
            <w:vAlign w:val="bottom"/>
            <w:hideMark/>
          </w:tcPr>
          <w:p w:rsidR="007649FA" w:rsidRPr="007649FA" w:rsidRDefault="007649FA" w:rsidP="00145BDB">
            <w:pPr>
              <w:jc w:val="right"/>
              <w:rPr>
                <w:rFonts w:cs="Arial"/>
                <w:b/>
                <w:bCs/>
                <w:color w:val="000000"/>
                <w:sz w:val="22"/>
                <w:szCs w:val="22"/>
              </w:rPr>
            </w:pPr>
            <w:r w:rsidRPr="007649FA">
              <w:rPr>
                <w:rFonts w:cs="Arial"/>
                <w:b/>
                <w:bCs/>
                <w:color w:val="000000"/>
                <w:sz w:val="22"/>
                <w:szCs w:val="22"/>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649FA" w:rsidRPr="007649FA" w:rsidRDefault="007649FA" w:rsidP="00145BDB">
            <w:pPr>
              <w:jc w:val="right"/>
              <w:rPr>
                <w:rFonts w:cs="Arial"/>
                <w:b/>
                <w:bCs/>
                <w:color w:val="000000"/>
                <w:sz w:val="22"/>
                <w:szCs w:val="22"/>
              </w:rPr>
            </w:pPr>
            <w:r w:rsidRPr="007649FA">
              <w:rPr>
                <w:rFonts w:cs="Arial"/>
                <w:b/>
                <w:bCs/>
                <w:color w:val="000000"/>
                <w:sz w:val="22"/>
                <w:szCs w:val="22"/>
              </w:rPr>
              <w:t>£'000</w:t>
            </w:r>
          </w:p>
        </w:tc>
      </w:tr>
      <w:tr w:rsidR="00B83BA2" w:rsidRPr="007649FA" w:rsidTr="00145BDB">
        <w:trPr>
          <w:trHeight w:val="31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83BA2" w:rsidRPr="007649FA" w:rsidRDefault="00B83BA2" w:rsidP="00B83BA2">
            <w:pPr>
              <w:rPr>
                <w:rFonts w:cs="Arial"/>
                <w:color w:val="000000"/>
                <w:sz w:val="22"/>
                <w:szCs w:val="22"/>
              </w:rPr>
            </w:pPr>
            <w:r w:rsidRPr="007649FA">
              <w:rPr>
                <w:rFonts w:cs="Arial"/>
                <w:color w:val="000000"/>
                <w:sz w:val="22"/>
                <w:szCs w:val="22"/>
              </w:rPr>
              <w:t>Base Allocation</w:t>
            </w:r>
          </w:p>
        </w:tc>
        <w:tc>
          <w:tcPr>
            <w:tcW w:w="1586"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color w:val="000000"/>
                <w:sz w:val="22"/>
                <w:szCs w:val="22"/>
              </w:rPr>
            </w:pPr>
            <w:r w:rsidRPr="007649FA">
              <w:rPr>
                <w:rFonts w:cs="Arial"/>
                <w:color w:val="000000"/>
                <w:sz w:val="22"/>
                <w:szCs w:val="22"/>
              </w:rPr>
              <w:t>25,687</w:t>
            </w:r>
          </w:p>
        </w:tc>
        <w:tc>
          <w:tcPr>
            <w:tcW w:w="1701"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color w:val="000000"/>
                <w:sz w:val="22"/>
                <w:szCs w:val="22"/>
              </w:rPr>
            </w:pPr>
            <w:r w:rsidRPr="007649FA">
              <w:rPr>
                <w:rFonts w:cs="Arial"/>
                <w:color w:val="000000"/>
                <w:sz w:val="22"/>
                <w:szCs w:val="22"/>
              </w:rPr>
              <w:t>25,687</w:t>
            </w:r>
          </w:p>
        </w:tc>
      </w:tr>
      <w:tr w:rsidR="00B83BA2" w:rsidRPr="007649FA" w:rsidTr="00145BDB">
        <w:trPr>
          <w:trHeight w:val="31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83BA2" w:rsidRPr="007649FA" w:rsidRDefault="00B83BA2" w:rsidP="00B83BA2">
            <w:pPr>
              <w:rPr>
                <w:rFonts w:cs="Arial"/>
                <w:color w:val="000000"/>
                <w:sz w:val="22"/>
                <w:szCs w:val="22"/>
              </w:rPr>
            </w:pPr>
            <w:r w:rsidRPr="007649FA">
              <w:rPr>
                <w:rFonts w:cs="Arial"/>
                <w:color w:val="000000"/>
                <w:sz w:val="22"/>
                <w:szCs w:val="22"/>
              </w:rPr>
              <w:t>Post 16 Element 2 transfer</w:t>
            </w:r>
            <w:r w:rsidR="006711CF">
              <w:rPr>
                <w:rFonts w:cs="Arial"/>
                <w:color w:val="000000"/>
                <w:sz w:val="22"/>
                <w:szCs w:val="22"/>
              </w:rPr>
              <w:t xml:space="preserve"> (from 2017/18)</w:t>
            </w:r>
          </w:p>
        </w:tc>
        <w:tc>
          <w:tcPr>
            <w:tcW w:w="1586"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color w:val="000000"/>
                <w:sz w:val="22"/>
                <w:szCs w:val="22"/>
              </w:rPr>
            </w:pPr>
            <w:r w:rsidRPr="007649FA">
              <w:rPr>
                <w:rFonts w:cs="Arial"/>
                <w:color w:val="000000"/>
                <w:sz w:val="22"/>
                <w:szCs w:val="22"/>
              </w:rPr>
              <w:t>1,388</w:t>
            </w:r>
          </w:p>
        </w:tc>
        <w:tc>
          <w:tcPr>
            <w:tcW w:w="1701"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color w:val="000000"/>
                <w:sz w:val="22"/>
                <w:szCs w:val="22"/>
              </w:rPr>
            </w:pPr>
            <w:r w:rsidRPr="007649FA">
              <w:rPr>
                <w:rFonts w:cs="Arial"/>
                <w:color w:val="000000"/>
                <w:sz w:val="22"/>
                <w:szCs w:val="22"/>
              </w:rPr>
              <w:t>1,388</w:t>
            </w:r>
          </w:p>
        </w:tc>
      </w:tr>
      <w:tr w:rsidR="00B83BA2" w:rsidRPr="007649FA" w:rsidTr="00145BDB">
        <w:trPr>
          <w:trHeight w:val="31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83BA2" w:rsidRPr="007649FA" w:rsidRDefault="00B83BA2" w:rsidP="00B83BA2">
            <w:pPr>
              <w:rPr>
                <w:rFonts w:cs="Arial"/>
                <w:color w:val="000000"/>
                <w:sz w:val="22"/>
                <w:szCs w:val="22"/>
              </w:rPr>
            </w:pPr>
            <w:r w:rsidRPr="007649FA">
              <w:rPr>
                <w:rFonts w:cs="Arial"/>
                <w:color w:val="000000"/>
                <w:sz w:val="22"/>
                <w:szCs w:val="22"/>
              </w:rPr>
              <w:t>Population Uplift for HNB</w:t>
            </w:r>
          </w:p>
        </w:tc>
        <w:tc>
          <w:tcPr>
            <w:tcW w:w="1586"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color w:val="000000"/>
                <w:sz w:val="22"/>
                <w:szCs w:val="22"/>
              </w:rPr>
            </w:pPr>
            <w:r w:rsidRPr="007649FA">
              <w:rPr>
                <w:rFonts w:cs="Arial"/>
                <w:color w:val="000000"/>
                <w:sz w:val="22"/>
                <w:szCs w:val="22"/>
              </w:rPr>
              <w:t>497</w:t>
            </w:r>
          </w:p>
        </w:tc>
        <w:tc>
          <w:tcPr>
            <w:tcW w:w="1701"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color w:val="000000"/>
                <w:sz w:val="22"/>
                <w:szCs w:val="22"/>
              </w:rPr>
            </w:pPr>
            <w:r w:rsidRPr="007649FA">
              <w:rPr>
                <w:rFonts w:cs="Arial"/>
                <w:color w:val="000000"/>
                <w:sz w:val="22"/>
                <w:szCs w:val="22"/>
              </w:rPr>
              <w:t>497</w:t>
            </w:r>
          </w:p>
        </w:tc>
      </w:tr>
      <w:tr w:rsidR="00B83BA2" w:rsidRPr="007649FA" w:rsidTr="00145BDB">
        <w:trPr>
          <w:trHeight w:val="31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83BA2" w:rsidRPr="007649FA" w:rsidRDefault="00B83BA2" w:rsidP="00B83BA2">
            <w:pPr>
              <w:rPr>
                <w:rFonts w:cs="Arial"/>
                <w:color w:val="000000"/>
                <w:sz w:val="22"/>
                <w:szCs w:val="22"/>
              </w:rPr>
            </w:pPr>
            <w:r w:rsidRPr="007649FA">
              <w:rPr>
                <w:rFonts w:cs="Arial"/>
                <w:color w:val="000000"/>
                <w:sz w:val="22"/>
                <w:szCs w:val="22"/>
              </w:rPr>
              <w:t>Growth Uplift for HNB</w:t>
            </w:r>
          </w:p>
        </w:tc>
        <w:tc>
          <w:tcPr>
            <w:tcW w:w="1586"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color w:val="000000"/>
                <w:sz w:val="22"/>
                <w:szCs w:val="22"/>
              </w:rPr>
            </w:pPr>
            <w:r w:rsidRPr="007649FA">
              <w:rPr>
                <w:rFonts w:cs="Arial"/>
                <w:color w:val="000000"/>
                <w:sz w:val="22"/>
                <w:szCs w:val="22"/>
              </w:rPr>
              <w:t>551</w:t>
            </w:r>
          </w:p>
        </w:tc>
        <w:tc>
          <w:tcPr>
            <w:tcW w:w="1701"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color w:val="000000"/>
                <w:sz w:val="22"/>
                <w:szCs w:val="22"/>
              </w:rPr>
            </w:pPr>
            <w:r w:rsidRPr="007649FA">
              <w:rPr>
                <w:rFonts w:cs="Arial"/>
                <w:color w:val="000000"/>
                <w:sz w:val="22"/>
                <w:szCs w:val="22"/>
              </w:rPr>
              <w:t>551</w:t>
            </w:r>
          </w:p>
        </w:tc>
      </w:tr>
      <w:tr w:rsidR="00B83BA2" w:rsidRPr="007649FA" w:rsidTr="00145BDB">
        <w:trPr>
          <w:trHeight w:val="31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83BA2" w:rsidRPr="007649FA" w:rsidRDefault="00B83BA2" w:rsidP="00B83BA2">
            <w:pPr>
              <w:rPr>
                <w:rFonts w:cs="Arial"/>
                <w:color w:val="000000"/>
                <w:sz w:val="22"/>
                <w:szCs w:val="22"/>
              </w:rPr>
            </w:pPr>
            <w:r w:rsidRPr="007649FA">
              <w:rPr>
                <w:rFonts w:cs="Arial"/>
                <w:color w:val="000000"/>
                <w:sz w:val="22"/>
                <w:szCs w:val="22"/>
              </w:rPr>
              <w:t> </w:t>
            </w:r>
          </w:p>
        </w:tc>
        <w:tc>
          <w:tcPr>
            <w:tcW w:w="1586"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rPr>
                <w:rFonts w:cs="Arial"/>
                <w:b/>
                <w:bCs/>
                <w:color w:val="000000"/>
                <w:sz w:val="22"/>
                <w:szCs w:val="22"/>
              </w:rPr>
            </w:pPr>
            <w:r w:rsidRPr="007649FA">
              <w:rPr>
                <w:rFonts w:cs="Arial"/>
                <w:b/>
                <w:bC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rPr>
                <w:rFonts w:cs="Arial"/>
                <w:b/>
                <w:bCs/>
                <w:color w:val="000000"/>
                <w:sz w:val="22"/>
                <w:szCs w:val="22"/>
              </w:rPr>
            </w:pPr>
            <w:r w:rsidRPr="007649FA">
              <w:rPr>
                <w:rFonts w:cs="Arial"/>
                <w:b/>
                <w:bCs/>
                <w:color w:val="000000"/>
                <w:sz w:val="22"/>
                <w:szCs w:val="22"/>
              </w:rPr>
              <w:t> </w:t>
            </w:r>
          </w:p>
        </w:tc>
      </w:tr>
      <w:tr w:rsidR="00B83BA2" w:rsidRPr="007649FA" w:rsidTr="00145BDB">
        <w:trPr>
          <w:trHeight w:val="31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83BA2" w:rsidRPr="007649FA" w:rsidRDefault="00B83BA2" w:rsidP="00B83BA2">
            <w:pPr>
              <w:rPr>
                <w:rFonts w:cs="Arial"/>
                <w:b/>
                <w:bCs/>
                <w:color w:val="000000"/>
                <w:sz w:val="22"/>
                <w:szCs w:val="22"/>
              </w:rPr>
            </w:pPr>
            <w:r w:rsidRPr="007649FA">
              <w:rPr>
                <w:rFonts w:cs="Arial"/>
                <w:b/>
                <w:bCs/>
                <w:color w:val="000000"/>
                <w:sz w:val="22"/>
                <w:szCs w:val="22"/>
              </w:rPr>
              <w:t>Base Allocation</w:t>
            </w:r>
          </w:p>
        </w:tc>
        <w:tc>
          <w:tcPr>
            <w:tcW w:w="1586"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b/>
                <w:bCs/>
                <w:color w:val="000000"/>
                <w:sz w:val="22"/>
                <w:szCs w:val="22"/>
              </w:rPr>
            </w:pPr>
            <w:r w:rsidRPr="007649FA">
              <w:rPr>
                <w:rFonts w:cs="Arial"/>
                <w:b/>
                <w:bCs/>
                <w:color w:val="000000"/>
                <w:sz w:val="22"/>
                <w:szCs w:val="22"/>
              </w:rPr>
              <w:t>28,123</w:t>
            </w:r>
          </w:p>
        </w:tc>
        <w:tc>
          <w:tcPr>
            <w:tcW w:w="1701"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b/>
                <w:bCs/>
                <w:color w:val="000000"/>
                <w:sz w:val="22"/>
                <w:szCs w:val="22"/>
              </w:rPr>
            </w:pPr>
            <w:r w:rsidRPr="007649FA">
              <w:rPr>
                <w:rFonts w:cs="Arial"/>
                <w:b/>
                <w:bCs/>
                <w:color w:val="000000"/>
                <w:sz w:val="22"/>
                <w:szCs w:val="22"/>
              </w:rPr>
              <w:t>28,123</w:t>
            </w:r>
          </w:p>
        </w:tc>
      </w:tr>
      <w:tr w:rsidR="00B83BA2" w:rsidRPr="007649FA" w:rsidTr="00145BDB">
        <w:trPr>
          <w:trHeight w:val="31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83BA2" w:rsidRPr="007649FA" w:rsidRDefault="00B83BA2" w:rsidP="00B83BA2">
            <w:pPr>
              <w:rPr>
                <w:rFonts w:cs="Arial"/>
                <w:color w:val="000000"/>
                <w:sz w:val="22"/>
                <w:szCs w:val="22"/>
              </w:rPr>
            </w:pPr>
            <w:r w:rsidRPr="007649FA">
              <w:rPr>
                <w:rFonts w:cs="Arial"/>
                <w:color w:val="000000"/>
                <w:sz w:val="22"/>
                <w:szCs w:val="22"/>
              </w:rPr>
              <w:t>Growth</w:t>
            </w:r>
          </w:p>
        </w:tc>
        <w:tc>
          <w:tcPr>
            <w:tcW w:w="1586"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rPr>
                <w:rFonts w:cs="Arial"/>
                <w:color w:val="000000"/>
                <w:sz w:val="22"/>
                <w:szCs w:val="22"/>
              </w:rPr>
            </w:pPr>
            <w:r w:rsidRPr="007649FA">
              <w:rPr>
                <w:rFonts w:cs="Arial"/>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color w:val="000000"/>
                <w:sz w:val="22"/>
                <w:szCs w:val="22"/>
              </w:rPr>
            </w:pPr>
            <w:r w:rsidRPr="007649FA">
              <w:rPr>
                <w:rFonts w:cs="Arial"/>
                <w:color w:val="000000"/>
                <w:sz w:val="22"/>
                <w:szCs w:val="22"/>
              </w:rPr>
              <w:t>1,441</w:t>
            </w:r>
          </w:p>
        </w:tc>
      </w:tr>
      <w:tr w:rsidR="00B83BA2" w:rsidRPr="007649FA" w:rsidTr="00145BDB">
        <w:trPr>
          <w:trHeight w:val="31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83BA2" w:rsidRPr="007649FA" w:rsidRDefault="00B83BA2" w:rsidP="00B83BA2">
            <w:pPr>
              <w:rPr>
                <w:rFonts w:cs="Arial"/>
                <w:color w:val="000000"/>
                <w:sz w:val="22"/>
                <w:szCs w:val="22"/>
              </w:rPr>
            </w:pPr>
            <w:r w:rsidRPr="007649FA">
              <w:rPr>
                <w:rFonts w:cs="Arial"/>
                <w:color w:val="000000"/>
                <w:sz w:val="22"/>
                <w:szCs w:val="22"/>
              </w:rPr>
              <w:t>Transfer to Schools Block</w:t>
            </w:r>
          </w:p>
        </w:tc>
        <w:tc>
          <w:tcPr>
            <w:tcW w:w="1586"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rPr>
                <w:rFonts w:cs="Arial"/>
                <w:color w:val="000000"/>
                <w:sz w:val="22"/>
                <w:szCs w:val="22"/>
              </w:rPr>
            </w:pPr>
            <w:r w:rsidRPr="007649FA">
              <w:rPr>
                <w:rFonts w:cs="Arial"/>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color w:val="000000"/>
                <w:sz w:val="22"/>
                <w:szCs w:val="22"/>
              </w:rPr>
            </w:pPr>
            <w:r w:rsidRPr="007649FA">
              <w:rPr>
                <w:rFonts w:cs="Arial"/>
                <w:color w:val="FF0000"/>
                <w:sz w:val="22"/>
                <w:szCs w:val="22"/>
              </w:rPr>
              <w:t>(1,593)</w:t>
            </w:r>
          </w:p>
        </w:tc>
      </w:tr>
      <w:tr w:rsidR="00B83BA2" w:rsidRPr="007649FA" w:rsidTr="00145BDB">
        <w:trPr>
          <w:trHeight w:val="310"/>
        </w:trPr>
        <w:tc>
          <w:tcPr>
            <w:tcW w:w="5740" w:type="dxa"/>
            <w:tcBorders>
              <w:top w:val="nil"/>
              <w:left w:val="single" w:sz="4" w:space="0" w:color="auto"/>
              <w:bottom w:val="single" w:sz="4" w:space="0" w:color="auto"/>
              <w:right w:val="single" w:sz="4" w:space="0" w:color="auto"/>
            </w:tcBorders>
            <w:shd w:val="clear" w:color="000000" w:fill="FFD966"/>
            <w:noWrap/>
            <w:vAlign w:val="bottom"/>
            <w:hideMark/>
          </w:tcPr>
          <w:p w:rsidR="00B83BA2" w:rsidRPr="007649FA" w:rsidRDefault="00B83BA2" w:rsidP="00B83BA2">
            <w:pPr>
              <w:rPr>
                <w:rFonts w:cs="Arial"/>
                <w:b/>
                <w:bCs/>
                <w:color w:val="000000"/>
                <w:sz w:val="22"/>
                <w:szCs w:val="22"/>
              </w:rPr>
            </w:pPr>
            <w:r w:rsidRPr="007649FA">
              <w:rPr>
                <w:rFonts w:cs="Arial"/>
                <w:b/>
                <w:bCs/>
                <w:color w:val="000000"/>
                <w:sz w:val="22"/>
                <w:szCs w:val="22"/>
              </w:rPr>
              <w:t>Sub Total</w:t>
            </w:r>
          </w:p>
        </w:tc>
        <w:tc>
          <w:tcPr>
            <w:tcW w:w="1586" w:type="dxa"/>
            <w:tcBorders>
              <w:top w:val="nil"/>
              <w:left w:val="nil"/>
              <w:bottom w:val="single" w:sz="4" w:space="0" w:color="auto"/>
              <w:right w:val="single" w:sz="4" w:space="0" w:color="auto"/>
            </w:tcBorders>
            <w:shd w:val="clear" w:color="000000" w:fill="FFD966"/>
            <w:noWrap/>
            <w:vAlign w:val="bottom"/>
            <w:hideMark/>
          </w:tcPr>
          <w:p w:rsidR="00B83BA2" w:rsidRPr="007649FA" w:rsidRDefault="00B83BA2" w:rsidP="00B83BA2">
            <w:pPr>
              <w:jc w:val="right"/>
              <w:rPr>
                <w:rFonts w:cs="Arial"/>
                <w:b/>
                <w:bCs/>
                <w:color w:val="000000"/>
                <w:sz w:val="22"/>
                <w:szCs w:val="22"/>
              </w:rPr>
            </w:pPr>
            <w:r w:rsidRPr="007649FA">
              <w:rPr>
                <w:rFonts w:cs="Arial"/>
                <w:b/>
                <w:bCs/>
                <w:color w:val="000000"/>
                <w:sz w:val="22"/>
                <w:szCs w:val="22"/>
              </w:rPr>
              <w:t>28,123</w:t>
            </w:r>
          </w:p>
        </w:tc>
        <w:tc>
          <w:tcPr>
            <w:tcW w:w="1701" w:type="dxa"/>
            <w:tcBorders>
              <w:top w:val="nil"/>
              <w:left w:val="nil"/>
              <w:bottom w:val="single" w:sz="4" w:space="0" w:color="auto"/>
              <w:right w:val="single" w:sz="4" w:space="0" w:color="auto"/>
            </w:tcBorders>
            <w:shd w:val="clear" w:color="000000" w:fill="FFD966"/>
            <w:noWrap/>
            <w:vAlign w:val="bottom"/>
            <w:hideMark/>
          </w:tcPr>
          <w:p w:rsidR="00B83BA2" w:rsidRPr="007649FA" w:rsidRDefault="00B83BA2" w:rsidP="00B83BA2">
            <w:pPr>
              <w:jc w:val="right"/>
              <w:rPr>
                <w:rFonts w:cs="Arial"/>
                <w:b/>
                <w:bCs/>
                <w:color w:val="000000"/>
                <w:sz w:val="22"/>
                <w:szCs w:val="22"/>
              </w:rPr>
            </w:pPr>
            <w:r w:rsidRPr="007649FA">
              <w:rPr>
                <w:rFonts w:cs="Arial"/>
                <w:b/>
                <w:bCs/>
                <w:color w:val="000000"/>
                <w:sz w:val="22"/>
                <w:szCs w:val="22"/>
              </w:rPr>
              <w:t>27,971</w:t>
            </w:r>
          </w:p>
        </w:tc>
      </w:tr>
      <w:tr w:rsidR="00B83BA2" w:rsidRPr="007649FA" w:rsidTr="00145BDB">
        <w:trPr>
          <w:trHeight w:val="31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83BA2" w:rsidRPr="007649FA" w:rsidRDefault="00B83BA2" w:rsidP="00B83BA2">
            <w:pPr>
              <w:rPr>
                <w:rFonts w:cs="Arial"/>
                <w:color w:val="000000"/>
                <w:sz w:val="22"/>
                <w:szCs w:val="22"/>
              </w:rPr>
            </w:pPr>
            <w:r w:rsidRPr="007649FA">
              <w:rPr>
                <w:rFonts w:cs="Arial"/>
                <w:color w:val="000000"/>
                <w:sz w:val="22"/>
                <w:szCs w:val="22"/>
              </w:rPr>
              <w:t>Recoupment</w:t>
            </w:r>
          </w:p>
        </w:tc>
        <w:tc>
          <w:tcPr>
            <w:tcW w:w="1586"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color w:val="000000"/>
                <w:sz w:val="22"/>
                <w:szCs w:val="22"/>
              </w:rPr>
            </w:pPr>
            <w:r w:rsidRPr="007649FA">
              <w:rPr>
                <w:rFonts w:cs="Arial"/>
                <w:color w:val="FF0000"/>
                <w:sz w:val="22"/>
                <w:szCs w:val="22"/>
              </w:rPr>
              <w:t>(2,689)</w:t>
            </w:r>
          </w:p>
        </w:tc>
        <w:tc>
          <w:tcPr>
            <w:tcW w:w="1701" w:type="dxa"/>
            <w:tcBorders>
              <w:top w:val="nil"/>
              <w:left w:val="nil"/>
              <w:bottom w:val="single" w:sz="4" w:space="0" w:color="auto"/>
              <w:right w:val="single" w:sz="4" w:space="0" w:color="auto"/>
            </w:tcBorders>
            <w:shd w:val="clear" w:color="auto" w:fill="auto"/>
            <w:noWrap/>
            <w:vAlign w:val="bottom"/>
            <w:hideMark/>
          </w:tcPr>
          <w:p w:rsidR="00B83BA2" w:rsidRPr="007649FA" w:rsidRDefault="00B83BA2" w:rsidP="00B83BA2">
            <w:pPr>
              <w:jc w:val="right"/>
              <w:rPr>
                <w:rFonts w:cs="Arial"/>
                <w:color w:val="000000"/>
                <w:sz w:val="22"/>
                <w:szCs w:val="22"/>
              </w:rPr>
            </w:pPr>
            <w:r w:rsidRPr="007649FA">
              <w:rPr>
                <w:rFonts w:cs="Arial"/>
                <w:color w:val="FF0000"/>
                <w:sz w:val="22"/>
                <w:szCs w:val="22"/>
              </w:rPr>
              <w:t>(2,328)</w:t>
            </w:r>
          </w:p>
        </w:tc>
      </w:tr>
      <w:tr w:rsidR="00B83BA2" w:rsidRPr="007649FA" w:rsidTr="00145BDB">
        <w:trPr>
          <w:trHeight w:val="310"/>
        </w:trPr>
        <w:tc>
          <w:tcPr>
            <w:tcW w:w="5740" w:type="dxa"/>
            <w:tcBorders>
              <w:top w:val="nil"/>
              <w:left w:val="single" w:sz="4" w:space="0" w:color="auto"/>
              <w:bottom w:val="single" w:sz="4" w:space="0" w:color="auto"/>
              <w:right w:val="single" w:sz="4" w:space="0" w:color="auto"/>
            </w:tcBorders>
            <w:shd w:val="clear" w:color="000000" w:fill="FFD966"/>
            <w:noWrap/>
            <w:vAlign w:val="bottom"/>
            <w:hideMark/>
          </w:tcPr>
          <w:p w:rsidR="00B83BA2" w:rsidRPr="007649FA" w:rsidRDefault="00B83BA2" w:rsidP="00B83BA2">
            <w:pPr>
              <w:rPr>
                <w:rFonts w:cs="Arial"/>
                <w:b/>
                <w:bCs/>
                <w:color w:val="000000"/>
                <w:sz w:val="22"/>
                <w:szCs w:val="22"/>
              </w:rPr>
            </w:pPr>
            <w:r w:rsidRPr="007649FA">
              <w:rPr>
                <w:rFonts w:cs="Arial"/>
                <w:b/>
                <w:bCs/>
                <w:color w:val="000000"/>
                <w:sz w:val="22"/>
                <w:szCs w:val="22"/>
              </w:rPr>
              <w:t>Total</w:t>
            </w:r>
          </w:p>
        </w:tc>
        <w:tc>
          <w:tcPr>
            <w:tcW w:w="1586" w:type="dxa"/>
            <w:tcBorders>
              <w:top w:val="nil"/>
              <w:left w:val="nil"/>
              <w:bottom w:val="single" w:sz="4" w:space="0" w:color="auto"/>
              <w:right w:val="single" w:sz="4" w:space="0" w:color="auto"/>
            </w:tcBorders>
            <w:shd w:val="clear" w:color="000000" w:fill="FFD966"/>
            <w:noWrap/>
            <w:vAlign w:val="bottom"/>
            <w:hideMark/>
          </w:tcPr>
          <w:p w:rsidR="00B83BA2" w:rsidRPr="007649FA" w:rsidRDefault="00B83BA2" w:rsidP="00B83BA2">
            <w:pPr>
              <w:jc w:val="right"/>
              <w:rPr>
                <w:rFonts w:cs="Arial"/>
                <w:b/>
                <w:bCs/>
                <w:color w:val="000000"/>
                <w:sz w:val="22"/>
                <w:szCs w:val="22"/>
              </w:rPr>
            </w:pPr>
            <w:r w:rsidRPr="007649FA">
              <w:rPr>
                <w:rFonts w:cs="Arial"/>
                <w:b/>
                <w:bCs/>
                <w:color w:val="000000"/>
                <w:sz w:val="22"/>
                <w:szCs w:val="22"/>
              </w:rPr>
              <w:t>25,434</w:t>
            </w:r>
          </w:p>
        </w:tc>
        <w:tc>
          <w:tcPr>
            <w:tcW w:w="1701" w:type="dxa"/>
            <w:tcBorders>
              <w:top w:val="nil"/>
              <w:left w:val="nil"/>
              <w:bottom w:val="single" w:sz="4" w:space="0" w:color="auto"/>
              <w:right w:val="single" w:sz="4" w:space="0" w:color="auto"/>
            </w:tcBorders>
            <w:shd w:val="clear" w:color="000000" w:fill="FFD966"/>
            <w:noWrap/>
            <w:vAlign w:val="bottom"/>
            <w:hideMark/>
          </w:tcPr>
          <w:p w:rsidR="00B83BA2" w:rsidRPr="007649FA" w:rsidRDefault="00B83BA2" w:rsidP="00B83BA2">
            <w:pPr>
              <w:jc w:val="right"/>
              <w:rPr>
                <w:rFonts w:cs="Arial"/>
                <w:b/>
                <w:bCs/>
                <w:color w:val="000000"/>
                <w:sz w:val="22"/>
                <w:szCs w:val="22"/>
              </w:rPr>
            </w:pPr>
            <w:r w:rsidRPr="007649FA">
              <w:rPr>
                <w:rFonts w:cs="Arial"/>
                <w:b/>
                <w:bCs/>
                <w:color w:val="000000"/>
                <w:sz w:val="22"/>
                <w:szCs w:val="22"/>
              </w:rPr>
              <w:t>25,643</w:t>
            </w:r>
          </w:p>
        </w:tc>
      </w:tr>
    </w:tbl>
    <w:p w:rsidR="00EB5D04" w:rsidRDefault="00EB5D04" w:rsidP="005F78F6">
      <w:pPr>
        <w:ind w:left="720" w:hanging="720"/>
        <w:rPr>
          <w:b/>
        </w:rPr>
      </w:pPr>
    </w:p>
    <w:p w:rsidR="00EB5D04" w:rsidRDefault="00EB5D04" w:rsidP="005F78F6">
      <w:pPr>
        <w:ind w:left="720" w:hanging="720"/>
        <w:rPr>
          <w:b/>
        </w:rPr>
      </w:pPr>
    </w:p>
    <w:p w:rsidR="005F78F6" w:rsidRDefault="008E6410" w:rsidP="005F78F6">
      <w:pPr>
        <w:ind w:left="720" w:hanging="720"/>
        <w:rPr>
          <w:rFonts w:eastAsiaTheme="minorHAnsi" w:cs="Arial"/>
          <w:lang w:eastAsia="en-US"/>
        </w:rPr>
      </w:pPr>
      <w:r w:rsidRPr="008A3A14">
        <w:rPr>
          <w:b/>
        </w:rPr>
        <w:t>3.4</w:t>
      </w:r>
      <w:r>
        <w:tab/>
      </w:r>
      <w:r w:rsidRPr="007649FA">
        <w:rPr>
          <w:b/>
        </w:rPr>
        <w:t xml:space="preserve">The </w:t>
      </w:r>
      <w:r>
        <w:rPr>
          <w:b/>
        </w:rPr>
        <w:t>Central School Services Block</w:t>
      </w:r>
      <w:r>
        <w:t xml:space="preserve">: The introduction of the National Funding Formula saw the creation of the </w:t>
      </w:r>
      <w:r w:rsidR="005F78F6">
        <w:t>C</w:t>
      </w:r>
      <w:r w:rsidRPr="00E411B9">
        <w:rPr>
          <w:rFonts w:eastAsiaTheme="minorHAnsi" w:cs="Arial"/>
          <w:lang w:eastAsia="en-US"/>
        </w:rPr>
        <w:t xml:space="preserve">entral </w:t>
      </w:r>
      <w:r w:rsidR="005F78F6">
        <w:rPr>
          <w:rFonts w:eastAsiaTheme="minorHAnsi" w:cs="Arial"/>
          <w:lang w:eastAsia="en-US"/>
        </w:rPr>
        <w:t>S</w:t>
      </w:r>
      <w:r w:rsidRPr="00E411B9">
        <w:rPr>
          <w:rFonts w:eastAsiaTheme="minorHAnsi" w:cs="Arial"/>
          <w:lang w:eastAsia="en-US"/>
        </w:rPr>
        <w:t xml:space="preserve">chool </w:t>
      </w:r>
      <w:r w:rsidR="005F78F6">
        <w:rPr>
          <w:rFonts w:eastAsiaTheme="minorHAnsi" w:cs="Arial"/>
          <w:lang w:eastAsia="en-US"/>
        </w:rPr>
        <w:t>S</w:t>
      </w:r>
      <w:r w:rsidRPr="00E411B9">
        <w:rPr>
          <w:rFonts w:eastAsiaTheme="minorHAnsi" w:cs="Arial"/>
          <w:lang w:eastAsia="en-US"/>
        </w:rPr>
        <w:t xml:space="preserve">ervices </w:t>
      </w:r>
      <w:r w:rsidR="005F78F6">
        <w:rPr>
          <w:rFonts w:eastAsiaTheme="minorHAnsi" w:cs="Arial"/>
          <w:lang w:eastAsia="en-US"/>
        </w:rPr>
        <w:t>B</w:t>
      </w:r>
      <w:r w:rsidRPr="00E411B9">
        <w:rPr>
          <w:rFonts w:eastAsiaTheme="minorHAnsi" w:cs="Arial"/>
          <w:lang w:eastAsia="en-US"/>
        </w:rPr>
        <w:t xml:space="preserve">lock (CSSB) </w:t>
      </w:r>
      <w:r w:rsidR="005F78F6">
        <w:rPr>
          <w:rFonts w:eastAsiaTheme="minorHAnsi" w:cs="Arial"/>
          <w:lang w:eastAsia="en-US"/>
        </w:rPr>
        <w:t xml:space="preserve">which includes </w:t>
      </w:r>
      <w:r w:rsidRPr="00E411B9">
        <w:rPr>
          <w:rFonts w:eastAsiaTheme="minorHAnsi" w:cs="Arial"/>
          <w:lang w:eastAsia="en-US"/>
        </w:rPr>
        <w:t>for ongoing responsibilities and a cash sum for historic commitments</w:t>
      </w:r>
      <w:r>
        <w:rPr>
          <w:rFonts w:eastAsiaTheme="minorHAnsi" w:cs="Arial"/>
          <w:lang w:eastAsia="en-US"/>
        </w:rPr>
        <w:t xml:space="preserve">. </w:t>
      </w:r>
      <w:r w:rsidR="005F78F6">
        <w:rPr>
          <w:rFonts w:eastAsiaTheme="minorHAnsi" w:cs="Arial"/>
          <w:lang w:eastAsia="en-US"/>
        </w:rPr>
        <w:lastRenderedPageBreak/>
        <w:t xml:space="preserve">Schools Forum agreed the funding of the CSSB at the meeting in October 2017. Schools Forum are asked to note the increase of </w:t>
      </w:r>
      <w:r w:rsidR="005F78F6" w:rsidRPr="00F2432A">
        <w:rPr>
          <w:rFonts w:eastAsiaTheme="minorHAnsi" w:cs="Arial"/>
          <w:b/>
          <w:lang w:eastAsia="en-US"/>
        </w:rPr>
        <w:t>£27,940</w:t>
      </w:r>
      <w:r w:rsidR="005F78F6">
        <w:rPr>
          <w:rFonts w:eastAsiaTheme="minorHAnsi" w:cs="Arial"/>
          <w:lang w:eastAsia="en-US"/>
        </w:rPr>
        <w:t xml:space="preserve"> which is as a result of the increase in pupil numbers.</w:t>
      </w:r>
    </w:p>
    <w:p w:rsidR="005F78F6" w:rsidRDefault="005F78F6" w:rsidP="005F78F6">
      <w:pPr>
        <w:ind w:left="720" w:hanging="720"/>
      </w:pP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3543"/>
      </w:tblGrid>
      <w:tr w:rsidR="00F2432A" w:rsidRPr="00F2432A" w:rsidTr="00145BDB">
        <w:trPr>
          <w:trHeight w:val="310"/>
        </w:trPr>
        <w:tc>
          <w:tcPr>
            <w:tcW w:w="5484" w:type="dxa"/>
            <w:shd w:val="clear" w:color="auto" w:fill="auto"/>
            <w:noWrap/>
            <w:vAlign w:val="bottom"/>
            <w:hideMark/>
          </w:tcPr>
          <w:p w:rsidR="00F2432A" w:rsidRPr="00F2432A" w:rsidRDefault="00F2432A" w:rsidP="00F2432A">
            <w:pPr>
              <w:rPr>
                <w:rFonts w:cs="Arial"/>
                <w:b/>
                <w:bCs/>
                <w:color w:val="000000"/>
                <w:sz w:val="22"/>
                <w:szCs w:val="22"/>
              </w:rPr>
            </w:pPr>
            <w:r w:rsidRPr="00F2432A">
              <w:rPr>
                <w:rFonts w:cs="Arial"/>
                <w:b/>
                <w:bCs/>
                <w:color w:val="000000"/>
                <w:sz w:val="22"/>
                <w:szCs w:val="22"/>
              </w:rPr>
              <w:t>2018-19 CSSB</w:t>
            </w:r>
          </w:p>
        </w:tc>
        <w:tc>
          <w:tcPr>
            <w:tcW w:w="3543" w:type="dxa"/>
            <w:shd w:val="clear" w:color="auto" w:fill="auto"/>
            <w:noWrap/>
            <w:vAlign w:val="bottom"/>
            <w:hideMark/>
          </w:tcPr>
          <w:p w:rsidR="00145BDB" w:rsidRPr="00F2432A" w:rsidRDefault="00145BDB" w:rsidP="00F2432A">
            <w:pPr>
              <w:rPr>
                <w:rFonts w:cs="Arial"/>
                <w:b/>
                <w:bCs/>
                <w:color w:val="000000"/>
                <w:sz w:val="22"/>
                <w:szCs w:val="22"/>
              </w:rPr>
            </w:pPr>
            <w:r>
              <w:rPr>
                <w:rFonts w:cs="Arial"/>
                <w:b/>
                <w:bCs/>
                <w:color w:val="000000"/>
                <w:sz w:val="22"/>
                <w:szCs w:val="22"/>
              </w:rPr>
              <w:t xml:space="preserve">                                     </w:t>
            </w:r>
            <w:r w:rsidRPr="001E3CC4">
              <w:rPr>
                <w:rFonts w:cs="Arial"/>
                <w:b/>
                <w:bCs/>
                <w:color w:val="000000"/>
                <w:sz w:val="22"/>
                <w:szCs w:val="22"/>
              </w:rPr>
              <w:t>Allocation</w:t>
            </w:r>
          </w:p>
        </w:tc>
      </w:tr>
      <w:tr w:rsidR="00F2432A" w:rsidRPr="00F2432A" w:rsidTr="00145BDB">
        <w:trPr>
          <w:trHeight w:val="310"/>
        </w:trPr>
        <w:tc>
          <w:tcPr>
            <w:tcW w:w="5484" w:type="dxa"/>
            <w:shd w:val="clear" w:color="auto" w:fill="auto"/>
            <w:noWrap/>
            <w:vAlign w:val="bottom"/>
            <w:hideMark/>
          </w:tcPr>
          <w:p w:rsidR="00F2432A" w:rsidRPr="00F2432A" w:rsidRDefault="00F2432A" w:rsidP="00F2432A">
            <w:pPr>
              <w:rPr>
                <w:rFonts w:cs="Arial"/>
                <w:color w:val="000000"/>
                <w:sz w:val="22"/>
                <w:szCs w:val="22"/>
              </w:rPr>
            </w:pPr>
            <w:r w:rsidRPr="00F2432A">
              <w:rPr>
                <w:rFonts w:cs="Arial"/>
                <w:color w:val="000000"/>
                <w:sz w:val="22"/>
                <w:szCs w:val="22"/>
              </w:rPr>
              <w:t>Per pupil rate for ongoing functions</w:t>
            </w:r>
          </w:p>
        </w:tc>
        <w:tc>
          <w:tcPr>
            <w:tcW w:w="3543" w:type="dxa"/>
            <w:shd w:val="clear" w:color="auto" w:fill="auto"/>
            <w:noWrap/>
            <w:vAlign w:val="bottom"/>
            <w:hideMark/>
          </w:tcPr>
          <w:p w:rsidR="00F2432A" w:rsidRPr="00F2432A" w:rsidRDefault="00F2432A" w:rsidP="00F2432A">
            <w:pPr>
              <w:jc w:val="right"/>
              <w:rPr>
                <w:rFonts w:cs="Arial"/>
                <w:color w:val="000000"/>
                <w:sz w:val="22"/>
                <w:szCs w:val="22"/>
              </w:rPr>
            </w:pPr>
            <w:r w:rsidRPr="00F2432A">
              <w:rPr>
                <w:rFonts w:cs="Arial"/>
                <w:color w:val="000000"/>
                <w:sz w:val="22"/>
                <w:szCs w:val="22"/>
              </w:rPr>
              <w:t>£36.69</w:t>
            </w:r>
          </w:p>
        </w:tc>
      </w:tr>
      <w:tr w:rsidR="00F2432A" w:rsidRPr="00F2432A" w:rsidTr="00145BDB">
        <w:trPr>
          <w:trHeight w:val="310"/>
        </w:trPr>
        <w:tc>
          <w:tcPr>
            <w:tcW w:w="5484" w:type="dxa"/>
            <w:shd w:val="clear" w:color="auto" w:fill="auto"/>
            <w:noWrap/>
            <w:vAlign w:val="bottom"/>
            <w:hideMark/>
          </w:tcPr>
          <w:p w:rsidR="00F2432A" w:rsidRPr="00F2432A" w:rsidRDefault="00F2432A" w:rsidP="00F2432A">
            <w:pPr>
              <w:rPr>
                <w:rFonts w:cs="Arial"/>
                <w:color w:val="000000"/>
                <w:sz w:val="22"/>
                <w:szCs w:val="22"/>
              </w:rPr>
            </w:pPr>
            <w:r w:rsidRPr="00F2432A">
              <w:rPr>
                <w:rFonts w:cs="Arial"/>
                <w:color w:val="000000"/>
                <w:sz w:val="22"/>
                <w:szCs w:val="22"/>
              </w:rPr>
              <w:t>2018-19 schools block pupils</w:t>
            </w:r>
          </w:p>
        </w:tc>
        <w:tc>
          <w:tcPr>
            <w:tcW w:w="3543" w:type="dxa"/>
            <w:shd w:val="clear" w:color="auto" w:fill="auto"/>
            <w:noWrap/>
            <w:vAlign w:val="bottom"/>
            <w:hideMark/>
          </w:tcPr>
          <w:p w:rsidR="00F2432A" w:rsidRPr="00F2432A" w:rsidRDefault="00F2432A" w:rsidP="00F2432A">
            <w:pPr>
              <w:rPr>
                <w:rFonts w:cs="Arial"/>
                <w:color w:val="000000"/>
                <w:sz w:val="22"/>
                <w:szCs w:val="22"/>
              </w:rPr>
            </w:pPr>
            <w:r w:rsidRPr="00F2432A">
              <w:rPr>
                <w:rFonts w:cs="Arial"/>
                <w:color w:val="000000"/>
                <w:sz w:val="22"/>
                <w:szCs w:val="22"/>
              </w:rPr>
              <w:t xml:space="preserve">           </w:t>
            </w:r>
            <w:r w:rsidR="00145BDB">
              <w:rPr>
                <w:rFonts w:cs="Arial"/>
                <w:color w:val="000000"/>
                <w:sz w:val="22"/>
                <w:szCs w:val="22"/>
              </w:rPr>
              <w:t xml:space="preserve">                                </w:t>
            </w:r>
            <w:r w:rsidRPr="00F2432A">
              <w:rPr>
                <w:rFonts w:cs="Arial"/>
                <w:color w:val="000000"/>
                <w:sz w:val="22"/>
                <w:szCs w:val="22"/>
              </w:rPr>
              <w:t xml:space="preserve">38,220 </w:t>
            </w:r>
          </w:p>
        </w:tc>
      </w:tr>
      <w:tr w:rsidR="00F2432A" w:rsidRPr="00F2432A" w:rsidTr="00145BDB">
        <w:trPr>
          <w:trHeight w:val="310"/>
        </w:trPr>
        <w:tc>
          <w:tcPr>
            <w:tcW w:w="5484" w:type="dxa"/>
            <w:shd w:val="clear" w:color="auto" w:fill="auto"/>
            <w:noWrap/>
            <w:vAlign w:val="bottom"/>
            <w:hideMark/>
          </w:tcPr>
          <w:p w:rsidR="00F2432A" w:rsidRPr="00F2432A" w:rsidRDefault="00F2432A" w:rsidP="00F2432A">
            <w:pPr>
              <w:rPr>
                <w:rFonts w:cs="Arial"/>
                <w:color w:val="000000"/>
                <w:sz w:val="22"/>
                <w:szCs w:val="22"/>
              </w:rPr>
            </w:pPr>
            <w:r w:rsidRPr="00F2432A">
              <w:rPr>
                <w:rFonts w:cs="Arial"/>
                <w:color w:val="000000"/>
                <w:sz w:val="22"/>
                <w:szCs w:val="22"/>
              </w:rPr>
              <w:t>Total funding for ongoing functions</w:t>
            </w:r>
          </w:p>
        </w:tc>
        <w:tc>
          <w:tcPr>
            <w:tcW w:w="3543" w:type="dxa"/>
            <w:shd w:val="clear" w:color="auto" w:fill="auto"/>
            <w:noWrap/>
            <w:vAlign w:val="bottom"/>
            <w:hideMark/>
          </w:tcPr>
          <w:p w:rsidR="00F2432A" w:rsidRPr="00F2432A" w:rsidRDefault="00F2432A" w:rsidP="00F2432A">
            <w:pPr>
              <w:jc w:val="right"/>
              <w:rPr>
                <w:rFonts w:cs="Arial"/>
                <w:color w:val="000000"/>
                <w:sz w:val="22"/>
                <w:szCs w:val="22"/>
              </w:rPr>
            </w:pPr>
            <w:r w:rsidRPr="00F2432A">
              <w:rPr>
                <w:rFonts w:cs="Arial"/>
                <w:color w:val="000000"/>
                <w:sz w:val="22"/>
                <w:szCs w:val="22"/>
              </w:rPr>
              <w:t>£1,402,292</w:t>
            </w:r>
          </w:p>
        </w:tc>
      </w:tr>
      <w:tr w:rsidR="00F2432A" w:rsidRPr="00F2432A" w:rsidTr="00145BDB">
        <w:trPr>
          <w:trHeight w:val="310"/>
        </w:trPr>
        <w:tc>
          <w:tcPr>
            <w:tcW w:w="5484" w:type="dxa"/>
            <w:shd w:val="clear" w:color="auto" w:fill="auto"/>
            <w:noWrap/>
            <w:vAlign w:val="bottom"/>
            <w:hideMark/>
          </w:tcPr>
          <w:p w:rsidR="00F2432A" w:rsidRPr="00F2432A" w:rsidRDefault="00F2432A" w:rsidP="00F2432A">
            <w:pPr>
              <w:rPr>
                <w:rFonts w:cs="Arial"/>
                <w:color w:val="000000"/>
                <w:sz w:val="22"/>
                <w:szCs w:val="22"/>
              </w:rPr>
            </w:pPr>
            <w:r w:rsidRPr="00F2432A">
              <w:rPr>
                <w:rFonts w:cs="Arial"/>
                <w:color w:val="000000"/>
                <w:sz w:val="22"/>
                <w:szCs w:val="22"/>
              </w:rPr>
              <w:t>Total funding for ongoing functions</w:t>
            </w:r>
          </w:p>
        </w:tc>
        <w:tc>
          <w:tcPr>
            <w:tcW w:w="3543" w:type="dxa"/>
            <w:shd w:val="clear" w:color="auto" w:fill="auto"/>
            <w:noWrap/>
            <w:vAlign w:val="bottom"/>
            <w:hideMark/>
          </w:tcPr>
          <w:p w:rsidR="00F2432A" w:rsidRPr="00F2432A" w:rsidRDefault="00F2432A" w:rsidP="00F2432A">
            <w:pPr>
              <w:jc w:val="right"/>
              <w:rPr>
                <w:rFonts w:cs="Arial"/>
                <w:color w:val="000000"/>
                <w:sz w:val="22"/>
                <w:szCs w:val="22"/>
              </w:rPr>
            </w:pPr>
            <w:r w:rsidRPr="00F2432A">
              <w:rPr>
                <w:rFonts w:cs="Arial"/>
                <w:color w:val="000000"/>
                <w:sz w:val="22"/>
                <w:szCs w:val="22"/>
              </w:rPr>
              <w:t>£1,156,948</w:t>
            </w:r>
          </w:p>
        </w:tc>
      </w:tr>
      <w:tr w:rsidR="00F2432A" w:rsidRPr="00F2432A" w:rsidTr="00145BDB">
        <w:trPr>
          <w:trHeight w:val="310"/>
        </w:trPr>
        <w:tc>
          <w:tcPr>
            <w:tcW w:w="5484" w:type="dxa"/>
            <w:shd w:val="clear" w:color="000000" w:fill="FFD966"/>
            <w:noWrap/>
            <w:vAlign w:val="bottom"/>
            <w:hideMark/>
          </w:tcPr>
          <w:p w:rsidR="00F2432A" w:rsidRPr="00F2432A" w:rsidRDefault="00F2432A" w:rsidP="00F2432A">
            <w:pPr>
              <w:rPr>
                <w:rFonts w:cs="Arial"/>
                <w:b/>
                <w:bCs/>
                <w:color w:val="000000"/>
                <w:sz w:val="22"/>
                <w:szCs w:val="22"/>
              </w:rPr>
            </w:pPr>
            <w:r w:rsidRPr="00F2432A">
              <w:rPr>
                <w:rFonts w:cs="Arial"/>
                <w:b/>
                <w:bCs/>
                <w:color w:val="000000"/>
                <w:sz w:val="22"/>
                <w:szCs w:val="22"/>
              </w:rPr>
              <w:t>Total central school services block funding</w:t>
            </w:r>
          </w:p>
        </w:tc>
        <w:tc>
          <w:tcPr>
            <w:tcW w:w="3543" w:type="dxa"/>
            <w:shd w:val="clear" w:color="000000" w:fill="FFD966"/>
            <w:noWrap/>
            <w:vAlign w:val="bottom"/>
            <w:hideMark/>
          </w:tcPr>
          <w:p w:rsidR="00F2432A" w:rsidRPr="00F2432A" w:rsidRDefault="00F2432A" w:rsidP="00F2432A">
            <w:pPr>
              <w:jc w:val="right"/>
              <w:rPr>
                <w:rFonts w:cs="Arial"/>
                <w:b/>
                <w:bCs/>
                <w:color w:val="000000"/>
                <w:sz w:val="22"/>
                <w:szCs w:val="22"/>
              </w:rPr>
            </w:pPr>
            <w:r w:rsidRPr="00F2432A">
              <w:rPr>
                <w:rFonts w:cs="Arial"/>
                <w:b/>
                <w:bCs/>
                <w:color w:val="000000"/>
                <w:sz w:val="22"/>
                <w:szCs w:val="22"/>
              </w:rPr>
              <w:t>£2,559,240</w:t>
            </w:r>
          </w:p>
        </w:tc>
      </w:tr>
    </w:tbl>
    <w:p w:rsidR="008E6410" w:rsidRDefault="008E6410" w:rsidP="008E6410">
      <w:pPr>
        <w:ind w:left="1440" w:hanging="720"/>
        <w:rPr>
          <w:rFonts w:cs="Arial"/>
          <w:b/>
          <w:lang w:val="en-US"/>
        </w:rPr>
      </w:pPr>
    </w:p>
    <w:p w:rsidR="00CA5F06" w:rsidRPr="001E3CC4" w:rsidRDefault="001E3CC4" w:rsidP="001E3CC4">
      <w:pPr>
        <w:ind w:left="709"/>
        <w:jc w:val="both"/>
        <w:rPr>
          <w:rFonts w:cs="Arial"/>
        </w:rPr>
      </w:pPr>
      <w:r w:rsidRPr="001E3CC4">
        <w:rPr>
          <w:rFonts w:cs="Arial"/>
        </w:rPr>
        <w:t xml:space="preserve">For information, </w:t>
      </w:r>
      <w:r w:rsidRPr="001E3CC4">
        <w:rPr>
          <w:rFonts w:cs="Arial"/>
          <w:b/>
        </w:rPr>
        <w:t>Appendix C</w:t>
      </w:r>
      <w:r w:rsidRPr="001E3CC4">
        <w:rPr>
          <w:rFonts w:cs="Arial"/>
        </w:rPr>
        <w:t xml:space="preserve"> provides the updated Central Block.</w:t>
      </w:r>
    </w:p>
    <w:p w:rsidR="001E3CC4" w:rsidRPr="00FF2F44" w:rsidRDefault="001E3CC4" w:rsidP="006B6299">
      <w:pPr>
        <w:ind w:left="709" w:hanging="709"/>
        <w:jc w:val="both"/>
        <w:rPr>
          <w:rFonts w:cs="Arial"/>
          <w:highlight w:val="lightGray"/>
        </w:rPr>
      </w:pPr>
    </w:p>
    <w:p w:rsidR="00711A8C" w:rsidRDefault="009602D4" w:rsidP="00557FE3">
      <w:pPr>
        <w:pStyle w:val="ListParagraph"/>
        <w:numPr>
          <w:ilvl w:val="0"/>
          <w:numId w:val="2"/>
        </w:numPr>
        <w:jc w:val="both"/>
        <w:rPr>
          <w:b/>
        </w:rPr>
      </w:pPr>
      <w:r w:rsidRPr="00417FE5">
        <w:rPr>
          <w:b/>
        </w:rPr>
        <w:t xml:space="preserve">Schools Block </w:t>
      </w:r>
      <w:r w:rsidR="00557FE3" w:rsidRPr="00417FE5">
        <w:rPr>
          <w:b/>
        </w:rPr>
        <w:t xml:space="preserve">DSG </w:t>
      </w:r>
      <w:r w:rsidRPr="00417FE5">
        <w:rPr>
          <w:b/>
        </w:rPr>
        <w:t>2</w:t>
      </w:r>
      <w:r w:rsidR="00557FE3" w:rsidRPr="00417FE5">
        <w:rPr>
          <w:b/>
        </w:rPr>
        <w:t>01</w:t>
      </w:r>
      <w:r w:rsidR="00992036" w:rsidRPr="00417FE5">
        <w:rPr>
          <w:b/>
        </w:rPr>
        <w:t>8</w:t>
      </w:r>
      <w:r w:rsidR="00557FE3" w:rsidRPr="00417FE5">
        <w:rPr>
          <w:b/>
        </w:rPr>
        <w:t>-1</w:t>
      </w:r>
      <w:r w:rsidR="00992036" w:rsidRPr="00417FE5">
        <w:rPr>
          <w:b/>
        </w:rPr>
        <w:t>9</w:t>
      </w:r>
    </w:p>
    <w:p w:rsidR="005161F7" w:rsidRDefault="005161F7" w:rsidP="005161F7">
      <w:pPr>
        <w:jc w:val="both"/>
        <w:rPr>
          <w:b/>
        </w:rPr>
      </w:pPr>
    </w:p>
    <w:p w:rsidR="005161F7" w:rsidRPr="005161F7" w:rsidRDefault="005161F7" w:rsidP="005161F7">
      <w:pPr>
        <w:ind w:left="720" w:hanging="720"/>
        <w:jc w:val="both"/>
      </w:pPr>
      <w:r w:rsidRPr="005161F7">
        <w:t>4.1</w:t>
      </w:r>
      <w:r>
        <w:tab/>
      </w:r>
      <w:r w:rsidRPr="005161F7">
        <w:rPr>
          <w:b/>
        </w:rPr>
        <w:t>De-Delegation</w:t>
      </w:r>
      <w:r>
        <w:t xml:space="preserve"> – the p</w:t>
      </w:r>
      <w:r w:rsidRPr="005161F7">
        <w:t xml:space="preserve">rovisional de-delegated per pupil rates were agreed by Schools Forum in November 2017. Table </w:t>
      </w:r>
      <w:r w:rsidR="00EB5D04">
        <w:t>6</w:t>
      </w:r>
      <w:r w:rsidRPr="005161F7">
        <w:t xml:space="preserve"> provides the updated rates per pupil based on the October 2017 census </w:t>
      </w:r>
      <w:r w:rsidRPr="001E3CC4">
        <w:t>numbers</w:t>
      </w:r>
      <w:r w:rsidR="00145BDB" w:rsidRPr="001E3CC4">
        <w:t xml:space="preserve"> for LA maintained schools</w:t>
      </w:r>
      <w:r w:rsidRPr="005161F7">
        <w:t>. Schools Forum are asked to note the revised rates per pupil</w:t>
      </w:r>
      <w:r>
        <w:t xml:space="preserve"> rates.</w:t>
      </w:r>
    </w:p>
    <w:p w:rsidR="002329C6" w:rsidRPr="002329C6" w:rsidRDefault="002329C6" w:rsidP="005161F7"/>
    <w:p w:rsidR="000E3D31" w:rsidRPr="00CB06CB" w:rsidRDefault="000E3D31" w:rsidP="000E3D31">
      <w:pPr>
        <w:ind w:firstLine="709"/>
        <w:rPr>
          <w:b/>
        </w:rPr>
      </w:pPr>
      <w:r>
        <w:rPr>
          <w:b/>
        </w:rPr>
        <w:t xml:space="preserve">Table 6: </w:t>
      </w:r>
      <w:r w:rsidRPr="00CB06CB">
        <w:rPr>
          <w:b/>
        </w:rPr>
        <w:t>De-delegated Budgets and Per Pupil Rates</w:t>
      </w:r>
      <w:r w:rsidR="005161F7">
        <w:rPr>
          <w:b/>
        </w:rPr>
        <w:t xml:space="preserve"> for 2018-19</w:t>
      </w:r>
      <w:r w:rsidRPr="00CB06CB">
        <w:rPr>
          <w:b/>
        </w:rPr>
        <w:t xml:space="preserve"> </w:t>
      </w:r>
    </w:p>
    <w:p w:rsidR="000E3D31" w:rsidRPr="0059798C" w:rsidRDefault="000E3D31" w:rsidP="000E3D31">
      <w:pPr>
        <w:pStyle w:val="Default"/>
        <w:ind w:left="709"/>
        <w:jc w:val="both"/>
        <w:rPr>
          <w:color w:val="auto"/>
        </w:rPr>
      </w:pPr>
    </w:p>
    <w:tbl>
      <w:tblPr>
        <w:tblW w:w="8930" w:type="dxa"/>
        <w:tblInd w:w="704" w:type="dxa"/>
        <w:tblLayout w:type="fixed"/>
        <w:tblLook w:val="04A0" w:firstRow="1" w:lastRow="0" w:firstColumn="1" w:lastColumn="0" w:noHBand="0" w:noVBand="1"/>
      </w:tblPr>
      <w:tblGrid>
        <w:gridCol w:w="3817"/>
        <w:gridCol w:w="1022"/>
        <w:gridCol w:w="1023"/>
        <w:gridCol w:w="1022"/>
        <w:gridCol w:w="1023"/>
        <w:gridCol w:w="1023"/>
      </w:tblGrid>
      <w:tr w:rsidR="000E3D31" w:rsidRPr="0059798C" w:rsidTr="00507D0E">
        <w:trPr>
          <w:trHeight w:val="480"/>
        </w:trPr>
        <w:tc>
          <w:tcPr>
            <w:tcW w:w="3817" w:type="dxa"/>
            <w:tcBorders>
              <w:top w:val="single" w:sz="12" w:space="0" w:color="auto"/>
              <w:left w:val="single" w:sz="12" w:space="0" w:color="auto"/>
              <w:bottom w:val="single" w:sz="4" w:space="0" w:color="auto"/>
              <w:right w:val="single" w:sz="4" w:space="0" w:color="auto"/>
            </w:tcBorders>
            <w:shd w:val="clear" w:color="auto" w:fill="FABF8F" w:themeFill="accent6" w:themeFillTint="99"/>
            <w:noWrap/>
            <w:vAlign w:val="bottom"/>
            <w:hideMark/>
          </w:tcPr>
          <w:p w:rsidR="000E3D31" w:rsidRPr="0059798C" w:rsidRDefault="000E3D31" w:rsidP="00507D0E">
            <w:pPr>
              <w:rPr>
                <w:rFonts w:cs="Arial"/>
                <w:b/>
                <w:bCs/>
                <w:sz w:val="22"/>
                <w:szCs w:val="22"/>
              </w:rPr>
            </w:pPr>
            <w:r w:rsidRPr="0059798C">
              <w:rPr>
                <w:rFonts w:cs="Arial"/>
                <w:b/>
                <w:bCs/>
                <w:sz w:val="22"/>
                <w:szCs w:val="22"/>
              </w:rPr>
              <w:t>Description</w:t>
            </w:r>
          </w:p>
        </w:tc>
        <w:tc>
          <w:tcPr>
            <w:tcW w:w="1022" w:type="dxa"/>
            <w:tcBorders>
              <w:top w:val="single" w:sz="12" w:space="0" w:color="auto"/>
              <w:left w:val="nil"/>
              <w:bottom w:val="single" w:sz="4" w:space="0" w:color="auto"/>
              <w:right w:val="single" w:sz="6" w:space="0" w:color="auto"/>
            </w:tcBorders>
            <w:shd w:val="clear" w:color="auto" w:fill="FABF8F" w:themeFill="accent6" w:themeFillTint="99"/>
            <w:vAlign w:val="bottom"/>
          </w:tcPr>
          <w:p w:rsidR="000E3D31" w:rsidRPr="0059798C" w:rsidRDefault="000E3D31" w:rsidP="00507D0E">
            <w:pPr>
              <w:jc w:val="center"/>
              <w:rPr>
                <w:rFonts w:cs="Arial"/>
                <w:b/>
                <w:bCs/>
                <w:sz w:val="22"/>
                <w:szCs w:val="22"/>
              </w:rPr>
            </w:pPr>
            <w:r w:rsidRPr="0059798C">
              <w:rPr>
                <w:rFonts w:cs="Arial"/>
                <w:b/>
                <w:bCs/>
                <w:sz w:val="22"/>
                <w:szCs w:val="22"/>
              </w:rPr>
              <w:t>2016/17 Per Pupil (£)</w:t>
            </w:r>
          </w:p>
        </w:tc>
        <w:tc>
          <w:tcPr>
            <w:tcW w:w="1023" w:type="dxa"/>
            <w:tcBorders>
              <w:top w:val="single" w:sz="12" w:space="0" w:color="auto"/>
              <w:left w:val="single" w:sz="6" w:space="0" w:color="auto"/>
              <w:bottom w:val="single" w:sz="4" w:space="0" w:color="auto"/>
              <w:right w:val="single" w:sz="4" w:space="0" w:color="auto"/>
            </w:tcBorders>
            <w:shd w:val="clear" w:color="auto" w:fill="FABF8F" w:themeFill="accent6" w:themeFillTint="99"/>
            <w:vAlign w:val="bottom"/>
          </w:tcPr>
          <w:p w:rsidR="000E3D31" w:rsidRPr="0059798C" w:rsidRDefault="000E3D31" w:rsidP="00507D0E">
            <w:pPr>
              <w:jc w:val="center"/>
              <w:rPr>
                <w:rFonts w:cs="Arial"/>
                <w:b/>
                <w:bCs/>
                <w:sz w:val="22"/>
                <w:szCs w:val="22"/>
              </w:rPr>
            </w:pPr>
            <w:r w:rsidRPr="0059798C">
              <w:rPr>
                <w:rFonts w:cs="Arial"/>
                <w:b/>
                <w:bCs/>
                <w:sz w:val="22"/>
                <w:szCs w:val="22"/>
              </w:rPr>
              <w:t>2017/18 Per Pupil (£)</w:t>
            </w:r>
            <w:r w:rsidRPr="0059798C">
              <w:rPr>
                <w:rFonts w:cs="Arial"/>
                <w:b/>
                <w:bCs/>
                <w:sz w:val="22"/>
                <w:szCs w:val="22"/>
              </w:rPr>
              <w:tab/>
            </w:r>
          </w:p>
        </w:tc>
        <w:tc>
          <w:tcPr>
            <w:tcW w:w="1022" w:type="dxa"/>
            <w:tcBorders>
              <w:top w:val="single" w:sz="12" w:space="0" w:color="auto"/>
              <w:left w:val="nil"/>
              <w:bottom w:val="single" w:sz="4" w:space="0" w:color="auto"/>
              <w:right w:val="single" w:sz="4" w:space="0" w:color="auto"/>
            </w:tcBorders>
            <w:shd w:val="clear" w:color="auto" w:fill="FABF8F" w:themeFill="accent6" w:themeFillTint="99"/>
            <w:vAlign w:val="bottom"/>
          </w:tcPr>
          <w:p w:rsidR="000E3D31" w:rsidRPr="0059798C" w:rsidRDefault="000E3D31" w:rsidP="00507D0E">
            <w:pPr>
              <w:jc w:val="center"/>
              <w:rPr>
                <w:rFonts w:cs="Arial"/>
                <w:b/>
                <w:bCs/>
                <w:sz w:val="22"/>
                <w:szCs w:val="22"/>
              </w:rPr>
            </w:pPr>
            <w:r w:rsidRPr="0059798C">
              <w:rPr>
                <w:rFonts w:cs="Arial"/>
                <w:b/>
                <w:bCs/>
                <w:sz w:val="22"/>
                <w:szCs w:val="22"/>
              </w:rPr>
              <w:t>2017/18    Total (£)</w:t>
            </w:r>
          </w:p>
        </w:tc>
        <w:tc>
          <w:tcPr>
            <w:tcW w:w="1023" w:type="dxa"/>
            <w:tcBorders>
              <w:top w:val="single" w:sz="12" w:space="0" w:color="auto"/>
              <w:left w:val="nil"/>
              <w:bottom w:val="single" w:sz="4" w:space="0" w:color="auto"/>
              <w:right w:val="single" w:sz="4" w:space="0" w:color="auto"/>
            </w:tcBorders>
            <w:shd w:val="clear" w:color="auto" w:fill="FABF8F" w:themeFill="accent6" w:themeFillTint="99"/>
            <w:vAlign w:val="bottom"/>
            <w:hideMark/>
          </w:tcPr>
          <w:p w:rsidR="000E3D31" w:rsidRPr="0059798C" w:rsidRDefault="000E3D31" w:rsidP="00507D0E">
            <w:pPr>
              <w:jc w:val="center"/>
              <w:rPr>
                <w:rFonts w:cs="Arial"/>
                <w:b/>
                <w:bCs/>
                <w:sz w:val="22"/>
                <w:szCs w:val="22"/>
              </w:rPr>
            </w:pPr>
            <w:r w:rsidRPr="0059798C">
              <w:rPr>
                <w:rFonts w:cs="Arial"/>
                <w:b/>
                <w:bCs/>
                <w:sz w:val="22"/>
                <w:szCs w:val="22"/>
              </w:rPr>
              <w:t>2018/19 Pupil (£)</w:t>
            </w:r>
          </w:p>
        </w:tc>
        <w:tc>
          <w:tcPr>
            <w:tcW w:w="1023" w:type="dxa"/>
            <w:tcBorders>
              <w:top w:val="single" w:sz="12" w:space="0" w:color="auto"/>
              <w:left w:val="nil"/>
              <w:bottom w:val="single" w:sz="4" w:space="0" w:color="auto"/>
              <w:right w:val="single" w:sz="12" w:space="0" w:color="auto"/>
            </w:tcBorders>
            <w:shd w:val="clear" w:color="auto" w:fill="FABF8F" w:themeFill="accent6" w:themeFillTint="99"/>
            <w:vAlign w:val="bottom"/>
            <w:hideMark/>
          </w:tcPr>
          <w:p w:rsidR="000E3D31" w:rsidRPr="0059798C" w:rsidRDefault="000E3D31" w:rsidP="00507D0E">
            <w:pPr>
              <w:jc w:val="center"/>
              <w:rPr>
                <w:rFonts w:cs="Arial"/>
                <w:b/>
                <w:bCs/>
                <w:sz w:val="22"/>
                <w:szCs w:val="22"/>
              </w:rPr>
            </w:pPr>
            <w:r w:rsidRPr="0059798C">
              <w:rPr>
                <w:rFonts w:cs="Arial"/>
                <w:b/>
                <w:bCs/>
                <w:sz w:val="22"/>
                <w:szCs w:val="22"/>
              </w:rPr>
              <w:t>2018/19 Total (£)</w:t>
            </w:r>
          </w:p>
        </w:tc>
      </w:tr>
      <w:tr w:rsidR="000E3D31" w:rsidRPr="0059798C" w:rsidTr="00507D0E">
        <w:trPr>
          <w:trHeight w:val="255"/>
        </w:trPr>
        <w:tc>
          <w:tcPr>
            <w:tcW w:w="381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E3D31" w:rsidRPr="0059798C" w:rsidRDefault="000E3D31" w:rsidP="00507D0E">
            <w:pPr>
              <w:rPr>
                <w:rFonts w:cs="Arial"/>
                <w:sz w:val="22"/>
                <w:szCs w:val="22"/>
              </w:rPr>
            </w:pPr>
            <w:r w:rsidRPr="0059798C">
              <w:rPr>
                <w:rFonts w:cs="Arial"/>
                <w:sz w:val="22"/>
                <w:szCs w:val="22"/>
              </w:rPr>
              <w:t>Schools in Financial Difficulty</w:t>
            </w:r>
          </w:p>
        </w:tc>
        <w:tc>
          <w:tcPr>
            <w:tcW w:w="1022" w:type="dxa"/>
            <w:tcBorders>
              <w:top w:val="single" w:sz="4" w:space="0" w:color="auto"/>
              <w:left w:val="nil"/>
              <w:bottom w:val="single" w:sz="4" w:space="0" w:color="auto"/>
              <w:right w:val="single" w:sz="6" w:space="0" w:color="auto"/>
            </w:tcBorders>
            <w:vAlign w:val="bottom"/>
          </w:tcPr>
          <w:p w:rsidR="000E3D31" w:rsidRPr="0059798C" w:rsidRDefault="000E3D31" w:rsidP="00507D0E">
            <w:pPr>
              <w:jc w:val="right"/>
              <w:rPr>
                <w:rFonts w:cs="Arial"/>
                <w:sz w:val="22"/>
                <w:szCs w:val="22"/>
              </w:rPr>
            </w:pPr>
            <w:r w:rsidRPr="0059798C">
              <w:rPr>
                <w:rFonts w:cs="Arial"/>
                <w:sz w:val="22"/>
                <w:szCs w:val="22"/>
              </w:rPr>
              <w:t xml:space="preserve">7.96 </w:t>
            </w:r>
          </w:p>
        </w:tc>
        <w:tc>
          <w:tcPr>
            <w:tcW w:w="1023" w:type="dxa"/>
            <w:tcBorders>
              <w:top w:val="single" w:sz="4" w:space="0" w:color="auto"/>
              <w:left w:val="single" w:sz="6" w:space="0" w:color="auto"/>
              <w:bottom w:val="single" w:sz="4"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0</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p>
        </w:tc>
        <w:tc>
          <w:tcPr>
            <w:tcW w:w="1023" w:type="dxa"/>
            <w:tcBorders>
              <w:top w:val="single" w:sz="4" w:space="0" w:color="auto"/>
              <w:left w:val="nil"/>
              <w:bottom w:val="single" w:sz="4" w:space="0" w:color="auto"/>
              <w:right w:val="single" w:sz="12" w:space="0" w:color="auto"/>
            </w:tcBorders>
            <w:shd w:val="clear" w:color="auto" w:fill="auto"/>
            <w:noWrap/>
            <w:vAlign w:val="bottom"/>
          </w:tcPr>
          <w:p w:rsidR="000E3D31" w:rsidRPr="0059798C" w:rsidRDefault="000E3D31" w:rsidP="00507D0E">
            <w:pPr>
              <w:jc w:val="right"/>
              <w:rPr>
                <w:rFonts w:cs="Arial"/>
                <w:sz w:val="22"/>
                <w:szCs w:val="22"/>
              </w:rPr>
            </w:pPr>
          </w:p>
        </w:tc>
      </w:tr>
      <w:tr w:rsidR="000E3D31" w:rsidRPr="0059798C" w:rsidTr="00507D0E">
        <w:trPr>
          <w:trHeight w:val="255"/>
        </w:trPr>
        <w:tc>
          <w:tcPr>
            <w:tcW w:w="381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E3D31" w:rsidRPr="0059798C" w:rsidRDefault="000E3D31" w:rsidP="00507D0E">
            <w:pPr>
              <w:rPr>
                <w:rFonts w:cs="Arial"/>
                <w:sz w:val="22"/>
                <w:szCs w:val="22"/>
              </w:rPr>
            </w:pPr>
            <w:r w:rsidRPr="0059798C">
              <w:rPr>
                <w:rFonts w:cs="Arial"/>
                <w:sz w:val="22"/>
                <w:szCs w:val="22"/>
              </w:rPr>
              <w:t>Schools Specific Contingency</w:t>
            </w:r>
          </w:p>
        </w:tc>
        <w:tc>
          <w:tcPr>
            <w:tcW w:w="1022" w:type="dxa"/>
            <w:tcBorders>
              <w:top w:val="single" w:sz="4" w:space="0" w:color="auto"/>
              <w:left w:val="nil"/>
              <w:bottom w:val="single" w:sz="4" w:space="0" w:color="auto"/>
              <w:right w:val="single" w:sz="6" w:space="0" w:color="auto"/>
            </w:tcBorders>
            <w:vAlign w:val="bottom"/>
          </w:tcPr>
          <w:p w:rsidR="000E3D31" w:rsidRPr="0059798C" w:rsidRDefault="000E3D31" w:rsidP="00507D0E">
            <w:pPr>
              <w:jc w:val="right"/>
              <w:rPr>
                <w:rFonts w:cs="Arial"/>
                <w:sz w:val="22"/>
                <w:szCs w:val="22"/>
              </w:rPr>
            </w:pPr>
            <w:r w:rsidRPr="0059798C">
              <w:rPr>
                <w:rFonts w:cs="Arial"/>
                <w:sz w:val="22"/>
                <w:szCs w:val="22"/>
              </w:rPr>
              <w:t xml:space="preserve">5.02 </w:t>
            </w:r>
          </w:p>
        </w:tc>
        <w:tc>
          <w:tcPr>
            <w:tcW w:w="1023" w:type="dxa"/>
            <w:tcBorders>
              <w:top w:val="single" w:sz="4" w:space="0" w:color="auto"/>
              <w:left w:val="single" w:sz="6" w:space="0" w:color="auto"/>
              <w:bottom w:val="single" w:sz="4"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3.49</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108,490</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3.</w:t>
            </w:r>
            <w:r w:rsidR="005161F7">
              <w:rPr>
                <w:rFonts w:cs="Arial"/>
                <w:sz w:val="22"/>
                <w:szCs w:val="22"/>
              </w:rPr>
              <w:t>57</w:t>
            </w:r>
          </w:p>
        </w:tc>
        <w:tc>
          <w:tcPr>
            <w:tcW w:w="1023" w:type="dxa"/>
            <w:tcBorders>
              <w:top w:val="single" w:sz="4" w:space="0" w:color="auto"/>
              <w:left w:val="nil"/>
              <w:bottom w:val="single" w:sz="4" w:space="0" w:color="auto"/>
              <w:right w:val="single" w:sz="12"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108,600</w:t>
            </w:r>
          </w:p>
        </w:tc>
      </w:tr>
      <w:tr w:rsidR="000E3D31" w:rsidRPr="0059798C" w:rsidTr="00507D0E">
        <w:trPr>
          <w:trHeight w:val="255"/>
        </w:trPr>
        <w:tc>
          <w:tcPr>
            <w:tcW w:w="381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E3D31" w:rsidRPr="0059798C" w:rsidRDefault="000E3D31" w:rsidP="00507D0E">
            <w:pPr>
              <w:rPr>
                <w:rFonts w:cs="Arial"/>
                <w:sz w:val="22"/>
                <w:szCs w:val="22"/>
              </w:rPr>
            </w:pPr>
            <w:r w:rsidRPr="0059798C">
              <w:rPr>
                <w:rFonts w:cs="Arial"/>
                <w:sz w:val="22"/>
                <w:szCs w:val="22"/>
              </w:rPr>
              <w:t>Free School Meals Eligibility</w:t>
            </w:r>
          </w:p>
        </w:tc>
        <w:tc>
          <w:tcPr>
            <w:tcW w:w="1022" w:type="dxa"/>
            <w:tcBorders>
              <w:top w:val="single" w:sz="4" w:space="0" w:color="auto"/>
              <w:left w:val="nil"/>
              <w:bottom w:val="single" w:sz="4" w:space="0" w:color="auto"/>
              <w:right w:val="single" w:sz="6" w:space="0" w:color="auto"/>
            </w:tcBorders>
            <w:vAlign w:val="bottom"/>
          </w:tcPr>
          <w:p w:rsidR="000E3D31" w:rsidRPr="0059798C" w:rsidRDefault="000E3D31" w:rsidP="00507D0E">
            <w:pPr>
              <w:jc w:val="right"/>
              <w:rPr>
                <w:rFonts w:cs="Arial"/>
                <w:sz w:val="22"/>
                <w:szCs w:val="22"/>
              </w:rPr>
            </w:pPr>
            <w:r w:rsidRPr="0059798C">
              <w:rPr>
                <w:rFonts w:cs="Arial"/>
                <w:sz w:val="22"/>
                <w:szCs w:val="22"/>
              </w:rPr>
              <w:t xml:space="preserve">1.59 </w:t>
            </w:r>
          </w:p>
        </w:tc>
        <w:tc>
          <w:tcPr>
            <w:tcW w:w="1023" w:type="dxa"/>
            <w:tcBorders>
              <w:top w:val="single" w:sz="4" w:space="0" w:color="auto"/>
              <w:left w:val="single" w:sz="6" w:space="0" w:color="auto"/>
              <w:bottom w:val="single" w:sz="4"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0.80</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24,869</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0.</w:t>
            </w:r>
            <w:r w:rsidR="005161F7">
              <w:rPr>
                <w:rFonts w:cs="Arial"/>
                <w:sz w:val="22"/>
                <w:szCs w:val="22"/>
              </w:rPr>
              <w:t>82</w:t>
            </w:r>
          </w:p>
        </w:tc>
        <w:tc>
          <w:tcPr>
            <w:tcW w:w="1023" w:type="dxa"/>
            <w:tcBorders>
              <w:top w:val="single" w:sz="4" w:space="0" w:color="auto"/>
              <w:left w:val="nil"/>
              <w:bottom w:val="single" w:sz="4" w:space="0" w:color="auto"/>
              <w:right w:val="single" w:sz="12"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25,013</w:t>
            </w:r>
          </w:p>
        </w:tc>
      </w:tr>
      <w:tr w:rsidR="000E3D31" w:rsidRPr="0059798C" w:rsidTr="00507D0E">
        <w:trPr>
          <w:trHeight w:val="255"/>
        </w:trPr>
        <w:tc>
          <w:tcPr>
            <w:tcW w:w="381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E3D31" w:rsidRPr="0059798C" w:rsidRDefault="000E3D31" w:rsidP="00507D0E">
            <w:pPr>
              <w:rPr>
                <w:rFonts w:cs="Arial"/>
                <w:sz w:val="22"/>
                <w:szCs w:val="22"/>
              </w:rPr>
            </w:pPr>
            <w:r w:rsidRPr="0059798C">
              <w:rPr>
                <w:rFonts w:cs="Arial"/>
                <w:sz w:val="22"/>
                <w:szCs w:val="22"/>
              </w:rPr>
              <w:t>Support for Trade Union Duties</w:t>
            </w:r>
          </w:p>
        </w:tc>
        <w:tc>
          <w:tcPr>
            <w:tcW w:w="1022" w:type="dxa"/>
            <w:tcBorders>
              <w:top w:val="single" w:sz="4" w:space="0" w:color="auto"/>
              <w:left w:val="nil"/>
              <w:bottom w:val="single" w:sz="4" w:space="0" w:color="auto"/>
              <w:right w:val="single" w:sz="6" w:space="0" w:color="auto"/>
            </w:tcBorders>
            <w:vAlign w:val="bottom"/>
          </w:tcPr>
          <w:p w:rsidR="000E3D31" w:rsidRPr="0059798C" w:rsidRDefault="000E3D31" w:rsidP="00507D0E">
            <w:pPr>
              <w:jc w:val="right"/>
              <w:rPr>
                <w:rFonts w:cs="Arial"/>
                <w:sz w:val="22"/>
                <w:szCs w:val="22"/>
              </w:rPr>
            </w:pPr>
            <w:r w:rsidRPr="0059798C">
              <w:rPr>
                <w:rFonts w:cs="Arial"/>
                <w:sz w:val="22"/>
                <w:szCs w:val="22"/>
              </w:rPr>
              <w:t xml:space="preserve">8.55 </w:t>
            </w:r>
          </w:p>
        </w:tc>
        <w:tc>
          <w:tcPr>
            <w:tcW w:w="1023" w:type="dxa"/>
            <w:tcBorders>
              <w:top w:val="single" w:sz="4" w:space="0" w:color="auto"/>
              <w:left w:val="single" w:sz="6" w:space="0" w:color="auto"/>
              <w:bottom w:val="single" w:sz="4"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8.02</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249,310</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0E3D31" w:rsidRPr="0059798C" w:rsidRDefault="005161F7" w:rsidP="00507D0E">
            <w:pPr>
              <w:jc w:val="right"/>
              <w:rPr>
                <w:rFonts w:cs="Arial"/>
                <w:sz w:val="22"/>
                <w:szCs w:val="22"/>
              </w:rPr>
            </w:pPr>
            <w:r>
              <w:rPr>
                <w:rFonts w:cs="Arial"/>
                <w:sz w:val="22"/>
                <w:szCs w:val="22"/>
              </w:rPr>
              <w:t>8</w:t>
            </w:r>
            <w:r w:rsidR="000E3D31" w:rsidRPr="0059798C">
              <w:rPr>
                <w:rFonts w:cs="Arial"/>
                <w:sz w:val="22"/>
                <w:szCs w:val="22"/>
              </w:rPr>
              <w:t>.</w:t>
            </w:r>
            <w:r>
              <w:rPr>
                <w:rFonts w:cs="Arial"/>
                <w:sz w:val="22"/>
                <w:szCs w:val="22"/>
              </w:rPr>
              <w:t>19</w:t>
            </w:r>
          </w:p>
        </w:tc>
        <w:tc>
          <w:tcPr>
            <w:tcW w:w="1023" w:type="dxa"/>
            <w:tcBorders>
              <w:top w:val="single" w:sz="4" w:space="0" w:color="auto"/>
              <w:left w:val="nil"/>
              <w:bottom w:val="single" w:sz="4" w:space="0" w:color="auto"/>
              <w:right w:val="single" w:sz="12"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249,180</w:t>
            </w:r>
          </w:p>
        </w:tc>
      </w:tr>
      <w:tr w:rsidR="000E3D31" w:rsidRPr="0059798C" w:rsidTr="00507D0E">
        <w:trPr>
          <w:trHeight w:val="255"/>
        </w:trPr>
        <w:tc>
          <w:tcPr>
            <w:tcW w:w="3817"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0E3D31" w:rsidRPr="0059798C" w:rsidRDefault="000E3D31" w:rsidP="00507D0E">
            <w:pPr>
              <w:rPr>
                <w:rFonts w:cs="Arial"/>
                <w:sz w:val="22"/>
                <w:szCs w:val="22"/>
              </w:rPr>
            </w:pPr>
            <w:r w:rsidRPr="0059798C">
              <w:rPr>
                <w:rFonts w:cs="Arial"/>
                <w:sz w:val="22"/>
                <w:szCs w:val="22"/>
              </w:rPr>
              <w:t>Local Children’s Safeguarding Board</w:t>
            </w:r>
          </w:p>
        </w:tc>
        <w:tc>
          <w:tcPr>
            <w:tcW w:w="1022" w:type="dxa"/>
            <w:tcBorders>
              <w:top w:val="single" w:sz="4" w:space="0" w:color="auto"/>
              <w:left w:val="nil"/>
              <w:bottom w:val="single" w:sz="12" w:space="0" w:color="auto"/>
              <w:right w:val="single" w:sz="6" w:space="0" w:color="auto"/>
            </w:tcBorders>
            <w:vAlign w:val="bottom"/>
          </w:tcPr>
          <w:p w:rsidR="000E3D31" w:rsidRPr="0059798C" w:rsidRDefault="000E3D31" w:rsidP="00507D0E">
            <w:pPr>
              <w:jc w:val="right"/>
              <w:rPr>
                <w:rFonts w:cs="Arial"/>
                <w:sz w:val="22"/>
                <w:szCs w:val="22"/>
              </w:rPr>
            </w:pPr>
            <w:r w:rsidRPr="0059798C">
              <w:rPr>
                <w:rFonts w:cs="Arial"/>
                <w:sz w:val="22"/>
                <w:szCs w:val="22"/>
              </w:rPr>
              <w:t>1.36</w:t>
            </w:r>
          </w:p>
        </w:tc>
        <w:tc>
          <w:tcPr>
            <w:tcW w:w="1023" w:type="dxa"/>
            <w:tcBorders>
              <w:top w:val="single" w:sz="4" w:space="0" w:color="auto"/>
              <w:left w:val="single" w:sz="6" w:space="0" w:color="auto"/>
              <w:bottom w:val="single" w:sz="12"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1.33</w:t>
            </w:r>
          </w:p>
        </w:tc>
        <w:tc>
          <w:tcPr>
            <w:tcW w:w="1022" w:type="dxa"/>
            <w:tcBorders>
              <w:top w:val="single" w:sz="4" w:space="0" w:color="auto"/>
              <w:left w:val="nil"/>
              <w:bottom w:val="single" w:sz="12"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41,344</w:t>
            </w:r>
          </w:p>
        </w:tc>
        <w:tc>
          <w:tcPr>
            <w:tcW w:w="1023" w:type="dxa"/>
            <w:tcBorders>
              <w:top w:val="single" w:sz="4" w:space="0" w:color="auto"/>
              <w:left w:val="nil"/>
              <w:bottom w:val="single" w:sz="12"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Pr>
                <w:rFonts w:cs="Arial"/>
                <w:sz w:val="22"/>
                <w:szCs w:val="22"/>
              </w:rPr>
              <w:t>1.3</w:t>
            </w:r>
            <w:r w:rsidR="005161F7">
              <w:rPr>
                <w:rFonts w:cs="Arial"/>
                <w:sz w:val="22"/>
                <w:szCs w:val="22"/>
              </w:rPr>
              <w:t>6</w:t>
            </w:r>
          </w:p>
        </w:tc>
        <w:tc>
          <w:tcPr>
            <w:tcW w:w="1023" w:type="dxa"/>
            <w:tcBorders>
              <w:top w:val="single" w:sz="4" w:space="0" w:color="auto"/>
              <w:left w:val="nil"/>
              <w:bottom w:val="single" w:sz="12" w:space="0" w:color="auto"/>
              <w:right w:val="single" w:sz="12" w:space="0" w:color="auto"/>
            </w:tcBorders>
            <w:shd w:val="clear" w:color="auto" w:fill="auto"/>
            <w:noWrap/>
            <w:vAlign w:val="bottom"/>
          </w:tcPr>
          <w:p w:rsidR="000E3D31" w:rsidRPr="0059798C" w:rsidRDefault="000E3D31" w:rsidP="00507D0E">
            <w:pPr>
              <w:jc w:val="right"/>
              <w:rPr>
                <w:rFonts w:cs="Arial"/>
                <w:sz w:val="22"/>
                <w:szCs w:val="22"/>
              </w:rPr>
            </w:pPr>
            <w:r>
              <w:rPr>
                <w:rFonts w:cs="Arial"/>
                <w:sz w:val="22"/>
                <w:szCs w:val="22"/>
              </w:rPr>
              <w:t>41,477</w:t>
            </w:r>
          </w:p>
        </w:tc>
      </w:tr>
      <w:tr w:rsidR="000E3D31" w:rsidRPr="0059798C" w:rsidTr="00507D0E">
        <w:trPr>
          <w:trHeight w:val="255"/>
        </w:trPr>
        <w:tc>
          <w:tcPr>
            <w:tcW w:w="3817"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0E3D31" w:rsidRPr="0059798C" w:rsidRDefault="000E3D31" w:rsidP="00507D0E">
            <w:pPr>
              <w:rPr>
                <w:rFonts w:cs="Arial"/>
                <w:sz w:val="22"/>
                <w:szCs w:val="22"/>
              </w:rPr>
            </w:pPr>
            <w:r w:rsidRPr="0059798C">
              <w:rPr>
                <w:rFonts w:cs="Arial"/>
                <w:sz w:val="22"/>
                <w:szCs w:val="22"/>
              </w:rPr>
              <w:t> </w:t>
            </w:r>
          </w:p>
        </w:tc>
        <w:tc>
          <w:tcPr>
            <w:tcW w:w="1022" w:type="dxa"/>
            <w:tcBorders>
              <w:top w:val="single" w:sz="12" w:space="0" w:color="auto"/>
              <w:left w:val="nil"/>
              <w:bottom w:val="single" w:sz="12" w:space="0" w:color="auto"/>
              <w:right w:val="single" w:sz="6" w:space="0" w:color="auto"/>
            </w:tcBorders>
            <w:vAlign w:val="bottom"/>
          </w:tcPr>
          <w:p w:rsidR="000E3D31" w:rsidRPr="0059798C" w:rsidRDefault="000E3D31" w:rsidP="00507D0E">
            <w:pPr>
              <w:jc w:val="right"/>
              <w:rPr>
                <w:rFonts w:cs="Arial"/>
                <w:sz w:val="22"/>
                <w:szCs w:val="22"/>
              </w:rPr>
            </w:pPr>
            <w:r w:rsidRPr="0059798C">
              <w:rPr>
                <w:rFonts w:cs="Arial"/>
                <w:sz w:val="22"/>
                <w:szCs w:val="22"/>
              </w:rPr>
              <w:t xml:space="preserve">24.48 </w:t>
            </w:r>
          </w:p>
        </w:tc>
        <w:tc>
          <w:tcPr>
            <w:tcW w:w="1023" w:type="dxa"/>
            <w:tcBorders>
              <w:top w:val="single" w:sz="12" w:space="0" w:color="auto"/>
              <w:left w:val="single" w:sz="6" w:space="0" w:color="auto"/>
              <w:bottom w:val="single" w:sz="12"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13.64</w:t>
            </w:r>
          </w:p>
        </w:tc>
        <w:tc>
          <w:tcPr>
            <w:tcW w:w="1022" w:type="dxa"/>
            <w:tcBorders>
              <w:top w:val="single" w:sz="12" w:space="0" w:color="auto"/>
              <w:left w:val="nil"/>
              <w:bottom w:val="single" w:sz="12"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424,013</w:t>
            </w:r>
          </w:p>
        </w:tc>
        <w:tc>
          <w:tcPr>
            <w:tcW w:w="1023" w:type="dxa"/>
            <w:tcBorders>
              <w:top w:val="single" w:sz="12" w:space="0" w:color="auto"/>
              <w:left w:val="nil"/>
              <w:bottom w:val="single" w:sz="12" w:space="0" w:color="auto"/>
              <w:right w:val="single" w:sz="4" w:space="0" w:color="auto"/>
            </w:tcBorders>
            <w:shd w:val="clear" w:color="auto" w:fill="auto"/>
            <w:noWrap/>
            <w:vAlign w:val="bottom"/>
          </w:tcPr>
          <w:p w:rsidR="000E3D31" w:rsidRPr="0059798C" w:rsidRDefault="000E3D31" w:rsidP="00507D0E">
            <w:pPr>
              <w:jc w:val="right"/>
              <w:rPr>
                <w:rFonts w:cs="Arial"/>
                <w:sz w:val="22"/>
                <w:szCs w:val="22"/>
              </w:rPr>
            </w:pPr>
            <w:r w:rsidRPr="0059798C">
              <w:rPr>
                <w:rFonts w:cs="Arial"/>
                <w:sz w:val="22"/>
                <w:szCs w:val="22"/>
              </w:rPr>
              <w:t>13.</w:t>
            </w:r>
            <w:r w:rsidR="00D2084E">
              <w:rPr>
                <w:rFonts w:cs="Arial"/>
                <w:sz w:val="22"/>
                <w:szCs w:val="22"/>
              </w:rPr>
              <w:t>94</w:t>
            </w:r>
          </w:p>
        </w:tc>
        <w:tc>
          <w:tcPr>
            <w:tcW w:w="1023" w:type="dxa"/>
            <w:tcBorders>
              <w:top w:val="single" w:sz="12" w:space="0" w:color="auto"/>
              <w:left w:val="nil"/>
              <w:bottom w:val="single" w:sz="12" w:space="0" w:color="auto"/>
              <w:right w:val="single" w:sz="12" w:space="0" w:color="auto"/>
            </w:tcBorders>
            <w:shd w:val="clear" w:color="auto" w:fill="auto"/>
            <w:noWrap/>
            <w:vAlign w:val="bottom"/>
          </w:tcPr>
          <w:p w:rsidR="000E3D31" w:rsidRPr="0059798C" w:rsidRDefault="000E3D31" w:rsidP="00507D0E">
            <w:pPr>
              <w:jc w:val="right"/>
              <w:rPr>
                <w:rFonts w:cs="Arial"/>
                <w:sz w:val="22"/>
                <w:szCs w:val="22"/>
              </w:rPr>
            </w:pPr>
            <w:r>
              <w:rPr>
                <w:rFonts w:cs="Arial"/>
                <w:sz w:val="22"/>
                <w:szCs w:val="22"/>
              </w:rPr>
              <w:t>424,270</w:t>
            </w:r>
          </w:p>
        </w:tc>
      </w:tr>
    </w:tbl>
    <w:p w:rsidR="00E5754C" w:rsidRPr="003C7A27" w:rsidRDefault="00E5754C" w:rsidP="00E5754C">
      <w:pPr>
        <w:pStyle w:val="Default"/>
        <w:ind w:left="709" w:hanging="709"/>
        <w:jc w:val="both"/>
      </w:pPr>
    </w:p>
    <w:p w:rsidR="00E5754C" w:rsidRDefault="00E5754C" w:rsidP="00E5754C">
      <w:pPr>
        <w:ind w:left="720"/>
      </w:pPr>
    </w:p>
    <w:p w:rsidR="0083339D" w:rsidRPr="008C063C" w:rsidRDefault="00EB5D04" w:rsidP="00295280">
      <w:pPr>
        <w:pStyle w:val="Default"/>
        <w:numPr>
          <w:ilvl w:val="0"/>
          <w:numId w:val="9"/>
        </w:numPr>
        <w:pBdr>
          <w:top w:val="single" w:sz="4" w:space="1" w:color="auto"/>
          <w:left w:val="single" w:sz="4" w:space="4" w:color="auto"/>
          <w:bottom w:val="single" w:sz="4" w:space="1" w:color="auto"/>
          <w:right w:val="single" w:sz="4" w:space="4" w:color="auto"/>
        </w:pBdr>
        <w:jc w:val="both"/>
        <w:rPr>
          <w:b/>
          <w:i/>
        </w:rPr>
      </w:pPr>
      <w:r>
        <w:rPr>
          <w:b/>
          <w:i/>
        </w:rPr>
        <w:t>Schools Forum to note the revised per pupil rates based on October 2017 census.</w:t>
      </w:r>
    </w:p>
    <w:p w:rsidR="0083339D" w:rsidRDefault="0083339D" w:rsidP="0083339D">
      <w:pPr>
        <w:pStyle w:val="ListParagraph"/>
        <w:rPr>
          <w:rFonts w:cs="Arial"/>
          <w:sz w:val="22"/>
          <w:szCs w:val="22"/>
        </w:rPr>
      </w:pPr>
    </w:p>
    <w:p w:rsidR="009602D4" w:rsidRDefault="009602D4" w:rsidP="009602D4">
      <w:pPr>
        <w:autoSpaceDE w:val="0"/>
        <w:autoSpaceDN w:val="0"/>
        <w:adjustRightInd w:val="0"/>
        <w:rPr>
          <w:rFonts w:cs="Arial"/>
          <w:b/>
        </w:rPr>
      </w:pPr>
    </w:p>
    <w:p w:rsidR="00B3242A" w:rsidRPr="00EB5D04" w:rsidRDefault="00C070E8" w:rsidP="008A506E">
      <w:pPr>
        <w:pStyle w:val="Default"/>
        <w:rPr>
          <w:b/>
        </w:rPr>
      </w:pPr>
      <w:r>
        <w:rPr>
          <w:b/>
        </w:rPr>
        <w:t>4.</w:t>
      </w:r>
      <w:r w:rsidR="00280EC4">
        <w:rPr>
          <w:b/>
        </w:rPr>
        <w:t>2</w:t>
      </w:r>
      <w:r w:rsidR="008A506E" w:rsidRPr="001E3036">
        <w:rPr>
          <w:b/>
        </w:rPr>
        <w:tab/>
      </w:r>
      <w:r w:rsidR="00B3242A" w:rsidRPr="00EB5D04">
        <w:rPr>
          <w:b/>
        </w:rPr>
        <w:t>Schools Funding Formula</w:t>
      </w:r>
      <w:r w:rsidR="008A506E" w:rsidRPr="00EB5D04">
        <w:rPr>
          <w:b/>
        </w:rPr>
        <w:t xml:space="preserve"> </w:t>
      </w:r>
      <w:r w:rsidR="00D97E7E" w:rsidRPr="00EB5D04">
        <w:rPr>
          <w:b/>
        </w:rPr>
        <w:t>2018-19</w:t>
      </w:r>
      <w:r w:rsidR="008875A7" w:rsidRPr="00EB5D04">
        <w:rPr>
          <w:b/>
        </w:rPr>
        <w:t xml:space="preserve"> </w:t>
      </w:r>
    </w:p>
    <w:p w:rsidR="00B3242A" w:rsidRPr="00EB5D04" w:rsidRDefault="00B3242A" w:rsidP="00B3242A">
      <w:pPr>
        <w:ind w:left="465"/>
      </w:pPr>
    </w:p>
    <w:p w:rsidR="00C6365F" w:rsidRDefault="00C070E8" w:rsidP="00FC20CF">
      <w:pPr>
        <w:ind w:left="709" w:hanging="709"/>
        <w:jc w:val="both"/>
        <w:rPr>
          <w:rFonts w:cs="Arial"/>
        </w:rPr>
      </w:pPr>
      <w:r w:rsidRPr="00EB5D04">
        <w:t>4.</w:t>
      </w:r>
      <w:r w:rsidR="00280EC4" w:rsidRPr="00EB5D04">
        <w:t>2.</w:t>
      </w:r>
      <w:r w:rsidR="00FC20CF" w:rsidRPr="00EB5D04">
        <w:t>1</w:t>
      </w:r>
      <w:r w:rsidR="00B33B45" w:rsidRPr="00EB5D04">
        <w:t xml:space="preserve"> </w:t>
      </w:r>
      <w:r w:rsidR="00B33B45" w:rsidRPr="00EB5D04">
        <w:tab/>
      </w:r>
      <w:r w:rsidR="00B82696" w:rsidRPr="0059798C">
        <w:rPr>
          <w:rFonts w:cs="Arial"/>
        </w:rPr>
        <w:t xml:space="preserve">Initial modelling </w:t>
      </w:r>
      <w:r w:rsidR="00B82696">
        <w:rPr>
          <w:rFonts w:cs="Arial"/>
        </w:rPr>
        <w:t xml:space="preserve">undertaken on the full </w:t>
      </w:r>
      <w:r w:rsidR="00B82696" w:rsidRPr="0059798C">
        <w:rPr>
          <w:rFonts w:cs="Arial"/>
        </w:rPr>
        <w:t>local implementation of N</w:t>
      </w:r>
      <w:r w:rsidR="00B82696">
        <w:rPr>
          <w:rFonts w:cs="Arial"/>
        </w:rPr>
        <w:t xml:space="preserve">ational Funding Formula </w:t>
      </w:r>
      <w:r w:rsidR="00B82696" w:rsidRPr="0059798C">
        <w:rPr>
          <w:rFonts w:cs="Arial"/>
        </w:rPr>
        <w:t xml:space="preserve">rates </w:t>
      </w:r>
      <w:r w:rsidR="00B82696">
        <w:rPr>
          <w:rFonts w:cs="Arial"/>
        </w:rPr>
        <w:t xml:space="preserve">indicated that the </w:t>
      </w:r>
      <w:r w:rsidR="00B82696" w:rsidRPr="0059798C">
        <w:rPr>
          <w:rFonts w:cs="Arial"/>
        </w:rPr>
        <w:t xml:space="preserve">current Primary Secondary ratio </w:t>
      </w:r>
      <w:r w:rsidR="00B82696">
        <w:rPr>
          <w:rFonts w:cs="Arial"/>
        </w:rPr>
        <w:t xml:space="preserve">would change </w:t>
      </w:r>
      <w:r w:rsidR="00B82696" w:rsidRPr="0059798C">
        <w:rPr>
          <w:rFonts w:cs="Arial"/>
        </w:rPr>
        <w:t>from 1:1.30 (that is secondary schools receive 30% more funding) to 1:1.4</w:t>
      </w:r>
      <w:r w:rsidR="00B82696">
        <w:rPr>
          <w:rFonts w:cs="Arial"/>
        </w:rPr>
        <w:t>3</w:t>
      </w:r>
      <w:r w:rsidR="00B82696" w:rsidRPr="0059798C">
        <w:rPr>
          <w:rFonts w:cs="Arial"/>
        </w:rPr>
        <w:t xml:space="preserve"> in 2018/19 because of the realignment of factor led funding rates under the NFF, particularly the </w:t>
      </w:r>
      <w:r w:rsidR="00B82696">
        <w:rPr>
          <w:rFonts w:cs="Arial"/>
        </w:rPr>
        <w:t>Age Weighted Pupil Unit (</w:t>
      </w:r>
      <w:r w:rsidR="00B82696" w:rsidRPr="0059798C">
        <w:rPr>
          <w:rFonts w:cs="Arial"/>
        </w:rPr>
        <w:t>AWPU</w:t>
      </w:r>
      <w:r w:rsidR="00B82696">
        <w:rPr>
          <w:rFonts w:cs="Arial"/>
        </w:rPr>
        <w:t>)</w:t>
      </w:r>
      <w:r w:rsidR="00B82696" w:rsidRPr="0059798C">
        <w:rPr>
          <w:rFonts w:cs="Arial"/>
        </w:rPr>
        <w:t xml:space="preserve"> rates.</w:t>
      </w:r>
    </w:p>
    <w:p w:rsidR="00B82696" w:rsidRDefault="00B82696" w:rsidP="00FC20CF">
      <w:pPr>
        <w:ind w:left="709" w:hanging="709"/>
        <w:jc w:val="both"/>
      </w:pPr>
    </w:p>
    <w:p w:rsidR="00E311AF" w:rsidRPr="00415BE7" w:rsidRDefault="00B86D9D" w:rsidP="00145BDB">
      <w:pPr>
        <w:ind w:left="709" w:hanging="709"/>
        <w:jc w:val="both"/>
        <w:rPr>
          <w:rFonts w:cs="Arial"/>
        </w:rPr>
      </w:pPr>
      <w:r>
        <w:rPr>
          <w:rFonts w:cs="Arial"/>
        </w:rPr>
        <w:t>4.2.2</w:t>
      </w:r>
      <w:r w:rsidR="00145BDB">
        <w:rPr>
          <w:rFonts w:cs="Arial"/>
        </w:rPr>
        <w:t xml:space="preserve"> </w:t>
      </w:r>
      <w:r w:rsidR="00B82696">
        <w:rPr>
          <w:rFonts w:cs="Arial"/>
        </w:rPr>
        <w:t xml:space="preserve">Schools were consulted </w:t>
      </w:r>
      <w:r w:rsidR="00B82696" w:rsidRPr="0059798C">
        <w:rPr>
          <w:rFonts w:cs="Arial"/>
        </w:rPr>
        <w:t>setting out the possible funding options and illustrative allocation</w:t>
      </w:r>
      <w:r w:rsidR="00B82696">
        <w:rPr>
          <w:rFonts w:cs="Arial"/>
        </w:rPr>
        <w:t>s</w:t>
      </w:r>
      <w:r w:rsidR="00E311AF">
        <w:rPr>
          <w:rFonts w:cs="Arial"/>
        </w:rPr>
        <w:t xml:space="preserve">. </w:t>
      </w:r>
      <w:r w:rsidR="00B82696">
        <w:rPr>
          <w:rFonts w:cs="Arial"/>
        </w:rPr>
        <w:t xml:space="preserve">The consultation outcome was not conclusive between </w:t>
      </w:r>
      <w:r w:rsidR="00E311AF">
        <w:rPr>
          <w:rFonts w:cs="Arial"/>
        </w:rPr>
        <w:t xml:space="preserve">the option to maintain the primary: secondary ratio at 1:1:30 or to phase in the NFF over 3 years. Schools Forum agreed to </w:t>
      </w:r>
      <w:r w:rsidR="00E311AF" w:rsidRPr="00415BE7">
        <w:rPr>
          <w:rFonts w:cs="Arial"/>
        </w:rPr>
        <w:t>transition to 1:1.34 in 2018/19, 1:1.39 in 2019/20 and 1:1.43 in 2019/20</w:t>
      </w:r>
      <w:r w:rsidR="00E311AF">
        <w:rPr>
          <w:rFonts w:cs="Arial"/>
        </w:rPr>
        <w:t xml:space="preserve"> in readiness for the changeover to the NFF in 2019-20.</w:t>
      </w:r>
    </w:p>
    <w:p w:rsidR="00B82696" w:rsidRDefault="00B82696" w:rsidP="00FC20CF">
      <w:pPr>
        <w:ind w:left="709" w:hanging="709"/>
        <w:jc w:val="both"/>
      </w:pPr>
    </w:p>
    <w:p w:rsidR="00C6365F" w:rsidRDefault="00C6365F" w:rsidP="00FC20CF">
      <w:pPr>
        <w:ind w:left="709" w:hanging="709"/>
        <w:jc w:val="both"/>
      </w:pPr>
    </w:p>
    <w:p w:rsidR="00FC20CF" w:rsidRPr="001E3CC4" w:rsidRDefault="00E311AF" w:rsidP="00FC20CF">
      <w:pPr>
        <w:ind w:left="709" w:hanging="709"/>
        <w:jc w:val="both"/>
      </w:pPr>
      <w:r>
        <w:t>4.2.2</w:t>
      </w:r>
      <w:r>
        <w:tab/>
      </w:r>
      <w:r w:rsidR="00D97E7E" w:rsidRPr="00EB5D04">
        <w:t>The f</w:t>
      </w:r>
      <w:r w:rsidR="00E73BFF" w:rsidRPr="00EB5D04">
        <w:t xml:space="preserve">inal </w:t>
      </w:r>
      <w:r w:rsidR="00D97E7E" w:rsidRPr="00EB5D04">
        <w:t>schools f</w:t>
      </w:r>
      <w:r w:rsidR="00E73BFF" w:rsidRPr="00EB5D04">
        <w:t xml:space="preserve">unding </w:t>
      </w:r>
      <w:r w:rsidR="00D97E7E" w:rsidRPr="00EB5D04">
        <w:t>formula has been modelled on the National Funding Formula rates uplifted for Area Cost Adjustments with the exception of Age Weighted Pupil Unit</w:t>
      </w:r>
      <w:r w:rsidR="00893AE9" w:rsidRPr="00EB5D04">
        <w:t>s</w:t>
      </w:r>
      <w:r w:rsidR="00D97E7E" w:rsidRPr="00EB5D04">
        <w:t xml:space="preserve"> (AWPU)</w:t>
      </w:r>
      <w:r w:rsidR="003E71A4" w:rsidRPr="00EB5D04">
        <w:t xml:space="preserve">.  The AWPU rates </w:t>
      </w:r>
      <w:r w:rsidR="00893AE9" w:rsidRPr="00EB5D04">
        <w:t xml:space="preserve">have been flexed to achieve the primary secondary transitional ratio of </w:t>
      </w:r>
      <w:r w:rsidR="00893AE9" w:rsidRPr="00EB5D04">
        <w:rPr>
          <w:b/>
        </w:rPr>
        <w:t>1:1.34</w:t>
      </w:r>
      <w:r w:rsidR="00D97E7E" w:rsidRPr="00EB5D04">
        <w:t xml:space="preserve">. </w:t>
      </w:r>
      <w:r w:rsidR="00893AE9" w:rsidRPr="00EB5D04">
        <w:t xml:space="preserve"> As part of this adjustment, the AWPU for KS4 has been increased </w:t>
      </w:r>
      <w:r w:rsidR="00893AE9" w:rsidRPr="00145BDB">
        <w:t>by £110 to £4,925,</w:t>
      </w:r>
      <w:r w:rsidR="00893AE9" w:rsidRPr="00EB5D04">
        <w:t xml:space="preserve"> and there are no other changes to the AWPUs</w:t>
      </w:r>
      <w:r w:rsidR="00145BDB">
        <w:t xml:space="preserve"> </w:t>
      </w:r>
      <w:r w:rsidR="00145BDB" w:rsidRPr="001E3CC4">
        <w:t xml:space="preserve">compared to the rates </w:t>
      </w:r>
      <w:r w:rsidR="008D399C" w:rsidRPr="001E3CC4">
        <w:t xml:space="preserve">previously </w:t>
      </w:r>
      <w:r w:rsidR="00145BDB" w:rsidRPr="001E3CC4">
        <w:t xml:space="preserve">reported to </w:t>
      </w:r>
      <w:r w:rsidR="008D399C" w:rsidRPr="001E3CC4">
        <w:t xml:space="preserve">the </w:t>
      </w:r>
      <w:r w:rsidR="00145BDB" w:rsidRPr="001E3CC4">
        <w:t>Schools Forum.</w:t>
      </w:r>
    </w:p>
    <w:p w:rsidR="00893AE9" w:rsidRPr="001E3CC4" w:rsidRDefault="00893AE9" w:rsidP="00FC20CF">
      <w:pPr>
        <w:ind w:left="709" w:hanging="709"/>
        <w:jc w:val="both"/>
      </w:pPr>
    </w:p>
    <w:p w:rsidR="003E71A4" w:rsidRPr="001E3CC4" w:rsidRDefault="00C070E8" w:rsidP="009602D4">
      <w:pPr>
        <w:ind w:left="709" w:hanging="709"/>
        <w:jc w:val="both"/>
      </w:pPr>
      <w:r w:rsidRPr="001E3CC4">
        <w:t>4.</w:t>
      </w:r>
      <w:r w:rsidR="00280EC4" w:rsidRPr="001E3CC4">
        <w:t>2</w:t>
      </w:r>
      <w:r w:rsidR="00FC20CF" w:rsidRPr="001E3CC4">
        <w:t>.</w:t>
      </w:r>
      <w:r w:rsidR="00E311AF" w:rsidRPr="001E3CC4">
        <w:t>3</w:t>
      </w:r>
      <w:r w:rsidR="009602D4" w:rsidRPr="001E3CC4">
        <w:tab/>
      </w:r>
      <w:r w:rsidR="003E71A4" w:rsidRPr="001E3CC4">
        <w:t>The Minimum Funding Guarantee</w:t>
      </w:r>
      <w:r w:rsidR="00EB5D04" w:rsidRPr="001E3CC4">
        <w:t xml:space="preserve"> (MFG)</w:t>
      </w:r>
      <w:r w:rsidR="003E71A4" w:rsidRPr="001E3CC4">
        <w:t xml:space="preserve"> offers protection from significant movement in per pupil funding.  </w:t>
      </w:r>
      <w:r w:rsidR="000D05CB" w:rsidRPr="001E3CC4">
        <w:t xml:space="preserve">MFG protection in the formula for 2018/19 has been set at 0%, so </w:t>
      </w:r>
      <w:r w:rsidR="008D399C" w:rsidRPr="001E3CC4">
        <w:t>that s</w:t>
      </w:r>
      <w:r w:rsidR="000D05CB" w:rsidRPr="001E3CC4">
        <w:t>chool</w:t>
      </w:r>
      <w:r w:rsidR="008D399C" w:rsidRPr="001E3CC4">
        <w:t>s</w:t>
      </w:r>
      <w:r w:rsidR="000D05CB" w:rsidRPr="001E3CC4">
        <w:t xml:space="preserve"> will </w:t>
      </w:r>
      <w:r w:rsidR="008D399C" w:rsidRPr="001E3CC4">
        <w:t>see no</w:t>
      </w:r>
      <w:r w:rsidR="00726F3F" w:rsidRPr="001E3CC4">
        <w:t xml:space="preserve"> c</w:t>
      </w:r>
      <w:r w:rsidR="000D05CB" w:rsidRPr="001E3CC4">
        <w:t>ash reduction</w:t>
      </w:r>
      <w:r w:rsidR="008D399C" w:rsidRPr="001E3CC4">
        <w:t>s</w:t>
      </w:r>
      <w:r w:rsidR="000D05CB" w:rsidRPr="001E3CC4">
        <w:t xml:space="preserve"> on </w:t>
      </w:r>
      <w:r w:rsidR="00EB5D04" w:rsidRPr="001E3CC4">
        <w:t xml:space="preserve">a </w:t>
      </w:r>
      <w:r w:rsidR="000D05CB" w:rsidRPr="001E3CC4">
        <w:t xml:space="preserve">per pupil basis.  The protection for 2017/18 </w:t>
      </w:r>
      <w:r w:rsidR="00EB5D04" w:rsidRPr="001E3CC4">
        <w:t>was set a</w:t>
      </w:r>
      <w:r w:rsidR="000D05CB" w:rsidRPr="001E3CC4">
        <w:t>t minus 1.5%</w:t>
      </w:r>
      <w:r w:rsidR="00EB5D04" w:rsidRPr="001E3CC4">
        <w:t>.</w:t>
      </w:r>
      <w:r w:rsidR="000D05CB" w:rsidRPr="001E3CC4">
        <w:t xml:space="preserve"> The final model also allows for schools to gain just over </w:t>
      </w:r>
      <w:r w:rsidR="000D05CB" w:rsidRPr="001E3CC4">
        <w:rPr>
          <w:b/>
        </w:rPr>
        <w:t>1%</w:t>
      </w:r>
      <w:r w:rsidR="000D05CB" w:rsidRPr="001E3CC4">
        <w:t xml:space="preserve"> on a per pupil basis.  </w:t>
      </w:r>
      <w:r w:rsidR="00BD76F6" w:rsidRPr="001E3CC4">
        <w:rPr>
          <w:b/>
        </w:rPr>
        <w:t>Appendix A</w:t>
      </w:r>
      <w:r w:rsidR="00BD76F6" w:rsidRPr="001E3CC4">
        <w:t xml:space="preserve"> provides details of the rates applied to the formula for Primary and Secondary Schools. </w:t>
      </w:r>
      <w:r w:rsidR="00BD76F6" w:rsidRPr="001E3CC4">
        <w:rPr>
          <w:b/>
        </w:rPr>
        <w:t>Appendix B</w:t>
      </w:r>
      <w:r w:rsidR="00BD76F6" w:rsidRPr="001E3CC4">
        <w:t xml:space="preserve"> provide</w:t>
      </w:r>
      <w:r w:rsidR="00394FC1" w:rsidRPr="001E3CC4">
        <w:t>s</w:t>
      </w:r>
      <w:r w:rsidR="00BD76F6" w:rsidRPr="001E3CC4">
        <w:t xml:space="preserve"> a comparison of funding to schools between 2017-18 and 2018-19. Funding for </w:t>
      </w:r>
      <w:r w:rsidR="008D399C" w:rsidRPr="001E3CC4">
        <w:t>National Non-Domestic Rates (</w:t>
      </w:r>
      <w:r w:rsidR="00394FC1" w:rsidRPr="001E3CC4">
        <w:t>NNDR</w:t>
      </w:r>
      <w:r w:rsidR="008D399C" w:rsidRPr="001E3CC4">
        <w:t>)</w:t>
      </w:r>
      <w:r w:rsidR="00BD76F6" w:rsidRPr="001E3CC4">
        <w:t xml:space="preserve"> has been excluded</w:t>
      </w:r>
      <w:r w:rsidR="008D399C" w:rsidRPr="001E3CC4">
        <w:t xml:space="preserve"> to </w:t>
      </w:r>
      <w:r w:rsidR="00BD76F6" w:rsidRPr="001E3CC4">
        <w:t>allow for like for like comparison</w:t>
      </w:r>
      <w:r w:rsidR="008D399C" w:rsidRPr="001E3CC4">
        <w:t>s</w:t>
      </w:r>
      <w:r w:rsidR="00BD76F6" w:rsidRPr="001E3CC4">
        <w:t>.</w:t>
      </w:r>
    </w:p>
    <w:p w:rsidR="00BD76F6" w:rsidRPr="001E3CC4" w:rsidRDefault="00BD76F6" w:rsidP="009602D4">
      <w:pPr>
        <w:ind w:left="709" w:hanging="709"/>
        <w:jc w:val="both"/>
      </w:pPr>
    </w:p>
    <w:p w:rsidR="000D05CB" w:rsidRPr="001E3CC4" w:rsidRDefault="000D05CB" w:rsidP="000D05CB">
      <w:pPr>
        <w:ind w:left="709" w:hanging="709"/>
      </w:pPr>
      <w:r w:rsidRPr="001E3CC4">
        <w:t>4.</w:t>
      </w:r>
      <w:r w:rsidR="00280EC4" w:rsidRPr="001E3CC4">
        <w:t>2</w:t>
      </w:r>
      <w:r w:rsidR="008875A7" w:rsidRPr="001E3CC4">
        <w:t>.</w:t>
      </w:r>
      <w:r w:rsidR="00E311AF" w:rsidRPr="001E3CC4">
        <w:t>4</w:t>
      </w:r>
      <w:r w:rsidRPr="001E3CC4">
        <w:t xml:space="preserve">   There is a NNDR pressure of </w:t>
      </w:r>
      <w:r w:rsidRPr="001E3CC4">
        <w:rPr>
          <w:b/>
        </w:rPr>
        <w:t>£583K</w:t>
      </w:r>
      <w:r w:rsidRPr="001E3CC4">
        <w:t xml:space="preserve"> arising from business rates revaluation.</w:t>
      </w:r>
      <w:r w:rsidR="008D399C" w:rsidRPr="001E3CC4">
        <w:t xml:space="preserve">  </w:t>
      </w:r>
      <w:r w:rsidRPr="001E3CC4">
        <w:t xml:space="preserve">However, the </w:t>
      </w:r>
      <w:r w:rsidR="008D399C" w:rsidRPr="001E3CC4">
        <w:t xml:space="preserve">corresponding </w:t>
      </w:r>
      <w:r w:rsidRPr="001E3CC4">
        <w:t xml:space="preserve">funding </w:t>
      </w:r>
      <w:r w:rsidR="008D399C" w:rsidRPr="001E3CC4">
        <w:t xml:space="preserve">from ESFA </w:t>
      </w:r>
      <w:r w:rsidRPr="001E3CC4">
        <w:t>is received on a lagged basis</w:t>
      </w:r>
      <w:r w:rsidR="008875A7" w:rsidRPr="001E3CC4">
        <w:t xml:space="preserve">, creating an inherent pressure.  </w:t>
      </w:r>
    </w:p>
    <w:p w:rsidR="008875A7" w:rsidRPr="001E3CC4" w:rsidRDefault="008875A7" w:rsidP="000D05CB">
      <w:pPr>
        <w:ind w:left="709" w:hanging="709"/>
      </w:pPr>
    </w:p>
    <w:p w:rsidR="00586015" w:rsidRPr="001E3CC4" w:rsidRDefault="008875A7" w:rsidP="000D05CB">
      <w:pPr>
        <w:ind w:left="709" w:hanging="709"/>
      </w:pPr>
      <w:r w:rsidRPr="001E3CC4">
        <w:t>4.</w:t>
      </w:r>
      <w:r w:rsidR="00280EC4" w:rsidRPr="001E3CC4">
        <w:t>2</w:t>
      </w:r>
      <w:r w:rsidRPr="001E3CC4">
        <w:t>.</w:t>
      </w:r>
      <w:r w:rsidR="00E311AF" w:rsidRPr="001E3CC4">
        <w:t>5</w:t>
      </w:r>
      <w:r w:rsidRPr="001E3CC4">
        <w:t xml:space="preserve">  The </w:t>
      </w:r>
      <w:r w:rsidR="00D7773D" w:rsidRPr="001E3CC4">
        <w:t>2018</w:t>
      </w:r>
      <w:r w:rsidR="00EB5D04" w:rsidRPr="001E3CC4">
        <w:t xml:space="preserve"> - </w:t>
      </w:r>
      <w:r w:rsidR="00D7773D" w:rsidRPr="001E3CC4">
        <w:t>19 DSG grant allocations are based on the October 2017 headcount.</w:t>
      </w:r>
      <w:r w:rsidR="00EB5D04" w:rsidRPr="001E3CC4">
        <w:t xml:space="preserve"> Any growth from </w:t>
      </w:r>
      <w:r w:rsidR="00D7773D" w:rsidRPr="001E3CC4">
        <w:t xml:space="preserve">September </w:t>
      </w:r>
      <w:r w:rsidR="00EB5D04" w:rsidRPr="001E3CC4">
        <w:t xml:space="preserve">2018 </w:t>
      </w:r>
      <w:r w:rsidR="00D7773D" w:rsidRPr="001E3CC4">
        <w:t xml:space="preserve">has to be managed within the </w:t>
      </w:r>
      <w:r w:rsidR="00EB5D04" w:rsidRPr="001E3CC4">
        <w:t xml:space="preserve">DSG </w:t>
      </w:r>
      <w:r w:rsidR="00D7773D" w:rsidRPr="001E3CC4">
        <w:t>allocation</w:t>
      </w:r>
      <w:r w:rsidR="008D399C" w:rsidRPr="001E3CC4">
        <w:t>s for the year</w:t>
      </w:r>
      <w:r w:rsidR="00D7773D" w:rsidRPr="001E3CC4">
        <w:t>.</w:t>
      </w:r>
      <w:r w:rsidR="00EB5D04" w:rsidRPr="001E3CC4">
        <w:t xml:space="preserve"> </w:t>
      </w:r>
      <w:r w:rsidR="00586015" w:rsidRPr="001E3CC4">
        <w:t xml:space="preserve">The operational guidance requires growth relating for new and growing schools to be funded through the </w:t>
      </w:r>
      <w:r w:rsidR="00EB5D04" w:rsidRPr="001E3CC4">
        <w:t>Authority Pro Forma Tool (APT)</w:t>
      </w:r>
      <w:r w:rsidR="00586015" w:rsidRPr="001E3CC4">
        <w:t>. Other expansions</w:t>
      </w:r>
      <w:r w:rsidR="008D399C" w:rsidRPr="001E3CC4">
        <w:t xml:space="preserve">  </w:t>
      </w:r>
      <w:r w:rsidR="00586015" w:rsidRPr="001E3CC4">
        <w:t xml:space="preserve">are to be funded from the </w:t>
      </w:r>
      <w:r w:rsidR="008D399C" w:rsidRPr="001E3CC4">
        <w:t xml:space="preserve">centrally held </w:t>
      </w:r>
      <w:r w:rsidR="00586015" w:rsidRPr="001E3CC4">
        <w:t xml:space="preserve">growth fund. </w:t>
      </w:r>
    </w:p>
    <w:p w:rsidR="00586015" w:rsidRPr="001E3CC4" w:rsidRDefault="00586015" w:rsidP="000D05CB">
      <w:pPr>
        <w:ind w:left="709" w:hanging="709"/>
      </w:pPr>
    </w:p>
    <w:p w:rsidR="008875A7" w:rsidRPr="00EB5D04" w:rsidRDefault="00586015" w:rsidP="000D05CB">
      <w:pPr>
        <w:ind w:left="709" w:hanging="709"/>
      </w:pPr>
      <w:r w:rsidRPr="001E3CC4">
        <w:t>4.2.</w:t>
      </w:r>
      <w:r w:rsidR="00E311AF" w:rsidRPr="001E3CC4">
        <w:t>6</w:t>
      </w:r>
      <w:r w:rsidRPr="001E3CC4">
        <w:tab/>
        <w:t xml:space="preserve">It is proposed that growth not funded through the APT will be funded at 2018-19 AWPU rates plus a 20% uplift. </w:t>
      </w:r>
      <w:r w:rsidR="00EB5D04" w:rsidRPr="001E3CC4">
        <w:t xml:space="preserve"> </w:t>
      </w:r>
      <w:r w:rsidR="00D7773D" w:rsidRPr="001E3CC4">
        <w:t xml:space="preserve">Growth fund previously retained in respect of new and growing schools has been put back into the formula.  The </w:t>
      </w:r>
      <w:r w:rsidR="001556CA" w:rsidRPr="001E3CC4">
        <w:t>revised requirement for centrally retained growth fund is £2</w:t>
      </w:r>
      <w:r w:rsidRPr="001E3CC4">
        <w:t>.</w:t>
      </w:r>
      <w:r w:rsidR="001556CA" w:rsidRPr="001E3CC4">
        <w:t>939</w:t>
      </w:r>
      <w:r w:rsidRPr="001E3CC4">
        <w:t>m.</w:t>
      </w:r>
      <w:r w:rsidR="001556CA" w:rsidRPr="001E3CC4">
        <w:t xml:space="preserve">  No provisions have been made unplanned in-year growth.</w:t>
      </w:r>
    </w:p>
    <w:p w:rsidR="000D05CB" w:rsidRPr="00EB5D04" w:rsidRDefault="000D05CB" w:rsidP="009602D4">
      <w:pPr>
        <w:ind w:left="709" w:hanging="709"/>
        <w:jc w:val="both"/>
      </w:pPr>
    </w:p>
    <w:p w:rsidR="00FD582E" w:rsidRDefault="00586015" w:rsidP="00BD76F6">
      <w:pPr>
        <w:pStyle w:val="Default"/>
        <w:numPr>
          <w:ilvl w:val="0"/>
          <w:numId w:val="9"/>
        </w:numPr>
        <w:pBdr>
          <w:top w:val="single" w:sz="4" w:space="1" w:color="auto"/>
          <w:left w:val="single" w:sz="4" w:space="4" w:color="auto"/>
          <w:bottom w:val="single" w:sz="4" w:space="1" w:color="auto"/>
          <w:right w:val="single" w:sz="4" w:space="4" w:color="auto"/>
        </w:pBdr>
        <w:jc w:val="both"/>
        <w:rPr>
          <w:b/>
          <w:i/>
        </w:rPr>
      </w:pPr>
      <w:r w:rsidRPr="008C063C">
        <w:rPr>
          <w:b/>
          <w:i/>
        </w:rPr>
        <w:t>Decision</w:t>
      </w:r>
      <w:r w:rsidR="00FD582E">
        <w:rPr>
          <w:b/>
          <w:i/>
        </w:rPr>
        <w:t>s</w:t>
      </w:r>
      <w:r w:rsidRPr="008C063C">
        <w:rPr>
          <w:b/>
          <w:i/>
        </w:rPr>
        <w:t xml:space="preserve"> required: </w:t>
      </w:r>
    </w:p>
    <w:p w:rsidR="00FD582E" w:rsidRDefault="00586015" w:rsidP="00586015">
      <w:pPr>
        <w:pStyle w:val="Default"/>
        <w:numPr>
          <w:ilvl w:val="0"/>
          <w:numId w:val="14"/>
        </w:numPr>
        <w:pBdr>
          <w:top w:val="single" w:sz="4" w:space="1" w:color="auto"/>
          <w:left w:val="single" w:sz="4" w:space="4" w:color="auto"/>
          <w:bottom w:val="single" w:sz="4" w:space="1" w:color="auto"/>
          <w:right w:val="single" w:sz="4" w:space="4" w:color="auto"/>
        </w:pBdr>
        <w:jc w:val="both"/>
        <w:rPr>
          <w:b/>
          <w:i/>
        </w:rPr>
      </w:pPr>
      <w:r>
        <w:rPr>
          <w:b/>
          <w:i/>
        </w:rPr>
        <w:t>Schools Forum are asked to agree a growth fund of £2.939m</w:t>
      </w:r>
      <w:r w:rsidR="00FD582E">
        <w:rPr>
          <w:b/>
          <w:i/>
        </w:rPr>
        <w:t>;</w:t>
      </w:r>
    </w:p>
    <w:p w:rsidR="00586015" w:rsidRPr="008C063C" w:rsidRDefault="00FD582E" w:rsidP="00586015">
      <w:pPr>
        <w:pStyle w:val="Default"/>
        <w:numPr>
          <w:ilvl w:val="0"/>
          <w:numId w:val="14"/>
        </w:numPr>
        <w:pBdr>
          <w:top w:val="single" w:sz="4" w:space="1" w:color="auto"/>
          <w:left w:val="single" w:sz="4" w:space="4" w:color="auto"/>
          <w:bottom w:val="single" w:sz="4" w:space="1" w:color="auto"/>
          <w:right w:val="single" w:sz="4" w:space="4" w:color="auto"/>
        </w:pBdr>
        <w:jc w:val="both"/>
        <w:rPr>
          <w:b/>
          <w:i/>
        </w:rPr>
      </w:pPr>
      <w:r>
        <w:rPr>
          <w:b/>
          <w:i/>
        </w:rPr>
        <w:t>Growth for expanding schools to be funded at AWPU plus 20%</w:t>
      </w:r>
      <w:r w:rsidR="00586015">
        <w:rPr>
          <w:b/>
          <w:i/>
        </w:rPr>
        <w:t>.</w:t>
      </w:r>
    </w:p>
    <w:p w:rsidR="003E71A4" w:rsidRDefault="003E71A4" w:rsidP="009602D4">
      <w:pPr>
        <w:ind w:left="709" w:hanging="709"/>
        <w:jc w:val="both"/>
        <w:rPr>
          <w:highlight w:val="cyan"/>
        </w:rPr>
      </w:pPr>
    </w:p>
    <w:p w:rsidR="00BD76F6" w:rsidRDefault="00BD76F6" w:rsidP="009602D4">
      <w:pPr>
        <w:ind w:left="709" w:hanging="709"/>
        <w:jc w:val="both"/>
        <w:rPr>
          <w:highlight w:val="cyan"/>
        </w:rPr>
      </w:pPr>
    </w:p>
    <w:p w:rsidR="00BD76F6" w:rsidRDefault="003D07B7" w:rsidP="00BD76F6">
      <w:pPr>
        <w:pStyle w:val="Default"/>
        <w:numPr>
          <w:ilvl w:val="0"/>
          <w:numId w:val="9"/>
        </w:numPr>
        <w:pBdr>
          <w:top w:val="single" w:sz="4" w:space="1" w:color="auto"/>
          <w:left w:val="single" w:sz="4" w:space="4" w:color="auto"/>
          <w:bottom w:val="single" w:sz="4" w:space="1" w:color="auto"/>
          <w:right w:val="single" w:sz="4" w:space="4" w:color="auto"/>
        </w:pBdr>
        <w:jc w:val="both"/>
        <w:rPr>
          <w:b/>
          <w:i/>
        </w:rPr>
      </w:pPr>
      <w:r>
        <w:rPr>
          <w:b/>
          <w:i/>
        </w:rPr>
        <w:t xml:space="preserve"> </w:t>
      </w:r>
      <w:r w:rsidR="00BD76F6" w:rsidRPr="008C063C">
        <w:rPr>
          <w:b/>
          <w:i/>
        </w:rPr>
        <w:t>Decision</w:t>
      </w:r>
      <w:r>
        <w:rPr>
          <w:b/>
          <w:i/>
        </w:rPr>
        <w:t xml:space="preserve"> </w:t>
      </w:r>
      <w:r w:rsidR="00BD76F6" w:rsidRPr="008C063C">
        <w:rPr>
          <w:b/>
          <w:i/>
        </w:rPr>
        <w:t xml:space="preserve">required: </w:t>
      </w:r>
    </w:p>
    <w:p w:rsidR="003D07B7" w:rsidRDefault="003D07B7" w:rsidP="003D07B7">
      <w:pPr>
        <w:pStyle w:val="Default"/>
        <w:pBdr>
          <w:top w:val="single" w:sz="4" w:space="1" w:color="auto"/>
          <w:left w:val="single" w:sz="4" w:space="4" w:color="auto"/>
          <w:bottom w:val="single" w:sz="4" w:space="1" w:color="auto"/>
          <w:right w:val="single" w:sz="4" w:space="4" w:color="auto"/>
        </w:pBdr>
        <w:ind w:left="720"/>
        <w:jc w:val="both"/>
        <w:rPr>
          <w:b/>
          <w:i/>
        </w:rPr>
      </w:pPr>
      <w:r>
        <w:rPr>
          <w:b/>
          <w:i/>
        </w:rPr>
        <w:t>Schools Forum are asked to agree the final funding model with the proposed factors included in Appendix A. This maintains a ratio of 1:1:34.</w:t>
      </w:r>
    </w:p>
    <w:p w:rsidR="003D07B7" w:rsidRDefault="003D07B7" w:rsidP="003D07B7">
      <w:pPr>
        <w:pStyle w:val="Default"/>
        <w:pBdr>
          <w:top w:val="single" w:sz="4" w:space="1" w:color="auto"/>
          <w:left w:val="single" w:sz="4" w:space="4" w:color="auto"/>
          <w:bottom w:val="single" w:sz="4" w:space="1" w:color="auto"/>
          <w:right w:val="single" w:sz="4" w:space="4" w:color="auto"/>
        </w:pBdr>
        <w:ind w:left="720"/>
        <w:jc w:val="both"/>
        <w:rPr>
          <w:b/>
          <w:i/>
        </w:rPr>
      </w:pPr>
    </w:p>
    <w:p w:rsidR="003D07B7" w:rsidRDefault="003D07B7" w:rsidP="00D7773D">
      <w:pPr>
        <w:ind w:left="709" w:hanging="709"/>
        <w:jc w:val="both"/>
      </w:pPr>
    </w:p>
    <w:p w:rsidR="004667B4" w:rsidRDefault="004667B4" w:rsidP="00743D8E">
      <w:pPr>
        <w:pStyle w:val="Default"/>
        <w:rPr>
          <w:b/>
        </w:rPr>
      </w:pPr>
    </w:p>
    <w:p w:rsidR="00743D8E" w:rsidRPr="00743D8E" w:rsidRDefault="00C46377" w:rsidP="001E3036">
      <w:pPr>
        <w:pStyle w:val="Default"/>
        <w:rPr>
          <w:b/>
        </w:rPr>
      </w:pPr>
      <w:r>
        <w:rPr>
          <w:b/>
        </w:rPr>
        <w:t>5</w:t>
      </w:r>
      <w:r w:rsidR="004667B4">
        <w:rPr>
          <w:b/>
        </w:rPr>
        <w:t>.</w:t>
      </w:r>
      <w:r w:rsidR="004667B4">
        <w:rPr>
          <w:b/>
        </w:rPr>
        <w:tab/>
      </w:r>
      <w:r w:rsidR="00F14731" w:rsidRPr="00743D8E">
        <w:rPr>
          <w:b/>
        </w:rPr>
        <w:t xml:space="preserve">Needs Block </w:t>
      </w:r>
      <w:r w:rsidR="001E3036">
        <w:rPr>
          <w:b/>
        </w:rPr>
        <w:t xml:space="preserve">Proposed Budget </w:t>
      </w:r>
      <w:r w:rsidR="00F14731" w:rsidRPr="00743D8E">
        <w:rPr>
          <w:b/>
        </w:rPr>
        <w:t xml:space="preserve">(HNB) </w:t>
      </w:r>
    </w:p>
    <w:p w:rsidR="008C063C" w:rsidRDefault="008C063C" w:rsidP="004667B4">
      <w:pPr>
        <w:ind w:left="720" w:hanging="720"/>
        <w:jc w:val="both"/>
      </w:pPr>
    </w:p>
    <w:p w:rsidR="006B061A" w:rsidRDefault="00C46377" w:rsidP="004667B4">
      <w:pPr>
        <w:ind w:left="720" w:hanging="720"/>
        <w:jc w:val="both"/>
      </w:pPr>
      <w:r>
        <w:t>5</w:t>
      </w:r>
      <w:r w:rsidR="001E3036">
        <w:t>.1</w:t>
      </w:r>
      <w:r w:rsidR="001E3036">
        <w:tab/>
      </w:r>
      <w:r w:rsidR="00401DEB">
        <w:t>The High Needs Working Group met on 4</w:t>
      </w:r>
      <w:r w:rsidR="00401DEB" w:rsidRPr="00401DEB">
        <w:rPr>
          <w:vertAlign w:val="superscript"/>
        </w:rPr>
        <w:t>th</w:t>
      </w:r>
      <w:r w:rsidR="00401DEB">
        <w:t xml:space="preserve"> January 2018, where it was proposed that the High Needs Budget be set from a zero base and that it should set a budget based on the DfE allocation</w:t>
      </w:r>
      <w:r w:rsidR="002669D3">
        <w:t xml:space="preserve"> </w:t>
      </w:r>
      <w:r w:rsidR="002669D3" w:rsidRPr="002669D3">
        <w:rPr>
          <w:b/>
        </w:rPr>
        <w:t>£27.971m</w:t>
      </w:r>
      <w:r w:rsidR="002669D3">
        <w:t xml:space="preserve"> (before recoupment)</w:t>
      </w:r>
      <w:r w:rsidR="00401DEB">
        <w:t>. A</w:t>
      </w:r>
      <w:r w:rsidR="00002AF8">
        <w:t>t the October 2017 meeting,</w:t>
      </w:r>
      <w:r w:rsidR="00401DEB">
        <w:t xml:space="preserve"> Schools Forum agreed the transfer of </w:t>
      </w:r>
      <w:r w:rsidR="00401DEB" w:rsidRPr="002669D3">
        <w:rPr>
          <w:b/>
        </w:rPr>
        <w:t xml:space="preserve">£0.5% </w:t>
      </w:r>
      <w:r w:rsidR="006B061A" w:rsidRPr="002669D3">
        <w:rPr>
          <w:b/>
        </w:rPr>
        <w:t>or £1.197</w:t>
      </w:r>
      <w:r w:rsidR="002669D3" w:rsidRPr="002669D3">
        <w:rPr>
          <w:b/>
        </w:rPr>
        <w:t>m</w:t>
      </w:r>
      <w:r w:rsidR="006B061A">
        <w:t xml:space="preserve"> from the schools block to the high needs block. Modelling the funding to schools has necessitated reducing this </w:t>
      </w:r>
      <w:r w:rsidR="006B061A">
        <w:lastRenderedPageBreak/>
        <w:t xml:space="preserve">to £750k. It is proposed that this is held as a contingency </w:t>
      </w:r>
      <w:r w:rsidR="00C20E90">
        <w:t>budget</w:t>
      </w:r>
      <w:r w:rsidR="006B061A">
        <w:t xml:space="preserve"> rather than allocate to a specific area of spend within the High Needs.</w:t>
      </w:r>
      <w:r w:rsidR="002669D3">
        <w:t xml:space="preserve"> </w:t>
      </w:r>
    </w:p>
    <w:p w:rsidR="002669D3" w:rsidRDefault="002669D3" w:rsidP="004667B4">
      <w:pPr>
        <w:ind w:left="720" w:hanging="720"/>
        <w:jc w:val="both"/>
      </w:pPr>
    </w:p>
    <w:p w:rsidR="002669D3" w:rsidRDefault="002669D3" w:rsidP="004667B4">
      <w:pPr>
        <w:ind w:left="720" w:hanging="720"/>
        <w:jc w:val="both"/>
      </w:pPr>
      <w:r>
        <w:t>5.2</w:t>
      </w:r>
      <w:r>
        <w:tab/>
        <w:t>The other actions arising from the HNWG relate to the review of ARPS. The proposal is to:</w:t>
      </w:r>
    </w:p>
    <w:p w:rsidR="002669D3" w:rsidRDefault="002669D3" w:rsidP="004667B4">
      <w:pPr>
        <w:ind w:left="720" w:hanging="720"/>
        <w:jc w:val="both"/>
      </w:pPr>
    </w:p>
    <w:p w:rsidR="002669D3" w:rsidRDefault="002669D3" w:rsidP="002669D3">
      <w:pPr>
        <w:pStyle w:val="ListParagraph"/>
        <w:numPr>
          <w:ilvl w:val="0"/>
          <w:numId w:val="13"/>
        </w:numPr>
        <w:jc w:val="both"/>
      </w:pPr>
      <w:r>
        <w:t>Review the ARP placements (numbers and provision) due to the new school opening in September 2018</w:t>
      </w:r>
      <w:r w:rsidR="00FD477C">
        <w:t xml:space="preserve"> and undertake strategic mapping of requirements over the next 3 years;</w:t>
      </w:r>
    </w:p>
    <w:p w:rsidR="00FD477C" w:rsidRDefault="00FD477C" w:rsidP="00FD477C">
      <w:pPr>
        <w:jc w:val="both"/>
      </w:pPr>
    </w:p>
    <w:p w:rsidR="00FD477C" w:rsidRDefault="00FD477C" w:rsidP="00FD477C">
      <w:pPr>
        <w:pStyle w:val="ListParagraph"/>
        <w:numPr>
          <w:ilvl w:val="0"/>
          <w:numId w:val="13"/>
        </w:numPr>
        <w:jc w:val="both"/>
      </w:pPr>
      <w:r>
        <w:t>The implementation of the NFF funds vacant ARP places at £10k and therefore there is a need to review vacant places and link to (i);</w:t>
      </w:r>
    </w:p>
    <w:p w:rsidR="00FD477C" w:rsidRDefault="00FD477C" w:rsidP="00FD477C">
      <w:pPr>
        <w:pStyle w:val="ListParagraph"/>
      </w:pPr>
    </w:p>
    <w:p w:rsidR="00196460" w:rsidRDefault="00FD477C" w:rsidP="00FD477C">
      <w:pPr>
        <w:pStyle w:val="ListParagraph"/>
        <w:numPr>
          <w:ilvl w:val="0"/>
          <w:numId w:val="13"/>
        </w:numPr>
        <w:jc w:val="both"/>
      </w:pPr>
      <w:r>
        <w:t>To update the exercise undertaken 2 years ago to recoup ‘top ups’ from establishments with vacant places on a termly basis;</w:t>
      </w:r>
    </w:p>
    <w:p w:rsidR="00196460" w:rsidRDefault="00196460" w:rsidP="00196460">
      <w:pPr>
        <w:pStyle w:val="ListParagraph"/>
      </w:pPr>
    </w:p>
    <w:p w:rsidR="00E80913" w:rsidRPr="002C161D" w:rsidRDefault="00196460" w:rsidP="00FD477C">
      <w:pPr>
        <w:pStyle w:val="ListParagraph"/>
        <w:numPr>
          <w:ilvl w:val="0"/>
          <w:numId w:val="13"/>
        </w:numPr>
        <w:jc w:val="both"/>
      </w:pPr>
      <w:r w:rsidRPr="002C161D">
        <w:t xml:space="preserve">To fund census ARP places at </w:t>
      </w:r>
      <w:r w:rsidR="00EE0058" w:rsidRPr="002C161D">
        <w:t>the foll</w:t>
      </w:r>
      <w:r w:rsidR="00EB4EF5" w:rsidRPr="002C161D">
        <w:t xml:space="preserve">owing rates: </w:t>
      </w:r>
    </w:p>
    <w:p w:rsidR="00E80913" w:rsidRPr="00E80913" w:rsidRDefault="00E80913" w:rsidP="00E80913">
      <w:pPr>
        <w:pStyle w:val="ListParagraph"/>
        <w:rPr>
          <w:highlight w:val="yellow"/>
        </w:rPr>
      </w:pPr>
    </w:p>
    <w:p w:rsidR="00E80913" w:rsidRPr="00E80913" w:rsidRDefault="002C161D" w:rsidP="002C161D">
      <w:pPr>
        <w:pStyle w:val="ListParagraph"/>
        <w:ind w:left="786"/>
        <w:jc w:val="both"/>
      </w:pPr>
      <w:r w:rsidRPr="002C161D">
        <w:rPr>
          <w:noProof/>
        </w:rPr>
        <w:drawing>
          <wp:inline distT="0" distB="0" distL="0" distR="0">
            <wp:extent cx="5629523" cy="1814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5425" cy="1816733"/>
                    </a:xfrm>
                    <a:prstGeom prst="rect">
                      <a:avLst/>
                    </a:prstGeom>
                    <a:noFill/>
                    <a:ln>
                      <a:noFill/>
                    </a:ln>
                  </pic:spPr>
                </pic:pic>
              </a:graphicData>
            </a:graphic>
          </wp:inline>
        </w:drawing>
      </w:r>
    </w:p>
    <w:p w:rsidR="00E80913" w:rsidRPr="00E80913" w:rsidRDefault="00E80913" w:rsidP="00E80913">
      <w:pPr>
        <w:pStyle w:val="ListParagraph"/>
        <w:rPr>
          <w:highlight w:val="yellow"/>
        </w:rPr>
      </w:pPr>
    </w:p>
    <w:p w:rsidR="00196460" w:rsidRDefault="00196460" w:rsidP="00196460">
      <w:pPr>
        <w:pStyle w:val="ListParagraph"/>
      </w:pPr>
    </w:p>
    <w:p w:rsidR="00FD477C" w:rsidRDefault="00196460" w:rsidP="00FD477C">
      <w:pPr>
        <w:pStyle w:val="ListParagraph"/>
        <w:numPr>
          <w:ilvl w:val="0"/>
          <w:numId w:val="13"/>
        </w:numPr>
        <w:jc w:val="both"/>
      </w:pPr>
      <w:r>
        <w:t xml:space="preserve">Undertake a benchmarking exercise to inform the review of top up bands and rates. </w:t>
      </w:r>
      <w:r w:rsidR="00FD477C">
        <w:t xml:space="preserve"> </w:t>
      </w:r>
    </w:p>
    <w:p w:rsidR="002669D3" w:rsidRDefault="002669D3" w:rsidP="004667B4">
      <w:pPr>
        <w:ind w:left="720" w:hanging="720"/>
        <w:jc w:val="both"/>
      </w:pPr>
    </w:p>
    <w:p w:rsidR="00CA503A" w:rsidRPr="008C063C" w:rsidRDefault="00CA503A" w:rsidP="003D07B7">
      <w:pPr>
        <w:pStyle w:val="Default"/>
        <w:numPr>
          <w:ilvl w:val="0"/>
          <w:numId w:val="9"/>
        </w:numPr>
        <w:pBdr>
          <w:top w:val="single" w:sz="4" w:space="1" w:color="auto"/>
          <w:left w:val="single" w:sz="4" w:space="4" w:color="auto"/>
          <w:bottom w:val="single" w:sz="4" w:space="1" w:color="auto"/>
          <w:right w:val="single" w:sz="4" w:space="4" w:color="auto"/>
        </w:pBdr>
        <w:jc w:val="both"/>
        <w:rPr>
          <w:b/>
          <w:i/>
        </w:rPr>
      </w:pPr>
      <w:r w:rsidRPr="008C063C">
        <w:rPr>
          <w:b/>
          <w:i/>
        </w:rPr>
        <w:t>Decision required: Approve t</w:t>
      </w:r>
      <w:r>
        <w:rPr>
          <w:b/>
          <w:i/>
        </w:rPr>
        <w:t>hat the proposed actions (i) to (v) in 5.2.</w:t>
      </w:r>
    </w:p>
    <w:p w:rsidR="00CA503A" w:rsidRDefault="00CA503A" w:rsidP="004667B4">
      <w:pPr>
        <w:ind w:left="720" w:hanging="720"/>
        <w:jc w:val="both"/>
      </w:pPr>
    </w:p>
    <w:p w:rsidR="00743D8E" w:rsidRDefault="00743D8E" w:rsidP="00D63AA5"/>
    <w:p w:rsidR="00743D8E" w:rsidRPr="00350D3D" w:rsidRDefault="00C46377" w:rsidP="004667B4">
      <w:pPr>
        <w:autoSpaceDE w:val="0"/>
        <w:autoSpaceDN w:val="0"/>
        <w:adjustRightInd w:val="0"/>
        <w:rPr>
          <w:rFonts w:cs="Arial"/>
          <w:b/>
        </w:rPr>
      </w:pPr>
      <w:r>
        <w:rPr>
          <w:rFonts w:cs="Arial"/>
          <w:b/>
        </w:rPr>
        <w:t>6</w:t>
      </w:r>
      <w:r w:rsidR="004667B4" w:rsidRPr="004667B4">
        <w:rPr>
          <w:rFonts w:cs="Arial"/>
          <w:b/>
        </w:rPr>
        <w:t>.</w:t>
      </w:r>
      <w:r w:rsidR="004667B4" w:rsidRPr="004667B4">
        <w:rPr>
          <w:rFonts w:cs="Arial"/>
          <w:b/>
        </w:rPr>
        <w:tab/>
      </w:r>
      <w:r w:rsidR="00F25A93" w:rsidRPr="00350D3D">
        <w:rPr>
          <w:rFonts w:cs="Arial"/>
          <w:b/>
          <w:color w:val="000000"/>
        </w:rPr>
        <w:t>Early Years National Funding Formula</w:t>
      </w:r>
    </w:p>
    <w:p w:rsidR="00743D8E" w:rsidRDefault="00743D8E" w:rsidP="00743D8E">
      <w:pPr>
        <w:autoSpaceDE w:val="0"/>
        <w:autoSpaceDN w:val="0"/>
        <w:adjustRightInd w:val="0"/>
        <w:rPr>
          <w:rFonts w:cs="Arial"/>
        </w:rPr>
      </w:pPr>
    </w:p>
    <w:p w:rsidR="00216EBD" w:rsidRDefault="00B6305D" w:rsidP="00734A6B">
      <w:pPr>
        <w:ind w:left="720" w:hanging="720"/>
        <w:jc w:val="both"/>
      </w:pPr>
      <w:r w:rsidRPr="00216EBD">
        <w:rPr>
          <w:sz w:val="23"/>
          <w:szCs w:val="23"/>
        </w:rPr>
        <w:t>6</w:t>
      </w:r>
      <w:r w:rsidR="00F25A93" w:rsidRPr="00216EBD">
        <w:rPr>
          <w:sz w:val="23"/>
          <w:szCs w:val="23"/>
        </w:rPr>
        <w:t>.1</w:t>
      </w:r>
      <w:r w:rsidR="00F25A93" w:rsidRPr="00216EBD">
        <w:rPr>
          <w:sz w:val="23"/>
          <w:szCs w:val="23"/>
        </w:rPr>
        <w:tab/>
      </w:r>
      <w:r w:rsidR="00BB410B" w:rsidRPr="001E3CC4">
        <w:t>The</w:t>
      </w:r>
      <w:r w:rsidR="00F25A93" w:rsidRPr="001E3CC4">
        <w:t xml:space="preserve"> </w:t>
      </w:r>
      <w:r w:rsidR="00BB410B" w:rsidRPr="001E3CC4">
        <w:t>E</w:t>
      </w:r>
      <w:r w:rsidR="00F25A93" w:rsidRPr="001E3CC4">
        <w:t xml:space="preserve">arly </w:t>
      </w:r>
      <w:r w:rsidR="00BB410B" w:rsidRPr="001E3CC4">
        <w:t>Y</w:t>
      </w:r>
      <w:r w:rsidR="00F25A93" w:rsidRPr="001E3CC4">
        <w:t xml:space="preserve">ears </w:t>
      </w:r>
      <w:r w:rsidR="00BB410B" w:rsidRPr="001E3CC4">
        <w:t>N</w:t>
      </w:r>
      <w:r w:rsidR="00F25A93" w:rsidRPr="001E3CC4">
        <w:t xml:space="preserve">ational </w:t>
      </w:r>
      <w:r w:rsidR="00BB410B" w:rsidRPr="001E3CC4">
        <w:t>F</w:t>
      </w:r>
      <w:r w:rsidR="00F25A93" w:rsidRPr="001E3CC4">
        <w:t xml:space="preserve">unding </w:t>
      </w:r>
      <w:r w:rsidR="00BB410B" w:rsidRPr="001E3CC4">
        <w:t>F</w:t>
      </w:r>
      <w:r w:rsidR="00F25A93" w:rsidRPr="001E3CC4">
        <w:t>ormula</w:t>
      </w:r>
      <w:r w:rsidR="00F25A93" w:rsidRPr="00350D3D">
        <w:t xml:space="preserve"> for 3 and 4 year olds was announced on 1 December 2016. </w:t>
      </w:r>
      <w:r w:rsidR="00216EBD" w:rsidRPr="00102BB7">
        <w:t>Th</w:t>
      </w:r>
      <w:r w:rsidR="00216EBD">
        <w:t xml:space="preserve">is imposed a requirement to allocate at least </w:t>
      </w:r>
      <w:r w:rsidR="00216EBD" w:rsidRPr="00102BB7">
        <w:t>93% of funding (universal and additional) for 3 to 4 year olds in 2017-18. This is known as the high pass-through requirement</w:t>
      </w:r>
      <w:r w:rsidR="00216EBD">
        <w:t xml:space="preserve">. This has risen to </w:t>
      </w:r>
      <w:r w:rsidR="00216EBD" w:rsidRPr="00102BB7">
        <w:t xml:space="preserve">95% in 2018-19. </w:t>
      </w:r>
    </w:p>
    <w:p w:rsidR="0022335E" w:rsidRDefault="0022335E" w:rsidP="00734A6B">
      <w:pPr>
        <w:ind w:left="720" w:hanging="720"/>
        <w:jc w:val="both"/>
      </w:pPr>
    </w:p>
    <w:p w:rsidR="0022335E" w:rsidRPr="0022335E" w:rsidRDefault="0022335E" w:rsidP="0022335E">
      <w:pPr>
        <w:ind w:left="720" w:hanging="720"/>
        <w:rPr>
          <w:rFonts w:cs="Arial"/>
          <w:color w:val="000000"/>
        </w:rPr>
      </w:pPr>
      <w:r w:rsidRPr="0022335E">
        <w:rPr>
          <w:rFonts w:cs="Arial"/>
          <w:color w:val="000000"/>
        </w:rPr>
        <w:t>6.2</w:t>
      </w:r>
      <w:r w:rsidRPr="0022335E">
        <w:rPr>
          <w:rFonts w:cs="Arial"/>
          <w:color w:val="000000"/>
        </w:rPr>
        <w:tab/>
        <w:t>Prior to 2017-18 the local</w:t>
      </w:r>
      <w:r w:rsidR="00394FC1">
        <w:rPr>
          <w:rFonts w:cs="Arial"/>
          <w:color w:val="000000"/>
        </w:rPr>
        <w:t xml:space="preserve"> authority </w:t>
      </w:r>
      <w:r w:rsidRPr="0022335E">
        <w:rPr>
          <w:rFonts w:cs="Arial"/>
          <w:color w:val="000000"/>
        </w:rPr>
        <w:t xml:space="preserve">held </w:t>
      </w:r>
      <w:r w:rsidRPr="003A5C3F">
        <w:rPr>
          <w:rFonts w:cs="Arial"/>
          <w:b/>
          <w:color w:val="000000"/>
        </w:rPr>
        <w:t>£1.9m (12%)</w:t>
      </w:r>
      <w:r w:rsidRPr="0022335E">
        <w:rPr>
          <w:rFonts w:cs="Arial"/>
          <w:color w:val="000000"/>
        </w:rPr>
        <w:t xml:space="preserve"> as centrally retained, </w:t>
      </w:r>
      <w:r>
        <w:rPr>
          <w:rFonts w:cs="Arial"/>
          <w:color w:val="000000"/>
        </w:rPr>
        <w:t>the</w:t>
      </w:r>
      <w:r w:rsidRPr="0022335E">
        <w:rPr>
          <w:rFonts w:cs="Arial"/>
          <w:color w:val="000000"/>
        </w:rPr>
        <w:t xml:space="preserve"> Government  </w:t>
      </w:r>
      <w:r w:rsidR="00394FC1">
        <w:rPr>
          <w:rFonts w:cs="Arial"/>
          <w:color w:val="000000"/>
        </w:rPr>
        <w:t xml:space="preserve">set </w:t>
      </w:r>
      <w:r w:rsidRPr="0022335E">
        <w:rPr>
          <w:rFonts w:cs="Arial"/>
          <w:color w:val="000000"/>
        </w:rPr>
        <w:t xml:space="preserve">a central spend limit of </w:t>
      </w:r>
      <w:r w:rsidRPr="003A5C3F">
        <w:rPr>
          <w:rFonts w:cs="Arial"/>
          <w:color w:val="000000"/>
        </w:rPr>
        <w:t>7% in 2017-18</w:t>
      </w:r>
      <w:r w:rsidRPr="003A5C3F">
        <w:rPr>
          <w:rFonts w:cs="Arial"/>
          <w:b/>
          <w:color w:val="000000"/>
        </w:rPr>
        <w:t xml:space="preserve"> </w:t>
      </w:r>
      <w:r w:rsidR="00DE5F13" w:rsidRPr="003A5C3F">
        <w:rPr>
          <w:rFonts w:cs="Arial"/>
          <w:b/>
          <w:color w:val="000000"/>
        </w:rPr>
        <w:t>(</w:t>
      </w:r>
      <w:r w:rsidR="000816B4" w:rsidRPr="003A5C3F">
        <w:rPr>
          <w:rFonts w:cs="Arial"/>
          <w:b/>
          <w:color w:val="000000"/>
        </w:rPr>
        <w:t>£1,080,867</w:t>
      </w:r>
      <w:r w:rsidR="00DE5F13" w:rsidRPr="003A5C3F">
        <w:rPr>
          <w:rFonts w:cs="Arial"/>
          <w:b/>
          <w:color w:val="000000"/>
        </w:rPr>
        <w:t>)</w:t>
      </w:r>
      <w:r w:rsidR="000816B4" w:rsidRPr="003A5C3F">
        <w:rPr>
          <w:rFonts w:cs="Arial"/>
          <w:b/>
          <w:color w:val="000000"/>
        </w:rPr>
        <w:t>.</w:t>
      </w:r>
      <w:r w:rsidR="000816B4">
        <w:rPr>
          <w:rFonts w:cs="Arial"/>
          <w:color w:val="000000"/>
        </w:rPr>
        <w:t xml:space="preserve"> </w:t>
      </w:r>
      <w:r w:rsidR="00DE5F13">
        <w:rPr>
          <w:rFonts w:cs="Arial"/>
          <w:color w:val="000000"/>
        </w:rPr>
        <w:t>The p</w:t>
      </w:r>
      <w:r w:rsidR="000816B4">
        <w:rPr>
          <w:rFonts w:cs="Arial"/>
          <w:color w:val="000000"/>
        </w:rPr>
        <w:t xml:space="preserve">rovisional amount for </w:t>
      </w:r>
      <w:r w:rsidR="000816B4" w:rsidRPr="003A5C3F">
        <w:rPr>
          <w:rFonts w:cs="Arial"/>
          <w:color w:val="000000"/>
        </w:rPr>
        <w:t xml:space="preserve">2018-19 was </w:t>
      </w:r>
      <w:r w:rsidR="000816B4" w:rsidRPr="003A5C3F">
        <w:rPr>
          <w:rFonts w:cs="Arial"/>
          <w:b/>
          <w:color w:val="000000"/>
        </w:rPr>
        <w:t>£772,048</w:t>
      </w:r>
      <w:r w:rsidRPr="003A5C3F">
        <w:rPr>
          <w:rFonts w:cs="Arial"/>
          <w:b/>
          <w:color w:val="000000"/>
        </w:rPr>
        <w:t xml:space="preserve"> </w:t>
      </w:r>
      <w:r w:rsidR="000816B4" w:rsidRPr="003A5C3F">
        <w:rPr>
          <w:rFonts w:cs="Arial"/>
          <w:b/>
          <w:color w:val="000000"/>
        </w:rPr>
        <w:t>(</w:t>
      </w:r>
      <w:r w:rsidRPr="003A5C3F">
        <w:rPr>
          <w:rFonts w:cs="Arial"/>
          <w:b/>
          <w:color w:val="000000"/>
        </w:rPr>
        <w:t>5%</w:t>
      </w:r>
      <w:r w:rsidR="000816B4" w:rsidRPr="003A5C3F">
        <w:rPr>
          <w:rFonts w:cs="Arial"/>
          <w:b/>
          <w:color w:val="000000"/>
        </w:rPr>
        <w:t>).</w:t>
      </w:r>
      <w:r w:rsidR="000816B4">
        <w:rPr>
          <w:rFonts w:cs="Arial"/>
          <w:color w:val="000000"/>
        </w:rPr>
        <w:t xml:space="preserve"> The increase in funding received for 2018-19 means that the centrally retained for 2018-19 is now </w:t>
      </w:r>
      <w:r w:rsidR="00E32BCB" w:rsidRPr="003A5C3F">
        <w:rPr>
          <w:rFonts w:cs="Arial"/>
          <w:b/>
          <w:color w:val="000000"/>
        </w:rPr>
        <w:t>£882,785</w:t>
      </w:r>
      <w:r w:rsidR="00E32BCB">
        <w:rPr>
          <w:rFonts w:cs="Arial"/>
          <w:color w:val="000000"/>
        </w:rPr>
        <w:t>.</w:t>
      </w:r>
      <w:r w:rsidRPr="0022335E">
        <w:rPr>
          <w:rFonts w:cs="Arial"/>
          <w:color w:val="000000"/>
        </w:rPr>
        <w:t xml:space="preserve"> </w:t>
      </w:r>
    </w:p>
    <w:p w:rsidR="0022335E" w:rsidRDefault="0022335E" w:rsidP="00734A6B">
      <w:pPr>
        <w:ind w:left="720" w:hanging="720"/>
        <w:jc w:val="both"/>
      </w:pPr>
    </w:p>
    <w:p w:rsidR="00507D0E" w:rsidRDefault="001C0B0D" w:rsidP="001C0B0D">
      <w:pPr>
        <w:ind w:left="720" w:hanging="720"/>
        <w:rPr>
          <w:rFonts w:cs="Arial"/>
          <w:color w:val="000000"/>
        </w:rPr>
      </w:pPr>
      <w:r w:rsidRPr="00280EC4">
        <w:rPr>
          <w:rFonts w:cs="Arial"/>
          <w:color w:val="000000"/>
        </w:rPr>
        <w:t>6.</w:t>
      </w:r>
      <w:r w:rsidR="00E32BCB">
        <w:rPr>
          <w:rFonts w:cs="Arial"/>
          <w:color w:val="000000"/>
        </w:rPr>
        <w:t>3</w:t>
      </w:r>
      <w:r w:rsidRPr="00280EC4">
        <w:rPr>
          <w:rFonts w:cs="Arial"/>
          <w:color w:val="000000"/>
        </w:rPr>
        <w:tab/>
        <w:t xml:space="preserve">The DSG allocation for Early Years in 2017-18 saw a significant uplift in the funding rate to early years providers including nursery classes in schools. There was an uplift of £1.50 to £4.50 per hour for the base rate in 2017-18. The funding for the authority has </w:t>
      </w:r>
      <w:r w:rsidR="00507D0E">
        <w:rPr>
          <w:rFonts w:cs="Arial"/>
          <w:color w:val="000000"/>
        </w:rPr>
        <w:t xml:space="preserve">further </w:t>
      </w:r>
      <w:r w:rsidRPr="00280EC4">
        <w:rPr>
          <w:rFonts w:cs="Arial"/>
          <w:color w:val="000000"/>
        </w:rPr>
        <w:t>increased for 2018-19</w:t>
      </w:r>
      <w:r w:rsidR="00507D0E">
        <w:rPr>
          <w:rFonts w:cs="Arial"/>
          <w:color w:val="000000"/>
        </w:rPr>
        <w:t>.</w:t>
      </w:r>
    </w:p>
    <w:p w:rsidR="00507D0E" w:rsidRDefault="00507D0E" w:rsidP="001C0B0D">
      <w:pPr>
        <w:ind w:left="720" w:hanging="720"/>
        <w:rPr>
          <w:rFonts w:cs="Arial"/>
          <w:color w:val="000000"/>
        </w:rPr>
      </w:pPr>
    </w:p>
    <w:p w:rsidR="001C0B0D" w:rsidRDefault="00507D0E" w:rsidP="00BB410B">
      <w:pPr>
        <w:ind w:left="720" w:hanging="720"/>
        <w:rPr>
          <w:rFonts w:cs="Arial"/>
          <w:color w:val="000000"/>
        </w:rPr>
      </w:pPr>
      <w:r>
        <w:rPr>
          <w:rFonts w:cs="Arial"/>
          <w:color w:val="000000"/>
        </w:rPr>
        <w:t>6.</w:t>
      </w:r>
      <w:r w:rsidR="00E32BCB">
        <w:rPr>
          <w:rFonts w:cs="Arial"/>
          <w:color w:val="000000"/>
        </w:rPr>
        <w:t>4</w:t>
      </w:r>
      <w:r>
        <w:rPr>
          <w:rFonts w:cs="Arial"/>
          <w:color w:val="000000"/>
        </w:rPr>
        <w:tab/>
        <w:t xml:space="preserve">Modelling the early years national funding formula for 2018-19 will mean that an increase of £0.20 per </w:t>
      </w:r>
      <w:r w:rsidR="00DE5F13">
        <w:rPr>
          <w:rFonts w:cs="Arial"/>
          <w:color w:val="000000"/>
        </w:rPr>
        <w:t xml:space="preserve">hour </w:t>
      </w:r>
      <w:r>
        <w:rPr>
          <w:rFonts w:cs="Arial"/>
          <w:color w:val="000000"/>
        </w:rPr>
        <w:t>is affordable. T</w:t>
      </w:r>
      <w:r w:rsidR="001C0B0D" w:rsidRPr="00280EC4">
        <w:rPr>
          <w:rFonts w:cs="Arial"/>
          <w:color w:val="000000"/>
        </w:rPr>
        <w:t>herefore</w:t>
      </w:r>
      <w:r>
        <w:rPr>
          <w:rFonts w:cs="Arial"/>
          <w:color w:val="000000"/>
        </w:rPr>
        <w:t>,</w:t>
      </w:r>
      <w:r w:rsidR="001C0B0D" w:rsidRPr="00280EC4">
        <w:rPr>
          <w:rFonts w:cs="Arial"/>
          <w:color w:val="000000"/>
        </w:rPr>
        <w:t xml:space="preserve"> it is proposed that the base rate is increased to £4.70 per hour</w:t>
      </w:r>
      <w:r w:rsidR="00CF62B0">
        <w:rPr>
          <w:rFonts w:cs="Arial"/>
          <w:color w:val="000000"/>
        </w:rPr>
        <w:t>.</w:t>
      </w:r>
      <w:r w:rsidRPr="00507D0E">
        <w:rPr>
          <w:rFonts w:cs="Arial"/>
          <w:color w:val="000000"/>
        </w:rPr>
        <w:t xml:space="preserve"> </w:t>
      </w:r>
      <w:r w:rsidR="00D40F86">
        <w:rPr>
          <w:rFonts w:cs="Arial"/>
          <w:color w:val="000000"/>
        </w:rPr>
        <w:t xml:space="preserve">It is proposed that the </w:t>
      </w:r>
      <w:r w:rsidRPr="00280EC4">
        <w:rPr>
          <w:rFonts w:cs="Arial"/>
          <w:color w:val="000000"/>
        </w:rPr>
        <w:t xml:space="preserve">deprivation rates </w:t>
      </w:r>
      <w:r w:rsidR="00D40F86">
        <w:rPr>
          <w:rFonts w:cs="Arial"/>
          <w:color w:val="000000"/>
        </w:rPr>
        <w:t>remain at the same levels of between</w:t>
      </w:r>
      <w:r w:rsidRPr="00280EC4">
        <w:rPr>
          <w:rFonts w:cs="Arial"/>
          <w:color w:val="000000"/>
        </w:rPr>
        <w:t xml:space="preserve"> £0.22 and £0.30 per hour based on IDACI bandings. </w:t>
      </w:r>
      <w:r w:rsidR="00D40F86">
        <w:rPr>
          <w:rFonts w:cs="Arial"/>
          <w:color w:val="000000"/>
        </w:rPr>
        <w:t xml:space="preserve">It is also proposed that the </w:t>
      </w:r>
      <w:r w:rsidRPr="00280EC4">
        <w:rPr>
          <w:rFonts w:cs="Arial"/>
          <w:color w:val="000000"/>
        </w:rPr>
        <w:t xml:space="preserve">formula </w:t>
      </w:r>
      <w:r w:rsidR="00D40F86">
        <w:rPr>
          <w:rFonts w:cs="Arial"/>
          <w:color w:val="000000"/>
        </w:rPr>
        <w:t>remains at</w:t>
      </w:r>
      <w:r w:rsidRPr="00280EC4">
        <w:rPr>
          <w:rFonts w:cs="Arial"/>
          <w:color w:val="000000"/>
        </w:rPr>
        <w:t xml:space="preserve"> £0.21 per hour for a </w:t>
      </w:r>
      <w:r w:rsidRPr="00D40F86">
        <w:rPr>
          <w:rFonts w:cs="Arial"/>
          <w:color w:val="000000"/>
        </w:rPr>
        <w:t>flexibility factor for PVI providers.</w:t>
      </w:r>
      <w:r w:rsidR="00D40F86" w:rsidRPr="00D40F86">
        <w:rPr>
          <w:rFonts w:cs="Arial"/>
          <w:color w:val="000000"/>
        </w:rPr>
        <w:t xml:space="preserve"> </w:t>
      </w:r>
      <w:r w:rsidR="00D40F86">
        <w:rPr>
          <w:rFonts w:cs="Arial"/>
          <w:color w:val="000000"/>
        </w:rPr>
        <w:t xml:space="preserve">There has been no increase in funding for 2 Year Olds, therefore no change is proposed </w:t>
      </w:r>
      <w:r w:rsidR="00DE5F13">
        <w:rPr>
          <w:rFonts w:cs="Arial"/>
          <w:color w:val="000000"/>
        </w:rPr>
        <w:t>to</w:t>
      </w:r>
      <w:r w:rsidR="00D40F86">
        <w:rPr>
          <w:rFonts w:cs="Arial"/>
          <w:color w:val="000000"/>
        </w:rPr>
        <w:t xml:space="preserve"> the </w:t>
      </w:r>
      <w:r w:rsidR="00D40F86" w:rsidRPr="00D40F86">
        <w:rPr>
          <w:rFonts w:cs="Arial"/>
          <w:color w:val="000000"/>
        </w:rPr>
        <w:t xml:space="preserve">funding rate </w:t>
      </w:r>
      <w:r w:rsidR="00D40F86">
        <w:rPr>
          <w:rFonts w:cs="Arial"/>
          <w:color w:val="000000"/>
        </w:rPr>
        <w:t>of</w:t>
      </w:r>
      <w:r w:rsidR="00D40F86" w:rsidRPr="00D40F86">
        <w:rPr>
          <w:rFonts w:cs="Arial"/>
          <w:color w:val="000000"/>
        </w:rPr>
        <w:t xml:space="preserve"> £5.35 per hour to settings with eligible 2 year olds.</w:t>
      </w:r>
    </w:p>
    <w:p w:rsidR="009C2912" w:rsidRPr="00D40F86" w:rsidRDefault="009C2912" w:rsidP="001C0B0D">
      <w:pPr>
        <w:ind w:left="720" w:hanging="720"/>
        <w:rPr>
          <w:rFonts w:cs="Arial"/>
          <w:color w:val="000000"/>
        </w:rPr>
      </w:pPr>
    </w:p>
    <w:p w:rsidR="0022335E" w:rsidRDefault="009C2912" w:rsidP="001C0B0D">
      <w:pPr>
        <w:ind w:left="720" w:hanging="720"/>
        <w:rPr>
          <w:rFonts w:cs="Arial"/>
          <w:color w:val="000000"/>
        </w:rPr>
      </w:pPr>
      <w:r>
        <w:rPr>
          <w:rFonts w:cs="Arial"/>
          <w:color w:val="000000"/>
        </w:rPr>
        <w:t>6.</w:t>
      </w:r>
      <w:r w:rsidR="00E32BCB">
        <w:rPr>
          <w:rFonts w:cs="Arial"/>
          <w:color w:val="000000"/>
        </w:rPr>
        <w:t>5</w:t>
      </w:r>
      <w:r>
        <w:rPr>
          <w:rFonts w:cs="Arial"/>
          <w:color w:val="000000"/>
        </w:rPr>
        <w:tab/>
        <w:t xml:space="preserve">With the implementation of the EYNFF in 2017-18, there was a requirement for local authorities to establish a </w:t>
      </w:r>
      <w:r w:rsidR="004B72E4">
        <w:rPr>
          <w:rFonts w:cs="Arial"/>
          <w:color w:val="000000"/>
        </w:rPr>
        <w:t>special education needs (SEN) inclusion fund where the local authority did not have one set up previously. Barking and Dagenham continued to hold £284k</w:t>
      </w:r>
      <w:r w:rsidR="0022335E">
        <w:rPr>
          <w:rFonts w:cs="Arial"/>
          <w:color w:val="000000"/>
        </w:rPr>
        <w:t xml:space="preserve"> in 2017-18. The Early Years Team are consulting on whether this should be increased to £400k and whether support for 2 Year Olds should also be managed from this fund.</w:t>
      </w:r>
      <w:r w:rsidR="00EB4EF5">
        <w:rPr>
          <w:rFonts w:cs="Arial"/>
          <w:color w:val="000000"/>
        </w:rPr>
        <w:t xml:space="preserve"> </w:t>
      </w:r>
    </w:p>
    <w:p w:rsidR="0022335E" w:rsidRDefault="0022335E" w:rsidP="001C0B0D">
      <w:pPr>
        <w:ind w:left="720" w:hanging="720"/>
        <w:rPr>
          <w:rFonts w:cs="Arial"/>
          <w:color w:val="000000"/>
        </w:rPr>
      </w:pPr>
    </w:p>
    <w:p w:rsidR="00216EBD" w:rsidRDefault="00216EBD" w:rsidP="00D40F86">
      <w:pPr>
        <w:ind w:left="720" w:hanging="720"/>
        <w:jc w:val="both"/>
      </w:pPr>
      <w:r>
        <w:t>6.</w:t>
      </w:r>
      <w:r w:rsidR="002D49EE">
        <w:t>6</w:t>
      </w:r>
      <w:r>
        <w:tab/>
      </w:r>
      <w:r w:rsidRPr="00102BB7">
        <w:t>Allocations for 2, 3 and 4 year olds are indicative based on January 201</w:t>
      </w:r>
      <w:r>
        <w:t>7</w:t>
      </w:r>
      <w:r w:rsidRPr="00102BB7">
        <w:t xml:space="preserve"> census and will be updated to reflect the January 201</w:t>
      </w:r>
      <w:r>
        <w:t>8</w:t>
      </w:r>
      <w:r w:rsidRPr="00102BB7">
        <w:t xml:space="preserve"> (5/12ths) and January 201</w:t>
      </w:r>
      <w:r>
        <w:t>9</w:t>
      </w:r>
      <w:r w:rsidRPr="00102BB7">
        <w:t xml:space="preserve"> (7/12ths) census data. The first update will take place in July 201</w:t>
      </w:r>
      <w:r>
        <w:t>8</w:t>
      </w:r>
      <w:r w:rsidRPr="00102BB7">
        <w:t xml:space="preserve"> and final census adjustment will be made to the DSG in 201</w:t>
      </w:r>
      <w:r>
        <w:t>9</w:t>
      </w:r>
      <w:r w:rsidRPr="00102BB7">
        <w:t>-</w:t>
      </w:r>
      <w:r>
        <w:t>20</w:t>
      </w:r>
      <w:r w:rsidRPr="00102BB7">
        <w:t>.</w:t>
      </w:r>
    </w:p>
    <w:p w:rsidR="00216EBD" w:rsidRPr="00102BB7" w:rsidRDefault="00216EBD" w:rsidP="00216EBD">
      <w:pPr>
        <w:jc w:val="both"/>
      </w:pPr>
    </w:p>
    <w:p w:rsidR="00B17838" w:rsidRDefault="00C070E8" w:rsidP="00B17838">
      <w:pPr>
        <w:ind w:left="720" w:hanging="720"/>
        <w:rPr>
          <w:rFonts w:cs="Arial"/>
          <w:color w:val="000000"/>
        </w:rPr>
      </w:pPr>
      <w:r w:rsidRPr="00C070E8">
        <w:rPr>
          <w:rFonts w:cs="Arial"/>
          <w:color w:val="000000"/>
        </w:rPr>
        <w:t>6.</w:t>
      </w:r>
      <w:r w:rsidR="002D49EE">
        <w:rPr>
          <w:rFonts w:cs="Arial"/>
          <w:color w:val="000000"/>
        </w:rPr>
        <w:t>7</w:t>
      </w:r>
      <w:r w:rsidRPr="00C070E8">
        <w:rPr>
          <w:rFonts w:cs="Arial"/>
          <w:color w:val="000000"/>
        </w:rPr>
        <w:tab/>
        <w:t xml:space="preserve">The finance team have </w:t>
      </w:r>
      <w:r w:rsidR="002D49EE">
        <w:rPr>
          <w:rFonts w:cs="Arial"/>
          <w:color w:val="000000"/>
        </w:rPr>
        <w:t xml:space="preserve">reviewed the central spend with the </w:t>
      </w:r>
      <w:r w:rsidRPr="00C070E8">
        <w:rPr>
          <w:rFonts w:cs="Arial"/>
          <w:color w:val="000000"/>
        </w:rPr>
        <w:t xml:space="preserve">Service Manager for Early Years </w:t>
      </w:r>
      <w:r w:rsidR="002D49EE">
        <w:rPr>
          <w:rFonts w:cs="Arial"/>
          <w:color w:val="000000"/>
        </w:rPr>
        <w:t xml:space="preserve">and this </w:t>
      </w:r>
      <w:r w:rsidRPr="00C070E8">
        <w:rPr>
          <w:rFonts w:cs="Arial"/>
          <w:color w:val="000000"/>
        </w:rPr>
        <w:t>is summarised in the table below. The</w:t>
      </w:r>
      <w:r w:rsidR="002D49EE">
        <w:rPr>
          <w:rFonts w:cs="Arial"/>
          <w:color w:val="000000"/>
        </w:rPr>
        <w:t xml:space="preserve"> changes to the previous proposal is that £58k will now be managed</w:t>
      </w:r>
      <w:r w:rsidR="001E6232">
        <w:rPr>
          <w:rFonts w:cs="Arial"/>
          <w:color w:val="000000"/>
        </w:rPr>
        <w:t xml:space="preserve"> from</w:t>
      </w:r>
      <w:r w:rsidR="002D49EE">
        <w:rPr>
          <w:rFonts w:cs="Arial"/>
          <w:color w:val="000000"/>
        </w:rPr>
        <w:t xml:space="preserve"> income generated in the general </w:t>
      </w:r>
      <w:r w:rsidR="001E6232">
        <w:rPr>
          <w:rFonts w:cs="Arial"/>
          <w:color w:val="000000"/>
        </w:rPr>
        <w:t xml:space="preserve">fund </w:t>
      </w:r>
      <w:r w:rsidR="002D49EE">
        <w:rPr>
          <w:rFonts w:cs="Arial"/>
          <w:color w:val="000000"/>
        </w:rPr>
        <w:t xml:space="preserve">rather than </w:t>
      </w:r>
      <w:r w:rsidR="001E6232">
        <w:rPr>
          <w:rFonts w:cs="Arial"/>
          <w:color w:val="000000"/>
        </w:rPr>
        <w:t xml:space="preserve">through </w:t>
      </w:r>
      <w:r w:rsidR="002D49EE">
        <w:rPr>
          <w:rFonts w:cs="Arial"/>
          <w:color w:val="000000"/>
        </w:rPr>
        <w:t>2 Year Old funding</w:t>
      </w:r>
      <w:r w:rsidR="00B17838">
        <w:rPr>
          <w:rFonts w:cs="Arial"/>
          <w:color w:val="000000"/>
        </w:rPr>
        <w:t xml:space="preserve"> and that the </w:t>
      </w:r>
      <w:r w:rsidR="00B17838" w:rsidRPr="00C070E8">
        <w:rPr>
          <w:rFonts w:cs="Arial"/>
          <w:color w:val="000000"/>
        </w:rPr>
        <w:t xml:space="preserve">early years teachers </w:t>
      </w:r>
      <w:r w:rsidR="00B17838">
        <w:rPr>
          <w:rFonts w:cs="Arial"/>
          <w:color w:val="000000"/>
        </w:rPr>
        <w:t>will continue to be managed as part of central spend until there is possibility to trade this service.</w:t>
      </w:r>
    </w:p>
    <w:p w:rsidR="00B17838" w:rsidRDefault="00B17838" w:rsidP="00B17838">
      <w:pPr>
        <w:ind w:left="720" w:hanging="720"/>
        <w:rPr>
          <w:rFonts w:cs="Arial"/>
          <w:color w:val="000000"/>
        </w:rPr>
      </w:pPr>
    </w:p>
    <w:p w:rsidR="00C070E8" w:rsidRDefault="00B27F13" w:rsidP="00C070E8">
      <w:pPr>
        <w:ind w:left="720" w:hanging="720"/>
        <w:rPr>
          <w:rFonts w:cs="Arial"/>
          <w:color w:val="000000"/>
        </w:rPr>
      </w:pPr>
      <w:r w:rsidRPr="00B27F13">
        <w:rPr>
          <w:noProof/>
        </w:rPr>
        <w:lastRenderedPageBreak/>
        <w:drawing>
          <wp:inline distT="0" distB="0" distL="0" distR="0">
            <wp:extent cx="5451475" cy="6245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1475" cy="6245860"/>
                    </a:xfrm>
                    <a:prstGeom prst="rect">
                      <a:avLst/>
                    </a:prstGeom>
                    <a:noFill/>
                    <a:ln>
                      <a:noFill/>
                    </a:ln>
                  </pic:spPr>
                </pic:pic>
              </a:graphicData>
            </a:graphic>
          </wp:inline>
        </w:drawing>
      </w:r>
    </w:p>
    <w:p w:rsidR="004C71D4" w:rsidRPr="00350D3D" w:rsidRDefault="004C71D4" w:rsidP="00F25A93">
      <w:pPr>
        <w:ind w:left="720" w:hanging="720"/>
        <w:rPr>
          <w:rFonts w:cs="Arial"/>
          <w:color w:val="000000"/>
        </w:rPr>
      </w:pPr>
    </w:p>
    <w:p w:rsidR="00F25A93" w:rsidRDefault="00F25A93" w:rsidP="00F25A93">
      <w:pPr>
        <w:ind w:left="720" w:hanging="720"/>
        <w:rPr>
          <w:rFonts w:cs="Arial"/>
          <w:color w:val="000000"/>
          <w:sz w:val="23"/>
          <w:szCs w:val="23"/>
        </w:rPr>
      </w:pPr>
    </w:p>
    <w:p w:rsidR="00F25A93" w:rsidRPr="00D800B2" w:rsidRDefault="00B27F13" w:rsidP="003D07B7">
      <w:pPr>
        <w:pStyle w:val="ListParagraph"/>
        <w:numPr>
          <w:ilvl w:val="0"/>
          <w:numId w:val="9"/>
        </w:numPr>
        <w:pBdr>
          <w:top w:val="single" w:sz="4" w:space="1" w:color="auto"/>
          <w:left w:val="single" w:sz="4" w:space="4" w:color="auto"/>
          <w:bottom w:val="single" w:sz="4" w:space="1" w:color="auto"/>
          <w:right w:val="single" w:sz="4" w:space="4" w:color="auto"/>
        </w:pBdr>
        <w:jc w:val="both"/>
        <w:rPr>
          <w:rFonts w:cs="Arial"/>
          <w:b/>
          <w:i/>
        </w:rPr>
      </w:pPr>
      <w:r>
        <w:rPr>
          <w:rFonts w:cs="Arial"/>
          <w:b/>
          <w:i/>
        </w:rPr>
        <w:t>Note</w:t>
      </w:r>
      <w:r w:rsidR="00292AD7" w:rsidRPr="00D800B2">
        <w:rPr>
          <w:rFonts w:cs="Arial"/>
          <w:b/>
          <w:i/>
        </w:rPr>
        <w:t>:</w:t>
      </w:r>
      <w:r w:rsidR="00F25A93" w:rsidRPr="00D800B2">
        <w:rPr>
          <w:rFonts w:cs="Arial"/>
          <w:b/>
          <w:i/>
        </w:rPr>
        <w:t xml:space="preserve"> – Schools Forum is requested to </w:t>
      </w:r>
      <w:r>
        <w:rPr>
          <w:rFonts w:cs="Arial"/>
          <w:b/>
          <w:i/>
        </w:rPr>
        <w:t>note</w:t>
      </w:r>
      <w:r w:rsidR="00292AD7" w:rsidRPr="00D800B2">
        <w:rPr>
          <w:rFonts w:cs="Arial"/>
          <w:b/>
          <w:i/>
        </w:rPr>
        <w:t xml:space="preserve"> the </w:t>
      </w:r>
      <w:r w:rsidR="00CA503A">
        <w:rPr>
          <w:rFonts w:cs="Arial"/>
          <w:b/>
          <w:i/>
        </w:rPr>
        <w:t xml:space="preserve">proposed </w:t>
      </w:r>
      <w:r w:rsidR="00292AD7" w:rsidRPr="00D800B2">
        <w:rPr>
          <w:rFonts w:cs="Arial"/>
          <w:b/>
          <w:i/>
        </w:rPr>
        <w:t>early years national funding formula for 3 and 4 year olds</w:t>
      </w:r>
      <w:r w:rsidR="00726F3F">
        <w:rPr>
          <w:rFonts w:cs="Arial"/>
          <w:b/>
          <w:i/>
        </w:rPr>
        <w:t xml:space="preserve">; approve the </w:t>
      </w:r>
      <w:r w:rsidR="00456C9A" w:rsidRPr="00D800B2">
        <w:rPr>
          <w:rFonts w:cs="Arial"/>
          <w:b/>
          <w:i/>
        </w:rPr>
        <w:t xml:space="preserve">proposed </w:t>
      </w:r>
      <w:r w:rsidR="00726F3F">
        <w:rPr>
          <w:rFonts w:cs="Arial"/>
          <w:b/>
          <w:i/>
        </w:rPr>
        <w:t xml:space="preserve">hourly </w:t>
      </w:r>
      <w:r w:rsidR="00456C9A" w:rsidRPr="00D800B2">
        <w:rPr>
          <w:rFonts w:cs="Arial"/>
          <w:b/>
          <w:i/>
        </w:rPr>
        <w:t>rates for providers</w:t>
      </w:r>
      <w:r w:rsidR="00726F3F">
        <w:rPr>
          <w:rFonts w:cs="Arial"/>
          <w:b/>
          <w:i/>
        </w:rPr>
        <w:t>.</w:t>
      </w:r>
    </w:p>
    <w:p w:rsidR="00F25A93" w:rsidRDefault="00F25A93" w:rsidP="00F25A93">
      <w:pPr>
        <w:ind w:left="720" w:hanging="720"/>
        <w:rPr>
          <w:rFonts w:cs="Arial"/>
          <w:color w:val="000000"/>
          <w:sz w:val="23"/>
          <w:szCs w:val="23"/>
        </w:rPr>
      </w:pPr>
    </w:p>
    <w:p w:rsidR="00C070E8" w:rsidRPr="00D800B2" w:rsidRDefault="00200F1B" w:rsidP="003D07B7">
      <w:pPr>
        <w:pStyle w:val="ListParagraph"/>
        <w:numPr>
          <w:ilvl w:val="0"/>
          <w:numId w:val="9"/>
        </w:numPr>
        <w:pBdr>
          <w:top w:val="single" w:sz="4" w:space="1" w:color="auto"/>
          <w:left w:val="single" w:sz="4" w:space="4" w:color="auto"/>
          <w:bottom w:val="single" w:sz="4" w:space="1" w:color="auto"/>
          <w:right w:val="single" w:sz="4" w:space="4" w:color="auto"/>
        </w:pBdr>
        <w:jc w:val="both"/>
        <w:rPr>
          <w:rFonts w:cs="Arial"/>
          <w:b/>
          <w:i/>
          <w:color w:val="000000"/>
          <w:sz w:val="23"/>
          <w:szCs w:val="23"/>
        </w:rPr>
      </w:pPr>
      <w:r>
        <w:rPr>
          <w:rFonts w:cs="Arial"/>
          <w:b/>
          <w:i/>
          <w:color w:val="000000"/>
          <w:sz w:val="23"/>
          <w:szCs w:val="23"/>
        </w:rPr>
        <w:t xml:space="preserve"> </w:t>
      </w:r>
      <w:r w:rsidR="00B27F13">
        <w:rPr>
          <w:rFonts w:cs="Arial"/>
          <w:b/>
          <w:i/>
          <w:color w:val="000000"/>
          <w:sz w:val="23"/>
          <w:szCs w:val="23"/>
        </w:rPr>
        <w:t>Note:</w:t>
      </w:r>
      <w:r w:rsidR="00CA503A">
        <w:rPr>
          <w:rFonts w:cs="Arial"/>
          <w:b/>
          <w:i/>
          <w:color w:val="000000"/>
          <w:sz w:val="23"/>
          <w:szCs w:val="23"/>
        </w:rPr>
        <w:t xml:space="preserve"> </w:t>
      </w:r>
      <w:r w:rsidR="00C070E8" w:rsidRPr="00D800B2">
        <w:rPr>
          <w:rFonts w:cs="Arial"/>
          <w:b/>
          <w:i/>
          <w:color w:val="000000"/>
          <w:sz w:val="23"/>
          <w:szCs w:val="23"/>
        </w:rPr>
        <w:t xml:space="preserve">– Schools Forum is requested to </w:t>
      </w:r>
      <w:r w:rsidR="00CA503A">
        <w:rPr>
          <w:rFonts w:cs="Arial"/>
          <w:b/>
          <w:i/>
          <w:color w:val="000000"/>
          <w:sz w:val="23"/>
          <w:szCs w:val="23"/>
        </w:rPr>
        <w:t xml:space="preserve">note the proposed increase in the SEN inclusion fund. </w:t>
      </w:r>
    </w:p>
    <w:p w:rsidR="00F25A93" w:rsidRDefault="00F25A93" w:rsidP="00F25A93">
      <w:pPr>
        <w:ind w:left="720" w:hanging="720"/>
        <w:rPr>
          <w:rFonts w:cs="Arial"/>
          <w:color w:val="000000"/>
          <w:sz w:val="23"/>
          <w:szCs w:val="23"/>
        </w:rPr>
      </w:pPr>
    </w:p>
    <w:p w:rsidR="00B27F13" w:rsidRPr="00D800B2" w:rsidRDefault="00B27F13" w:rsidP="00B27F13">
      <w:pPr>
        <w:pStyle w:val="ListParagraph"/>
        <w:numPr>
          <w:ilvl w:val="0"/>
          <w:numId w:val="9"/>
        </w:numPr>
        <w:pBdr>
          <w:top w:val="single" w:sz="4" w:space="1" w:color="auto"/>
          <w:left w:val="single" w:sz="4" w:space="4" w:color="auto"/>
          <w:bottom w:val="single" w:sz="4" w:space="1" w:color="auto"/>
          <w:right w:val="single" w:sz="4" w:space="4" w:color="auto"/>
        </w:pBdr>
        <w:jc w:val="both"/>
        <w:rPr>
          <w:rFonts w:cs="Arial"/>
          <w:b/>
          <w:i/>
          <w:color w:val="000000"/>
          <w:sz w:val="23"/>
          <w:szCs w:val="23"/>
        </w:rPr>
      </w:pPr>
      <w:r>
        <w:rPr>
          <w:rFonts w:cs="Arial"/>
          <w:b/>
          <w:i/>
          <w:color w:val="000000"/>
          <w:sz w:val="23"/>
          <w:szCs w:val="23"/>
        </w:rPr>
        <w:t xml:space="preserve">Decision required: </w:t>
      </w:r>
      <w:r w:rsidRPr="00D800B2">
        <w:rPr>
          <w:rFonts w:cs="Arial"/>
          <w:b/>
          <w:i/>
          <w:color w:val="000000"/>
          <w:sz w:val="23"/>
          <w:szCs w:val="23"/>
        </w:rPr>
        <w:t xml:space="preserve">– Schools Forum is requested to </w:t>
      </w:r>
      <w:r>
        <w:rPr>
          <w:rFonts w:cs="Arial"/>
          <w:b/>
          <w:i/>
          <w:color w:val="000000"/>
          <w:sz w:val="23"/>
          <w:szCs w:val="23"/>
        </w:rPr>
        <w:t xml:space="preserve">approve the Early Years centrally retained budget for 2018-19. </w:t>
      </w:r>
    </w:p>
    <w:p w:rsidR="00B27F13" w:rsidRPr="00F25A93" w:rsidRDefault="00B27F13" w:rsidP="00F25A93">
      <w:pPr>
        <w:ind w:left="720" w:hanging="720"/>
        <w:rPr>
          <w:rFonts w:cs="Arial"/>
          <w:color w:val="000000"/>
          <w:sz w:val="23"/>
          <w:szCs w:val="23"/>
        </w:rPr>
      </w:pPr>
    </w:p>
    <w:p w:rsidR="002815B1" w:rsidRDefault="002815B1" w:rsidP="002815B1">
      <w:pPr>
        <w:autoSpaceDE w:val="0"/>
        <w:autoSpaceDN w:val="0"/>
        <w:adjustRightInd w:val="0"/>
        <w:rPr>
          <w:rFonts w:cs="Arial"/>
          <w:b/>
        </w:rPr>
      </w:pPr>
    </w:p>
    <w:p w:rsidR="00317452" w:rsidRPr="00456C9A" w:rsidRDefault="00197808" w:rsidP="00317452">
      <w:pPr>
        <w:autoSpaceDE w:val="0"/>
        <w:autoSpaceDN w:val="0"/>
        <w:adjustRightInd w:val="0"/>
        <w:rPr>
          <w:rFonts w:cs="Arial"/>
          <w:b/>
          <w:color w:val="000000"/>
        </w:rPr>
      </w:pPr>
      <w:r>
        <w:rPr>
          <w:rFonts w:cs="Arial"/>
          <w:b/>
        </w:rPr>
        <w:t>7</w:t>
      </w:r>
      <w:r w:rsidR="00317452" w:rsidRPr="004667B4">
        <w:rPr>
          <w:rFonts w:cs="Arial"/>
          <w:b/>
        </w:rPr>
        <w:t>.</w:t>
      </w:r>
      <w:r w:rsidR="00317452" w:rsidRPr="004667B4">
        <w:rPr>
          <w:rFonts w:cs="Arial"/>
          <w:b/>
        </w:rPr>
        <w:tab/>
      </w:r>
      <w:r w:rsidR="00317452" w:rsidRPr="00456C9A">
        <w:rPr>
          <w:rFonts w:cs="Arial"/>
          <w:b/>
          <w:color w:val="000000"/>
        </w:rPr>
        <w:t>Early Closure of Accounts</w:t>
      </w:r>
    </w:p>
    <w:p w:rsidR="006D786D" w:rsidRPr="00456C9A" w:rsidRDefault="006D786D" w:rsidP="00317452">
      <w:pPr>
        <w:autoSpaceDE w:val="0"/>
        <w:autoSpaceDN w:val="0"/>
        <w:adjustRightInd w:val="0"/>
        <w:rPr>
          <w:rFonts w:cs="Arial"/>
          <w:b/>
        </w:rPr>
      </w:pPr>
    </w:p>
    <w:p w:rsidR="006D786D" w:rsidRPr="00456C9A" w:rsidRDefault="00197808" w:rsidP="001B7D7D">
      <w:pPr>
        <w:ind w:left="720" w:hanging="720"/>
        <w:rPr>
          <w:rFonts w:cs="Arial"/>
          <w:color w:val="000000"/>
        </w:rPr>
      </w:pPr>
      <w:r>
        <w:rPr>
          <w:rFonts w:cs="Arial"/>
          <w:color w:val="000000"/>
        </w:rPr>
        <w:t>7.1</w:t>
      </w:r>
      <w:r w:rsidR="001B7D7D" w:rsidRPr="001B7D7D">
        <w:rPr>
          <w:rFonts w:cs="Arial"/>
          <w:color w:val="000000"/>
        </w:rPr>
        <w:tab/>
      </w:r>
      <w:r w:rsidR="00456C9A" w:rsidRPr="001B7D7D">
        <w:rPr>
          <w:rFonts w:cs="Arial"/>
          <w:color w:val="000000"/>
        </w:rPr>
        <w:t>The</w:t>
      </w:r>
      <w:r w:rsidR="006D786D" w:rsidRPr="00456C9A">
        <w:rPr>
          <w:rFonts w:cs="Arial"/>
          <w:color w:val="000000"/>
        </w:rPr>
        <w:t xml:space="preserve"> Local Authority </w:t>
      </w:r>
      <w:r w:rsidR="00905491">
        <w:rPr>
          <w:rFonts w:cs="Arial"/>
          <w:color w:val="000000"/>
        </w:rPr>
        <w:t xml:space="preserve">has to meet the </w:t>
      </w:r>
      <w:r w:rsidR="00391199">
        <w:rPr>
          <w:rFonts w:cs="Arial"/>
          <w:color w:val="000000"/>
        </w:rPr>
        <w:t xml:space="preserve">early </w:t>
      </w:r>
      <w:r w:rsidR="00905491">
        <w:rPr>
          <w:rFonts w:cs="Arial"/>
          <w:color w:val="000000"/>
        </w:rPr>
        <w:t>statutory deadline for the closure of m</w:t>
      </w:r>
      <w:r w:rsidR="006D786D" w:rsidRPr="00456C9A">
        <w:rPr>
          <w:rFonts w:cs="Arial"/>
          <w:color w:val="000000"/>
        </w:rPr>
        <w:t>aintained schools accounts for 201</w:t>
      </w:r>
      <w:r w:rsidR="00905491">
        <w:rPr>
          <w:rFonts w:cs="Arial"/>
          <w:color w:val="000000"/>
        </w:rPr>
        <w:t>7</w:t>
      </w:r>
      <w:r w:rsidR="006D786D" w:rsidRPr="00456C9A">
        <w:rPr>
          <w:rFonts w:cs="Arial"/>
          <w:color w:val="000000"/>
        </w:rPr>
        <w:t>-1</w:t>
      </w:r>
      <w:r w:rsidR="00905491">
        <w:rPr>
          <w:rFonts w:cs="Arial"/>
          <w:color w:val="000000"/>
        </w:rPr>
        <w:t>8</w:t>
      </w:r>
      <w:r w:rsidR="006D786D" w:rsidRPr="00456C9A">
        <w:rPr>
          <w:rFonts w:cs="Arial"/>
          <w:color w:val="000000"/>
        </w:rPr>
        <w:t xml:space="preserve">. The change is included within The </w:t>
      </w:r>
      <w:r w:rsidR="006D786D" w:rsidRPr="0020083A">
        <w:rPr>
          <w:rFonts w:cs="Arial"/>
          <w:color w:val="000000"/>
        </w:rPr>
        <w:lastRenderedPageBreak/>
        <w:t>Accounts and Audit Regulations 2015</w:t>
      </w:r>
      <w:r w:rsidR="006D786D" w:rsidRPr="00456C9A">
        <w:rPr>
          <w:rFonts w:cs="Arial"/>
          <w:color w:val="000000"/>
        </w:rPr>
        <w:t>, paragraph 10 (1) requiring  authorities and Chief Finance Officers to sign off the accounts by 31 May (</w:t>
      </w:r>
      <w:r w:rsidR="00391199">
        <w:rPr>
          <w:rFonts w:cs="Arial"/>
          <w:color w:val="000000"/>
        </w:rPr>
        <w:t>previously</w:t>
      </w:r>
      <w:r w:rsidR="006D786D" w:rsidRPr="00456C9A">
        <w:rPr>
          <w:rFonts w:cs="Arial"/>
          <w:color w:val="000000"/>
        </w:rPr>
        <w:t xml:space="preserve"> 30 June), subject to Audit. </w:t>
      </w:r>
    </w:p>
    <w:p w:rsidR="006D786D" w:rsidRPr="00456C9A" w:rsidRDefault="006D786D" w:rsidP="006D786D">
      <w:pPr>
        <w:rPr>
          <w:rFonts w:cs="Arial"/>
          <w:color w:val="000000"/>
        </w:rPr>
      </w:pPr>
    </w:p>
    <w:p w:rsidR="006D786D" w:rsidRPr="00456C9A" w:rsidRDefault="00197808" w:rsidP="001B7D7D">
      <w:pPr>
        <w:ind w:left="720" w:hanging="720"/>
        <w:rPr>
          <w:rFonts w:cs="Arial"/>
          <w:color w:val="000000"/>
        </w:rPr>
      </w:pPr>
      <w:r>
        <w:rPr>
          <w:rFonts w:cs="Arial"/>
          <w:color w:val="000000"/>
        </w:rPr>
        <w:t>7.</w:t>
      </w:r>
      <w:r w:rsidR="00D347A7" w:rsidRPr="00456C9A">
        <w:rPr>
          <w:rFonts w:cs="Arial"/>
          <w:color w:val="000000"/>
        </w:rPr>
        <w:t xml:space="preserve">2 </w:t>
      </w:r>
      <w:r w:rsidR="001B7D7D">
        <w:rPr>
          <w:rFonts w:cs="Arial"/>
          <w:color w:val="000000"/>
        </w:rPr>
        <w:tab/>
      </w:r>
      <w:r w:rsidR="00D347A7" w:rsidRPr="00456C9A">
        <w:rPr>
          <w:rFonts w:cs="Arial"/>
          <w:color w:val="000000"/>
        </w:rPr>
        <w:t>Currently</w:t>
      </w:r>
      <w:r w:rsidR="006D786D" w:rsidRPr="00456C9A">
        <w:rPr>
          <w:rFonts w:cs="Arial"/>
          <w:color w:val="000000"/>
        </w:rPr>
        <w:t xml:space="preserve">, the early closedown only affects the production of the Local Authority accounts. It is expected that the DfE will move the CFR timetables to coincide with the Local Authority accounts in due course. </w:t>
      </w:r>
    </w:p>
    <w:p w:rsidR="006D786D" w:rsidRPr="00456C9A" w:rsidRDefault="006D786D" w:rsidP="006D786D">
      <w:pPr>
        <w:rPr>
          <w:rFonts w:cs="Arial"/>
          <w:color w:val="000000"/>
        </w:rPr>
      </w:pPr>
    </w:p>
    <w:p w:rsidR="00391199" w:rsidRDefault="00197808" w:rsidP="00391199">
      <w:pPr>
        <w:ind w:left="720" w:hanging="720"/>
        <w:rPr>
          <w:rFonts w:cs="Arial"/>
          <w:color w:val="000000"/>
        </w:rPr>
      </w:pPr>
      <w:r>
        <w:rPr>
          <w:rFonts w:cs="Arial"/>
          <w:color w:val="000000"/>
        </w:rPr>
        <w:t>7</w:t>
      </w:r>
      <w:r w:rsidR="00D347A7" w:rsidRPr="001B7D7D">
        <w:rPr>
          <w:rFonts w:cs="Arial"/>
          <w:color w:val="000000"/>
        </w:rPr>
        <w:t xml:space="preserve">.3 </w:t>
      </w:r>
      <w:r w:rsidR="001B7D7D">
        <w:rPr>
          <w:rFonts w:cs="Arial"/>
          <w:color w:val="000000"/>
        </w:rPr>
        <w:tab/>
      </w:r>
      <w:r w:rsidR="00391199">
        <w:rPr>
          <w:rFonts w:cs="Arial"/>
          <w:color w:val="000000"/>
        </w:rPr>
        <w:t>For 2017-18 closure of accounts Schools will be required to provide a</w:t>
      </w:r>
      <w:r w:rsidR="00391199" w:rsidRPr="001B7D7D">
        <w:rPr>
          <w:rFonts w:cs="Arial"/>
          <w:color w:val="000000"/>
        </w:rPr>
        <w:t xml:space="preserve"> budget monitoring report for Quarter 3</w:t>
      </w:r>
      <w:r w:rsidR="005E3600">
        <w:rPr>
          <w:rFonts w:cs="Arial"/>
          <w:color w:val="000000"/>
        </w:rPr>
        <w:t xml:space="preserve"> </w:t>
      </w:r>
      <w:r w:rsidR="00391199" w:rsidRPr="001B7D7D">
        <w:rPr>
          <w:rFonts w:cs="Arial"/>
          <w:color w:val="000000"/>
        </w:rPr>
        <w:t xml:space="preserve">(Q3) </w:t>
      </w:r>
      <w:r w:rsidR="00391199">
        <w:rPr>
          <w:rFonts w:cs="Arial"/>
          <w:color w:val="000000"/>
        </w:rPr>
        <w:t xml:space="preserve">which </w:t>
      </w:r>
      <w:r w:rsidR="00391199" w:rsidRPr="001B7D7D">
        <w:rPr>
          <w:rFonts w:cs="Arial"/>
          <w:color w:val="000000"/>
        </w:rPr>
        <w:t>sets out the actual income and expenditure for April to December and a forecast for the last three months. It is important to ensure that the information reported in the School’s Q3 budget monitoring returns are a complete and accurate record of the school’s position at the time of preparation. The reports will need to be signed off by the Head Teacher and Schools Business Manager. In making the Outturn Forecast for 201</w:t>
      </w:r>
      <w:r w:rsidR="00391199">
        <w:rPr>
          <w:rFonts w:cs="Arial"/>
          <w:color w:val="000000"/>
        </w:rPr>
        <w:t>7</w:t>
      </w:r>
      <w:r w:rsidR="00391199" w:rsidRPr="001B7D7D">
        <w:rPr>
          <w:rFonts w:cs="Arial"/>
          <w:color w:val="000000"/>
        </w:rPr>
        <w:t>-1</w:t>
      </w:r>
      <w:r w:rsidR="00391199">
        <w:rPr>
          <w:rFonts w:cs="Arial"/>
          <w:color w:val="000000"/>
        </w:rPr>
        <w:t>8</w:t>
      </w:r>
      <w:r w:rsidR="00391199" w:rsidRPr="001B7D7D">
        <w:rPr>
          <w:rFonts w:cs="Arial"/>
          <w:color w:val="000000"/>
        </w:rPr>
        <w:t>, schools need to ensure that for the period from 1 January 201</w:t>
      </w:r>
      <w:r w:rsidR="0020083A">
        <w:rPr>
          <w:rFonts w:cs="Arial"/>
          <w:color w:val="000000"/>
        </w:rPr>
        <w:t>8</w:t>
      </w:r>
      <w:r w:rsidR="00391199" w:rsidRPr="001B7D7D">
        <w:rPr>
          <w:rFonts w:cs="Arial"/>
          <w:color w:val="000000"/>
        </w:rPr>
        <w:t xml:space="preserve"> to 31 March 201</w:t>
      </w:r>
      <w:r w:rsidR="0020083A">
        <w:rPr>
          <w:rFonts w:cs="Arial"/>
          <w:color w:val="000000"/>
        </w:rPr>
        <w:t>8</w:t>
      </w:r>
      <w:r w:rsidR="00391199" w:rsidRPr="001B7D7D">
        <w:rPr>
          <w:rFonts w:cs="Arial"/>
          <w:color w:val="000000"/>
        </w:rPr>
        <w:t xml:space="preserve"> that all anticipated income and expenditure is projected, considering all information and inputs available at the time.</w:t>
      </w:r>
    </w:p>
    <w:p w:rsidR="006D786D" w:rsidRPr="00456C9A" w:rsidRDefault="006D786D" w:rsidP="00391199">
      <w:pPr>
        <w:rPr>
          <w:rFonts w:cs="Arial"/>
        </w:rPr>
      </w:pPr>
    </w:p>
    <w:p w:rsidR="006D786D" w:rsidRPr="001B7D7D" w:rsidRDefault="00197808" w:rsidP="001B7D7D">
      <w:pPr>
        <w:ind w:left="720" w:hanging="720"/>
        <w:rPr>
          <w:rFonts w:cs="Arial"/>
          <w:color w:val="000000"/>
        </w:rPr>
      </w:pPr>
      <w:r>
        <w:rPr>
          <w:rFonts w:cs="Arial"/>
          <w:color w:val="000000"/>
        </w:rPr>
        <w:t>7</w:t>
      </w:r>
      <w:r w:rsidR="00D347A7" w:rsidRPr="001B7D7D">
        <w:rPr>
          <w:rFonts w:cs="Arial"/>
          <w:color w:val="000000"/>
        </w:rPr>
        <w:t>.</w:t>
      </w:r>
      <w:r w:rsidR="00391199">
        <w:rPr>
          <w:rFonts w:cs="Arial"/>
          <w:color w:val="000000"/>
        </w:rPr>
        <w:t>4</w:t>
      </w:r>
      <w:r w:rsidR="00D347A7" w:rsidRPr="001B7D7D">
        <w:rPr>
          <w:rFonts w:cs="Arial"/>
          <w:color w:val="000000"/>
        </w:rPr>
        <w:t xml:space="preserve"> </w:t>
      </w:r>
      <w:r w:rsidR="001B7D7D">
        <w:rPr>
          <w:rFonts w:cs="Arial"/>
          <w:color w:val="000000"/>
        </w:rPr>
        <w:tab/>
      </w:r>
      <w:r w:rsidR="00D347A7" w:rsidRPr="001B7D7D">
        <w:rPr>
          <w:rFonts w:cs="Arial"/>
          <w:color w:val="000000"/>
        </w:rPr>
        <w:t>Please</w:t>
      </w:r>
      <w:r w:rsidR="006D786D" w:rsidRPr="001B7D7D">
        <w:rPr>
          <w:rFonts w:cs="Arial"/>
          <w:color w:val="000000"/>
        </w:rPr>
        <w:t xml:space="preserve"> note that the revenue and capital closedown timetable within all maintained schools is unaffected and will take place as usual as at 31 March 201</w:t>
      </w:r>
      <w:r w:rsidR="0020083A">
        <w:rPr>
          <w:rFonts w:cs="Arial"/>
          <w:color w:val="000000"/>
        </w:rPr>
        <w:t>8</w:t>
      </w:r>
      <w:r w:rsidR="006D786D" w:rsidRPr="001B7D7D">
        <w:rPr>
          <w:rFonts w:cs="Arial"/>
          <w:color w:val="000000"/>
        </w:rPr>
        <w:t>, and CFR uploads as normal in June 201</w:t>
      </w:r>
      <w:r w:rsidR="0020083A">
        <w:rPr>
          <w:rFonts w:cs="Arial"/>
          <w:color w:val="000000"/>
        </w:rPr>
        <w:t>8</w:t>
      </w:r>
      <w:r w:rsidR="00391199">
        <w:rPr>
          <w:rFonts w:cs="Arial"/>
          <w:color w:val="000000"/>
        </w:rPr>
        <w:t>, unless otherwise informed by the DfE</w:t>
      </w:r>
      <w:r w:rsidR="006D786D" w:rsidRPr="001B7D7D">
        <w:rPr>
          <w:rFonts w:cs="Arial"/>
          <w:color w:val="000000"/>
        </w:rPr>
        <w:t>. The timetable for Revenue and Capital closedown and School Summary Outturn Template will be issued in due course, toget</w:t>
      </w:r>
      <w:r>
        <w:rPr>
          <w:rFonts w:cs="Arial"/>
          <w:color w:val="000000"/>
        </w:rPr>
        <w:t>her with the closedown guidance on all information requests.</w:t>
      </w:r>
    </w:p>
    <w:p w:rsidR="00317452" w:rsidRDefault="00317452" w:rsidP="002815B1">
      <w:pPr>
        <w:autoSpaceDE w:val="0"/>
        <w:autoSpaceDN w:val="0"/>
        <w:adjustRightInd w:val="0"/>
        <w:rPr>
          <w:rFonts w:cs="Arial"/>
          <w:b/>
        </w:rPr>
      </w:pPr>
    </w:p>
    <w:p w:rsidR="0038769D" w:rsidRDefault="002815B1" w:rsidP="0038769D">
      <w:pPr>
        <w:rPr>
          <w:sz w:val="23"/>
          <w:szCs w:val="23"/>
        </w:rPr>
      </w:pPr>
      <w:r>
        <w:t xml:space="preserve"> </w:t>
      </w:r>
    </w:p>
    <w:p w:rsidR="00C52505" w:rsidRPr="006D60D1" w:rsidRDefault="00391199" w:rsidP="006D60D1">
      <w:pPr>
        <w:autoSpaceDE w:val="0"/>
        <w:autoSpaceDN w:val="0"/>
        <w:adjustRightInd w:val="0"/>
        <w:rPr>
          <w:rFonts w:cs="Arial"/>
          <w:b/>
        </w:rPr>
      </w:pPr>
      <w:r>
        <w:rPr>
          <w:rFonts w:cs="Arial"/>
          <w:b/>
        </w:rPr>
        <w:t>8</w:t>
      </w:r>
      <w:r w:rsidR="006D60D1">
        <w:rPr>
          <w:rFonts w:cs="Arial"/>
          <w:b/>
        </w:rPr>
        <w:t>.</w:t>
      </w:r>
      <w:r w:rsidR="006D60D1">
        <w:rPr>
          <w:rFonts w:cs="Arial"/>
          <w:b/>
        </w:rPr>
        <w:tab/>
      </w:r>
      <w:r w:rsidR="00C52505" w:rsidRPr="006D60D1">
        <w:rPr>
          <w:rFonts w:cs="Arial"/>
          <w:b/>
        </w:rPr>
        <w:t xml:space="preserve">Options Appraisal </w:t>
      </w:r>
    </w:p>
    <w:p w:rsidR="00C52505" w:rsidRDefault="00C52505" w:rsidP="001370FE">
      <w:pPr>
        <w:ind w:left="709" w:hanging="709"/>
      </w:pPr>
    </w:p>
    <w:p w:rsidR="00C52505" w:rsidRPr="00F7237E" w:rsidRDefault="00391199" w:rsidP="001370FE">
      <w:pPr>
        <w:ind w:left="709" w:hanging="709"/>
      </w:pPr>
      <w:r>
        <w:t>8</w:t>
      </w:r>
      <w:r w:rsidR="00C52505">
        <w:t>.1</w:t>
      </w:r>
      <w:r w:rsidR="00C43EE1">
        <w:tab/>
      </w:r>
      <w:r w:rsidR="00EA0195">
        <w:t xml:space="preserve">Not applicable.  </w:t>
      </w:r>
    </w:p>
    <w:p w:rsidR="006B0B04" w:rsidRDefault="006B0B04" w:rsidP="001370FE">
      <w:pPr>
        <w:ind w:left="709" w:hanging="709"/>
        <w:rPr>
          <w:rFonts w:cs="Arial"/>
        </w:rPr>
      </w:pPr>
    </w:p>
    <w:p w:rsidR="000404CF" w:rsidRDefault="000404CF" w:rsidP="001370FE">
      <w:pPr>
        <w:ind w:left="709" w:hanging="709"/>
        <w:rPr>
          <w:rFonts w:cs="Arial"/>
        </w:rPr>
      </w:pPr>
    </w:p>
    <w:p w:rsidR="006E145D" w:rsidRPr="002815B1" w:rsidRDefault="00391199" w:rsidP="002815B1">
      <w:pPr>
        <w:autoSpaceDE w:val="0"/>
        <w:autoSpaceDN w:val="0"/>
        <w:adjustRightInd w:val="0"/>
        <w:rPr>
          <w:rFonts w:cs="Arial"/>
          <w:b/>
          <w:u w:val="single"/>
        </w:rPr>
      </w:pPr>
      <w:r>
        <w:rPr>
          <w:rFonts w:cs="Arial"/>
          <w:b/>
        </w:rPr>
        <w:t>9</w:t>
      </w:r>
      <w:r w:rsidR="002815B1" w:rsidRPr="002815B1">
        <w:rPr>
          <w:rFonts w:cs="Arial"/>
          <w:b/>
        </w:rPr>
        <w:t>.</w:t>
      </w:r>
      <w:r w:rsidR="002815B1" w:rsidRPr="002815B1">
        <w:rPr>
          <w:rFonts w:cs="Arial"/>
          <w:b/>
        </w:rPr>
        <w:tab/>
      </w:r>
      <w:r w:rsidR="006E145D" w:rsidRPr="002815B1">
        <w:rPr>
          <w:rFonts w:cs="Arial"/>
          <w:b/>
          <w:u w:val="single"/>
        </w:rPr>
        <w:t xml:space="preserve">Consultation </w:t>
      </w:r>
    </w:p>
    <w:p w:rsidR="00391199" w:rsidRDefault="00391199" w:rsidP="00391199">
      <w:pPr>
        <w:ind w:firstLine="720"/>
        <w:rPr>
          <w:rFonts w:cs="Arial"/>
          <w:b/>
        </w:rPr>
      </w:pPr>
    </w:p>
    <w:p w:rsidR="006E145D" w:rsidRPr="00391199" w:rsidRDefault="00735987" w:rsidP="00391199">
      <w:pPr>
        <w:ind w:firstLine="720"/>
        <w:rPr>
          <w:rFonts w:cs="Arial"/>
        </w:rPr>
      </w:pPr>
      <w:r w:rsidRPr="00391199">
        <w:rPr>
          <w:rFonts w:cs="Arial"/>
        </w:rPr>
        <w:t>Not applicable.</w:t>
      </w:r>
    </w:p>
    <w:p w:rsidR="006E145D" w:rsidRDefault="006E145D" w:rsidP="001370FE">
      <w:pPr>
        <w:autoSpaceDE w:val="0"/>
        <w:autoSpaceDN w:val="0"/>
        <w:adjustRightInd w:val="0"/>
        <w:ind w:left="709" w:hanging="709"/>
        <w:rPr>
          <w:rFonts w:cs="Arial"/>
        </w:rPr>
      </w:pPr>
    </w:p>
    <w:p w:rsidR="00627CCF" w:rsidRPr="00D347A7" w:rsidRDefault="00391199" w:rsidP="000B3C9B">
      <w:pPr>
        <w:autoSpaceDE w:val="0"/>
        <w:autoSpaceDN w:val="0"/>
        <w:adjustRightInd w:val="0"/>
        <w:rPr>
          <w:rFonts w:cs="Arial"/>
          <w:b/>
        </w:rPr>
      </w:pPr>
      <w:r>
        <w:rPr>
          <w:rFonts w:cs="Arial"/>
          <w:b/>
        </w:rPr>
        <w:t>10</w:t>
      </w:r>
      <w:r w:rsidR="000B3C9B" w:rsidRPr="00D347A7">
        <w:rPr>
          <w:rFonts w:cs="Arial"/>
          <w:b/>
        </w:rPr>
        <w:t>.</w:t>
      </w:r>
      <w:r w:rsidR="000B3C9B" w:rsidRPr="00D347A7">
        <w:rPr>
          <w:rFonts w:cs="Arial"/>
          <w:b/>
        </w:rPr>
        <w:tab/>
      </w:r>
      <w:r w:rsidR="00B448CA" w:rsidRPr="00D347A7">
        <w:rPr>
          <w:rFonts w:cs="Arial"/>
          <w:b/>
          <w:u w:val="single"/>
        </w:rPr>
        <w:t>Financial I</w:t>
      </w:r>
      <w:r w:rsidR="006E145D" w:rsidRPr="00D347A7">
        <w:rPr>
          <w:rFonts w:cs="Arial"/>
          <w:b/>
          <w:u w:val="single"/>
        </w:rPr>
        <w:t>mplications</w:t>
      </w:r>
      <w:r w:rsidR="00627CCF" w:rsidRPr="00D347A7">
        <w:rPr>
          <w:rFonts w:cs="Arial"/>
          <w:b/>
        </w:rPr>
        <w:t xml:space="preserve"> </w:t>
      </w:r>
    </w:p>
    <w:p w:rsidR="00B448CA" w:rsidRPr="00B448CA" w:rsidRDefault="00B448CA" w:rsidP="001370FE">
      <w:pPr>
        <w:autoSpaceDE w:val="0"/>
        <w:autoSpaceDN w:val="0"/>
        <w:adjustRightInd w:val="0"/>
        <w:ind w:left="709" w:hanging="709"/>
        <w:rPr>
          <w:rFonts w:cs="Arial"/>
        </w:rPr>
      </w:pPr>
    </w:p>
    <w:p w:rsidR="00B448CA" w:rsidRPr="00391199" w:rsidRDefault="00A14F53" w:rsidP="00391199">
      <w:pPr>
        <w:pStyle w:val="ListParagraph"/>
        <w:numPr>
          <w:ilvl w:val="1"/>
          <w:numId w:val="16"/>
        </w:numPr>
        <w:rPr>
          <w:rFonts w:cs="Arial"/>
          <w:color w:val="0000FF"/>
        </w:rPr>
      </w:pPr>
      <w:r w:rsidRPr="00391199">
        <w:rPr>
          <w:rFonts w:cs="Arial"/>
        </w:rPr>
        <w:t>The School Funding Formula is contained within the Dedicated Schools Grant</w:t>
      </w:r>
    </w:p>
    <w:p w:rsidR="00B448CA" w:rsidRDefault="00B448CA" w:rsidP="001370FE">
      <w:pPr>
        <w:autoSpaceDE w:val="0"/>
        <w:autoSpaceDN w:val="0"/>
        <w:adjustRightInd w:val="0"/>
        <w:ind w:left="709" w:hanging="709"/>
        <w:rPr>
          <w:rFonts w:cs="Arial"/>
        </w:rPr>
      </w:pPr>
    </w:p>
    <w:p w:rsidR="000404CF" w:rsidRDefault="000404CF" w:rsidP="001370FE">
      <w:pPr>
        <w:autoSpaceDE w:val="0"/>
        <w:autoSpaceDN w:val="0"/>
        <w:adjustRightInd w:val="0"/>
        <w:ind w:left="709" w:hanging="709"/>
        <w:rPr>
          <w:rFonts w:cs="Arial"/>
        </w:rPr>
      </w:pPr>
    </w:p>
    <w:p w:rsidR="00627CCF" w:rsidRPr="00D347A7" w:rsidRDefault="00197808" w:rsidP="000B3C9B">
      <w:pPr>
        <w:autoSpaceDE w:val="0"/>
        <w:autoSpaceDN w:val="0"/>
        <w:adjustRightInd w:val="0"/>
        <w:rPr>
          <w:rFonts w:cs="Arial"/>
          <w:b/>
        </w:rPr>
      </w:pPr>
      <w:r>
        <w:rPr>
          <w:rFonts w:cs="Arial"/>
          <w:b/>
        </w:rPr>
        <w:t>1</w:t>
      </w:r>
      <w:r w:rsidR="00391199">
        <w:rPr>
          <w:rFonts w:cs="Arial"/>
          <w:b/>
        </w:rPr>
        <w:t>1</w:t>
      </w:r>
      <w:r w:rsidR="000B3C9B" w:rsidRPr="00D347A7">
        <w:rPr>
          <w:rFonts w:cs="Arial"/>
          <w:b/>
        </w:rPr>
        <w:tab/>
      </w:r>
      <w:r w:rsidR="00B448CA" w:rsidRPr="00D347A7">
        <w:rPr>
          <w:rFonts w:cs="Arial"/>
          <w:b/>
          <w:u w:val="single"/>
        </w:rPr>
        <w:t xml:space="preserve">Legal </w:t>
      </w:r>
      <w:r w:rsidR="006E145D" w:rsidRPr="00D347A7">
        <w:rPr>
          <w:rFonts w:cs="Arial"/>
          <w:b/>
          <w:u w:val="single"/>
        </w:rPr>
        <w:t>Implications</w:t>
      </w:r>
      <w:r w:rsidR="006E145D" w:rsidRPr="00D347A7">
        <w:rPr>
          <w:rFonts w:cs="Arial"/>
          <w:b/>
        </w:rPr>
        <w:t xml:space="preserve"> </w:t>
      </w:r>
    </w:p>
    <w:p w:rsidR="007C1C4A" w:rsidRDefault="007C1C4A" w:rsidP="001370FE">
      <w:pPr>
        <w:autoSpaceDE w:val="0"/>
        <w:autoSpaceDN w:val="0"/>
        <w:adjustRightInd w:val="0"/>
        <w:ind w:left="709" w:hanging="709"/>
        <w:rPr>
          <w:rFonts w:cs="Arial"/>
          <w:b/>
        </w:rPr>
      </w:pPr>
    </w:p>
    <w:p w:rsidR="00B42641" w:rsidRDefault="00197808" w:rsidP="001370FE">
      <w:pPr>
        <w:ind w:left="709" w:hanging="709"/>
        <w:rPr>
          <w:rFonts w:cs="Arial"/>
        </w:rPr>
      </w:pPr>
      <w:r>
        <w:rPr>
          <w:rFonts w:cs="Arial"/>
        </w:rPr>
        <w:t>1</w:t>
      </w:r>
      <w:r w:rsidR="00391199">
        <w:rPr>
          <w:rFonts w:cs="Arial"/>
        </w:rPr>
        <w:t>1</w:t>
      </w:r>
      <w:r>
        <w:rPr>
          <w:rFonts w:cs="Arial"/>
        </w:rPr>
        <w:t>.1</w:t>
      </w:r>
      <w:r w:rsidR="007C1C4A" w:rsidRPr="00945AC3">
        <w:rPr>
          <w:rFonts w:cs="Arial"/>
        </w:rPr>
        <w:tab/>
      </w:r>
      <w:r w:rsidR="00B42641">
        <w:rPr>
          <w:rFonts w:cs="Arial"/>
        </w:rPr>
        <w:t>The Schools Forums (England) Regulations 2012 govern the</w:t>
      </w:r>
      <w:r w:rsidR="00D804FB">
        <w:rPr>
          <w:rFonts w:cs="Arial"/>
        </w:rPr>
        <w:t xml:space="preserve"> constitution and conduct of meetings of the Forum.  The Schools Finance (England) Regulations 2012 determine those matters on which the Local Authority must or may consult the Schools Forum and those in respect of which the Schools Forum can make decisions.  These Regulations make provision for the financial arrangements of local authorities in relation to the funding of maintained schools and providers of prescribed early years provision in England</w:t>
      </w:r>
      <w:r w:rsidR="00FF0EFC">
        <w:rPr>
          <w:rFonts w:cs="Arial"/>
        </w:rPr>
        <w:t>, for</w:t>
      </w:r>
      <w:r w:rsidR="00D804FB">
        <w:rPr>
          <w:rFonts w:cs="Arial"/>
        </w:rPr>
        <w:t xml:space="preserve"> the financial year 2013/14.  </w:t>
      </w:r>
    </w:p>
    <w:p w:rsidR="0083710B" w:rsidRDefault="0083710B" w:rsidP="001370FE">
      <w:pPr>
        <w:ind w:left="709" w:hanging="709"/>
        <w:rPr>
          <w:rFonts w:cs="Arial"/>
          <w:color w:val="1F497D"/>
        </w:rPr>
      </w:pPr>
    </w:p>
    <w:p w:rsidR="00944FB8" w:rsidRDefault="00944FB8" w:rsidP="001370FE">
      <w:pPr>
        <w:autoSpaceDE w:val="0"/>
        <w:autoSpaceDN w:val="0"/>
        <w:adjustRightInd w:val="0"/>
        <w:ind w:left="709" w:hanging="709"/>
        <w:rPr>
          <w:rFonts w:cs="Arial"/>
          <w:color w:val="000000"/>
        </w:rPr>
      </w:pPr>
    </w:p>
    <w:p w:rsidR="003B6610" w:rsidRPr="00FF0EFC" w:rsidRDefault="00197808" w:rsidP="000B3C9B">
      <w:pPr>
        <w:autoSpaceDE w:val="0"/>
        <w:autoSpaceDN w:val="0"/>
        <w:adjustRightInd w:val="0"/>
        <w:rPr>
          <w:rFonts w:cs="Arial"/>
          <w:color w:val="000000"/>
          <w:u w:val="single"/>
        </w:rPr>
      </w:pPr>
      <w:r>
        <w:rPr>
          <w:rFonts w:cs="Arial"/>
          <w:b/>
        </w:rPr>
        <w:t>12</w:t>
      </w:r>
      <w:r w:rsidR="000B3C9B">
        <w:rPr>
          <w:rFonts w:cs="Arial"/>
          <w:b/>
        </w:rPr>
        <w:t>.</w:t>
      </w:r>
      <w:r w:rsidR="00B448CA">
        <w:rPr>
          <w:rFonts w:cs="Arial"/>
          <w:b/>
        </w:rPr>
        <w:tab/>
      </w:r>
      <w:r w:rsidR="003B6610" w:rsidRPr="00FF0EFC">
        <w:rPr>
          <w:rFonts w:cs="Arial"/>
          <w:b/>
          <w:u w:val="single"/>
        </w:rPr>
        <w:t>Other Implications</w:t>
      </w:r>
    </w:p>
    <w:p w:rsidR="003B6610" w:rsidRDefault="003B6610" w:rsidP="001370FE">
      <w:pPr>
        <w:autoSpaceDE w:val="0"/>
        <w:autoSpaceDN w:val="0"/>
        <w:adjustRightInd w:val="0"/>
        <w:ind w:left="709" w:hanging="709"/>
        <w:rPr>
          <w:rFonts w:cs="Arial"/>
          <w:color w:val="0000FF"/>
        </w:rPr>
      </w:pPr>
    </w:p>
    <w:p w:rsidR="00B448CA" w:rsidRPr="001102BC" w:rsidRDefault="00B448CA" w:rsidP="00295280">
      <w:pPr>
        <w:numPr>
          <w:ilvl w:val="1"/>
          <w:numId w:val="6"/>
        </w:numPr>
        <w:autoSpaceDE w:val="0"/>
        <w:autoSpaceDN w:val="0"/>
        <w:adjustRightInd w:val="0"/>
        <w:ind w:left="709" w:hanging="709"/>
        <w:rPr>
          <w:rFonts w:cs="Arial"/>
        </w:rPr>
      </w:pPr>
      <w:r>
        <w:rPr>
          <w:rFonts w:cs="Arial"/>
          <w:b/>
        </w:rPr>
        <w:t xml:space="preserve">Risk Management </w:t>
      </w:r>
      <w:r w:rsidR="001102BC">
        <w:rPr>
          <w:rFonts w:cs="Arial"/>
          <w:b/>
        </w:rPr>
        <w:t xml:space="preserve">- </w:t>
      </w:r>
      <w:r w:rsidR="001102BC">
        <w:rPr>
          <w:rFonts w:cs="Arial"/>
        </w:rPr>
        <w:t>None</w:t>
      </w:r>
    </w:p>
    <w:p w:rsidR="000D030E" w:rsidRDefault="000D030E" w:rsidP="001370FE">
      <w:pPr>
        <w:autoSpaceDE w:val="0"/>
        <w:autoSpaceDN w:val="0"/>
        <w:adjustRightInd w:val="0"/>
        <w:ind w:left="709" w:hanging="709"/>
        <w:rPr>
          <w:rFonts w:cs="Arial"/>
        </w:rPr>
      </w:pPr>
    </w:p>
    <w:p w:rsidR="0046701F" w:rsidRDefault="00B448CA" w:rsidP="00295280">
      <w:pPr>
        <w:numPr>
          <w:ilvl w:val="1"/>
          <w:numId w:val="6"/>
        </w:numPr>
        <w:autoSpaceDE w:val="0"/>
        <w:autoSpaceDN w:val="0"/>
        <w:adjustRightInd w:val="0"/>
        <w:ind w:left="709" w:hanging="709"/>
        <w:rPr>
          <w:rFonts w:cs="Arial"/>
          <w:color w:val="000000" w:themeColor="text1"/>
        </w:rPr>
      </w:pPr>
      <w:r w:rsidRPr="0046701F">
        <w:rPr>
          <w:rFonts w:cs="Arial"/>
          <w:b/>
        </w:rPr>
        <w:t>Contr</w:t>
      </w:r>
      <w:r w:rsidRPr="0046701F">
        <w:rPr>
          <w:rFonts w:cs="Arial"/>
          <w:b/>
          <w:color w:val="000000" w:themeColor="text1"/>
        </w:rPr>
        <w:t>actual Issues</w:t>
      </w:r>
      <w:r w:rsidR="001102BC" w:rsidRPr="0046701F">
        <w:rPr>
          <w:rFonts w:cs="Arial"/>
          <w:color w:val="000000" w:themeColor="text1"/>
        </w:rPr>
        <w:t xml:space="preserve"> - None</w:t>
      </w:r>
      <w:r w:rsidR="002F3F9A" w:rsidRPr="0046701F">
        <w:rPr>
          <w:rFonts w:cs="Arial"/>
          <w:color w:val="000000" w:themeColor="text1"/>
        </w:rPr>
        <w:t xml:space="preserve"> </w:t>
      </w:r>
    </w:p>
    <w:p w:rsidR="0046701F" w:rsidRDefault="0046701F" w:rsidP="0046701F">
      <w:pPr>
        <w:pStyle w:val="ListParagraph"/>
        <w:rPr>
          <w:rFonts w:cs="Arial"/>
        </w:rPr>
      </w:pPr>
    </w:p>
    <w:p w:rsidR="00B448CA" w:rsidRPr="0046701F" w:rsidRDefault="00B448CA" w:rsidP="00295280">
      <w:pPr>
        <w:numPr>
          <w:ilvl w:val="1"/>
          <w:numId w:val="6"/>
        </w:numPr>
        <w:autoSpaceDE w:val="0"/>
        <w:autoSpaceDN w:val="0"/>
        <w:adjustRightInd w:val="0"/>
        <w:ind w:left="709" w:hanging="709"/>
        <w:rPr>
          <w:rFonts w:cs="Arial"/>
          <w:color w:val="000000" w:themeColor="text1"/>
        </w:rPr>
      </w:pPr>
      <w:r w:rsidRPr="0046701F">
        <w:rPr>
          <w:rFonts w:cs="Arial"/>
          <w:b/>
        </w:rPr>
        <w:t>Staffing Issues</w:t>
      </w:r>
      <w:r w:rsidR="00583A52" w:rsidRPr="0046701F">
        <w:rPr>
          <w:rFonts w:cs="Arial"/>
        </w:rPr>
        <w:t xml:space="preserve"> </w:t>
      </w:r>
      <w:r w:rsidR="007D1D4F" w:rsidRPr="0046701F">
        <w:rPr>
          <w:rFonts w:cs="Arial"/>
        </w:rPr>
        <w:t>– No</w:t>
      </w:r>
      <w:r w:rsidR="001102BC" w:rsidRPr="0046701F">
        <w:rPr>
          <w:rFonts w:cs="Arial"/>
        </w:rPr>
        <w:t>ne</w:t>
      </w:r>
      <w:r w:rsidR="00583A52" w:rsidRPr="0046701F">
        <w:rPr>
          <w:rFonts w:cs="Arial"/>
          <w:color w:val="0000FF"/>
        </w:rPr>
        <w:t xml:space="preserve"> </w:t>
      </w:r>
    </w:p>
    <w:p w:rsidR="00E86584" w:rsidRDefault="00E86584" w:rsidP="001370FE">
      <w:pPr>
        <w:pStyle w:val="ListParagraph"/>
        <w:ind w:left="709" w:hanging="709"/>
        <w:rPr>
          <w:rFonts w:cs="Arial"/>
        </w:rPr>
      </w:pPr>
    </w:p>
    <w:p w:rsidR="00B448CA" w:rsidRDefault="00B448CA" w:rsidP="00295280">
      <w:pPr>
        <w:numPr>
          <w:ilvl w:val="1"/>
          <w:numId w:val="6"/>
        </w:numPr>
        <w:autoSpaceDE w:val="0"/>
        <w:autoSpaceDN w:val="0"/>
        <w:adjustRightInd w:val="0"/>
        <w:ind w:left="709" w:hanging="709"/>
        <w:rPr>
          <w:rFonts w:cs="Arial"/>
        </w:rPr>
      </w:pPr>
      <w:r w:rsidRPr="00E86584">
        <w:rPr>
          <w:rFonts w:cs="Arial"/>
          <w:b/>
        </w:rPr>
        <w:t>Customer Impact</w:t>
      </w:r>
      <w:r w:rsidR="001102BC" w:rsidRPr="00E86584">
        <w:rPr>
          <w:rFonts w:cs="Arial"/>
        </w:rPr>
        <w:t xml:space="preserve"> </w:t>
      </w:r>
      <w:r w:rsidR="00E86584">
        <w:rPr>
          <w:rFonts w:cs="Arial"/>
        </w:rPr>
        <w:t>–</w:t>
      </w:r>
      <w:r w:rsidR="001102BC" w:rsidRPr="00E86584">
        <w:rPr>
          <w:rFonts w:cs="Arial"/>
        </w:rPr>
        <w:t xml:space="preserve"> None</w:t>
      </w:r>
    </w:p>
    <w:p w:rsidR="00E86584" w:rsidRDefault="00E86584" w:rsidP="001370FE">
      <w:pPr>
        <w:pStyle w:val="ListParagraph"/>
        <w:ind w:left="709" w:hanging="709"/>
        <w:rPr>
          <w:rFonts w:cs="Arial"/>
        </w:rPr>
      </w:pPr>
    </w:p>
    <w:p w:rsidR="00E86584" w:rsidRDefault="00E86584" w:rsidP="00295280">
      <w:pPr>
        <w:numPr>
          <w:ilvl w:val="1"/>
          <w:numId w:val="6"/>
        </w:numPr>
        <w:autoSpaceDE w:val="0"/>
        <w:autoSpaceDN w:val="0"/>
        <w:adjustRightInd w:val="0"/>
        <w:ind w:left="709" w:hanging="709"/>
        <w:rPr>
          <w:rFonts w:cs="Arial"/>
        </w:rPr>
      </w:pPr>
      <w:r w:rsidRPr="00E86584">
        <w:rPr>
          <w:rFonts w:cs="Arial"/>
          <w:b/>
        </w:rPr>
        <w:t>Safeguarding Children-</w:t>
      </w:r>
      <w:r>
        <w:rPr>
          <w:rFonts w:cs="Arial"/>
        </w:rPr>
        <w:t xml:space="preserve"> None</w:t>
      </w:r>
    </w:p>
    <w:p w:rsidR="00E86584" w:rsidRDefault="00E86584" w:rsidP="001370FE">
      <w:pPr>
        <w:pStyle w:val="ListParagraph"/>
        <w:ind w:left="709" w:hanging="709"/>
        <w:rPr>
          <w:rFonts w:cs="Arial"/>
        </w:rPr>
      </w:pPr>
    </w:p>
    <w:p w:rsidR="00E86584" w:rsidRPr="00E86584" w:rsidRDefault="00E86584" w:rsidP="00295280">
      <w:pPr>
        <w:numPr>
          <w:ilvl w:val="1"/>
          <w:numId w:val="6"/>
        </w:numPr>
        <w:autoSpaceDE w:val="0"/>
        <w:autoSpaceDN w:val="0"/>
        <w:adjustRightInd w:val="0"/>
        <w:ind w:left="709" w:hanging="709"/>
        <w:rPr>
          <w:rFonts w:cs="Arial"/>
        </w:rPr>
      </w:pPr>
      <w:r>
        <w:rPr>
          <w:rFonts w:cs="Arial"/>
          <w:b/>
        </w:rPr>
        <w:t>Health Issues</w:t>
      </w:r>
      <w:r>
        <w:rPr>
          <w:rFonts w:cs="Arial"/>
        </w:rPr>
        <w:t xml:space="preserve"> - None</w:t>
      </w:r>
      <w:r>
        <w:rPr>
          <w:rFonts w:cs="Arial"/>
          <w:color w:val="0000FF"/>
        </w:rPr>
        <w:t xml:space="preserve">  </w:t>
      </w:r>
    </w:p>
    <w:p w:rsidR="00E86584" w:rsidRDefault="00E86584" w:rsidP="001370FE">
      <w:pPr>
        <w:pStyle w:val="ListParagraph"/>
        <w:ind w:left="709" w:hanging="709"/>
        <w:rPr>
          <w:rFonts w:cs="Arial"/>
        </w:rPr>
      </w:pPr>
    </w:p>
    <w:p w:rsidR="00E86584" w:rsidRPr="00E86584" w:rsidRDefault="00E86584" w:rsidP="00295280">
      <w:pPr>
        <w:numPr>
          <w:ilvl w:val="1"/>
          <w:numId w:val="6"/>
        </w:numPr>
        <w:autoSpaceDE w:val="0"/>
        <w:autoSpaceDN w:val="0"/>
        <w:adjustRightInd w:val="0"/>
        <w:ind w:left="709" w:hanging="709"/>
        <w:rPr>
          <w:rFonts w:cs="Arial"/>
        </w:rPr>
      </w:pPr>
      <w:r>
        <w:rPr>
          <w:rFonts w:cs="Arial"/>
          <w:b/>
        </w:rPr>
        <w:t>Crime and Disorder Issues</w:t>
      </w:r>
      <w:r>
        <w:rPr>
          <w:rFonts w:cs="Arial"/>
        </w:rPr>
        <w:t xml:space="preserve"> – None </w:t>
      </w:r>
      <w:r>
        <w:rPr>
          <w:rFonts w:cs="Arial"/>
          <w:color w:val="0000FF"/>
        </w:rPr>
        <w:t xml:space="preserve">  </w:t>
      </w:r>
    </w:p>
    <w:p w:rsidR="00E86584" w:rsidRDefault="00E86584" w:rsidP="001370FE">
      <w:pPr>
        <w:pStyle w:val="ListParagraph"/>
        <w:ind w:left="709" w:hanging="709"/>
        <w:rPr>
          <w:rFonts w:cs="Arial"/>
        </w:rPr>
      </w:pPr>
    </w:p>
    <w:p w:rsidR="00E86584" w:rsidRDefault="001601D1" w:rsidP="00295280">
      <w:pPr>
        <w:numPr>
          <w:ilvl w:val="1"/>
          <w:numId w:val="6"/>
        </w:numPr>
        <w:autoSpaceDE w:val="0"/>
        <w:autoSpaceDN w:val="0"/>
        <w:adjustRightInd w:val="0"/>
        <w:ind w:left="709" w:hanging="709"/>
        <w:rPr>
          <w:rFonts w:cs="Arial"/>
        </w:rPr>
      </w:pPr>
      <w:r>
        <w:rPr>
          <w:rFonts w:cs="Arial"/>
          <w:b/>
        </w:rPr>
        <w:t>Property / Asset Issues</w:t>
      </w:r>
      <w:r>
        <w:rPr>
          <w:rFonts w:cs="Arial"/>
        </w:rPr>
        <w:t xml:space="preserve"> – None</w:t>
      </w:r>
    </w:p>
    <w:p w:rsidR="000404CF" w:rsidRDefault="000404CF" w:rsidP="001370FE">
      <w:pPr>
        <w:autoSpaceDE w:val="0"/>
        <w:autoSpaceDN w:val="0"/>
        <w:adjustRightInd w:val="0"/>
        <w:ind w:left="709" w:hanging="709"/>
        <w:rPr>
          <w:rFonts w:cs="Arial"/>
          <w:b/>
        </w:rPr>
      </w:pPr>
    </w:p>
    <w:p w:rsidR="009D2E10" w:rsidRDefault="009D2E10" w:rsidP="001370FE">
      <w:pPr>
        <w:autoSpaceDE w:val="0"/>
        <w:autoSpaceDN w:val="0"/>
        <w:adjustRightInd w:val="0"/>
        <w:ind w:left="709" w:hanging="709"/>
        <w:rPr>
          <w:b/>
        </w:rPr>
      </w:pPr>
    </w:p>
    <w:p w:rsidR="006B0B04" w:rsidRDefault="006B0B04" w:rsidP="001370FE">
      <w:pPr>
        <w:autoSpaceDE w:val="0"/>
        <w:autoSpaceDN w:val="0"/>
        <w:adjustRightInd w:val="0"/>
        <w:ind w:left="709" w:hanging="709"/>
        <w:rPr>
          <w:b/>
        </w:rPr>
      </w:pPr>
      <w:r w:rsidRPr="007432B9">
        <w:rPr>
          <w:rFonts w:cs="Arial"/>
          <w:b/>
        </w:rPr>
        <w:t>Background Papers</w:t>
      </w:r>
      <w:r w:rsidR="007432B9" w:rsidRPr="007432B9">
        <w:rPr>
          <w:rFonts w:cs="Arial"/>
          <w:b/>
        </w:rPr>
        <w:t xml:space="preserve"> </w:t>
      </w:r>
      <w:r w:rsidR="007432B9" w:rsidRPr="007432B9">
        <w:rPr>
          <w:b/>
        </w:rPr>
        <w:t>Used in the Preparation of the Report</w:t>
      </w:r>
      <w:r w:rsidR="007432B9">
        <w:rPr>
          <w:b/>
        </w:rPr>
        <w:t>:</w:t>
      </w:r>
    </w:p>
    <w:p w:rsidR="00EA0621" w:rsidRPr="007432B9" w:rsidRDefault="00EA0621" w:rsidP="001370FE">
      <w:pPr>
        <w:autoSpaceDE w:val="0"/>
        <w:autoSpaceDN w:val="0"/>
        <w:adjustRightInd w:val="0"/>
        <w:ind w:left="709" w:hanging="709"/>
        <w:rPr>
          <w:rFonts w:cs="Arial"/>
          <w:b/>
        </w:rPr>
      </w:pPr>
    </w:p>
    <w:p w:rsidR="00237113" w:rsidRPr="00C673B3" w:rsidRDefault="00612CCC" w:rsidP="001370FE">
      <w:pPr>
        <w:ind w:left="709" w:hanging="709"/>
        <w:rPr>
          <w:rFonts w:cs="Arial"/>
          <w:color w:val="0000FF"/>
        </w:rPr>
      </w:pPr>
      <w:r>
        <w:rPr>
          <w:rFonts w:cs="Arial"/>
          <w:color w:val="000000"/>
        </w:rPr>
        <w:t xml:space="preserve">None. </w:t>
      </w:r>
    </w:p>
    <w:p w:rsidR="000F14B0" w:rsidRDefault="000F14B0" w:rsidP="001370FE">
      <w:pPr>
        <w:autoSpaceDE w:val="0"/>
        <w:autoSpaceDN w:val="0"/>
        <w:adjustRightInd w:val="0"/>
        <w:ind w:left="709" w:hanging="709"/>
        <w:rPr>
          <w:rFonts w:cs="Arial"/>
          <w:b/>
        </w:rPr>
      </w:pPr>
    </w:p>
    <w:p w:rsidR="00E22338" w:rsidRDefault="000F14B0" w:rsidP="003413C8">
      <w:pPr>
        <w:autoSpaceDE w:val="0"/>
        <w:autoSpaceDN w:val="0"/>
        <w:adjustRightInd w:val="0"/>
        <w:rPr>
          <w:b/>
        </w:rPr>
      </w:pPr>
      <w:r>
        <w:rPr>
          <w:rFonts w:cs="Arial"/>
          <w:b/>
        </w:rPr>
        <w:t>List of appendices</w:t>
      </w:r>
      <w:r>
        <w:rPr>
          <w:b/>
        </w:rPr>
        <w:t>:</w:t>
      </w:r>
    </w:p>
    <w:p w:rsidR="002815B1" w:rsidRDefault="002815B1" w:rsidP="003413C8">
      <w:pPr>
        <w:autoSpaceDE w:val="0"/>
        <w:autoSpaceDN w:val="0"/>
        <w:adjustRightInd w:val="0"/>
        <w:rPr>
          <w:b/>
        </w:rPr>
      </w:pPr>
    </w:p>
    <w:p w:rsidR="00677070" w:rsidRDefault="00677070" w:rsidP="00677070">
      <w:pPr>
        <w:autoSpaceDE w:val="0"/>
        <w:autoSpaceDN w:val="0"/>
        <w:adjustRightInd w:val="0"/>
        <w:rPr>
          <w:rFonts w:cs="Arial"/>
        </w:rPr>
      </w:pPr>
      <w:r>
        <w:rPr>
          <w:rFonts w:cs="Arial"/>
        </w:rPr>
        <w:t xml:space="preserve">Appendix A – </w:t>
      </w:r>
      <w:r w:rsidR="00391199">
        <w:rPr>
          <w:rFonts w:cs="Arial"/>
        </w:rPr>
        <w:t>Summary of Final Model’s Key figures</w:t>
      </w:r>
    </w:p>
    <w:p w:rsidR="002815B1" w:rsidRDefault="002815B1" w:rsidP="002815B1">
      <w:pPr>
        <w:jc w:val="both"/>
        <w:rPr>
          <w:b/>
        </w:rPr>
      </w:pPr>
    </w:p>
    <w:p w:rsidR="002815B1" w:rsidRDefault="002815B1" w:rsidP="002815B1">
      <w:pPr>
        <w:jc w:val="both"/>
      </w:pPr>
      <w:r w:rsidRPr="00191E9D">
        <w:t xml:space="preserve">Appendix </w:t>
      </w:r>
      <w:r w:rsidR="00677070">
        <w:t>B</w:t>
      </w:r>
      <w:r w:rsidR="00391199">
        <w:t xml:space="preserve"> </w:t>
      </w:r>
      <w:r>
        <w:t xml:space="preserve">– Final School Funding </w:t>
      </w:r>
      <w:r w:rsidRPr="00EB4B0F">
        <w:t xml:space="preserve">Model </w:t>
      </w:r>
      <w:r>
        <w:t>201</w:t>
      </w:r>
      <w:r w:rsidR="00391199">
        <w:t>8</w:t>
      </w:r>
      <w:r>
        <w:t>-1</w:t>
      </w:r>
      <w:r w:rsidR="00391199">
        <w:t>9</w:t>
      </w:r>
      <w:r>
        <w:t xml:space="preserve"> </w:t>
      </w:r>
    </w:p>
    <w:p w:rsidR="001E3CC4" w:rsidRDefault="001E3CC4" w:rsidP="002815B1">
      <w:pPr>
        <w:jc w:val="both"/>
      </w:pPr>
    </w:p>
    <w:p w:rsidR="001E3CC4" w:rsidRDefault="001E3CC4" w:rsidP="002815B1">
      <w:pPr>
        <w:jc w:val="both"/>
      </w:pPr>
      <w:r>
        <w:t>Appendix C – Central Schools Services Block</w:t>
      </w:r>
    </w:p>
    <w:p w:rsidR="00A31D5E" w:rsidRDefault="00A31D5E" w:rsidP="002815B1">
      <w:pPr>
        <w:jc w:val="both"/>
      </w:pPr>
    </w:p>
    <w:p w:rsidR="00EB4B0F" w:rsidRDefault="00EB4B0F" w:rsidP="00EB4B0F">
      <w:pPr>
        <w:jc w:val="both"/>
      </w:pPr>
    </w:p>
    <w:p w:rsidR="00191E9D" w:rsidRDefault="00191E9D" w:rsidP="00C432D9">
      <w:pPr>
        <w:jc w:val="both"/>
      </w:pPr>
    </w:p>
    <w:p w:rsidR="009A2052" w:rsidRDefault="009A2052" w:rsidP="00191E9D"/>
    <w:p w:rsidR="009A2052" w:rsidRDefault="009A2052" w:rsidP="00191E9D"/>
    <w:p w:rsidR="007100A3" w:rsidRDefault="007100A3" w:rsidP="00191E9D"/>
    <w:p w:rsidR="00FF6CC0" w:rsidRDefault="00FF6CC0" w:rsidP="00191E9D">
      <w:pPr>
        <w:rPr>
          <w:rFonts w:cs="Arial"/>
        </w:rPr>
      </w:pPr>
    </w:p>
    <w:sectPr w:rsidR="00FF6CC0" w:rsidSect="003617A5">
      <w:footerReference w:type="default" r:id="rId11"/>
      <w:pgSz w:w="11909" w:h="16834" w:code="9"/>
      <w:pgMar w:top="851" w:right="1134" w:bottom="1134" w:left="113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344" w:rsidRDefault="005B2344">
      <w:r>
        <w:separator/>
      </w:r>
    </w:p>
  </w:endnote>
  <w:endnote w:type="continuationSeparator" w:id="0">
    <w:p w:rsidR="005B2344" w:rsidRDefault="005B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344" w:rsidRDefault="005B2344">
    <w:pPr>
      <w:pStyle w:val="Footer"/>
      <w:jc w:val="center"/>
    </w:pPr>
    <w:r>
      <w:fldChar w:fldCharType="begin"/>
    </w:r>
    <w:r>
      <w:instrText xml:space="preserve"> PAGE   \* MERGEFORMAT </w:instrText>
    </w:r>
    <w:r>
      <w:fldChar w:fldCharType="separate"/>
    </w:r>
    <w:r w:rsidR="00CA01AA">
      <w:rPr>
        <w:noProof/>
      </w:rPr>
      <w:t>8</w:t>
    </w:r>
    <w:r>
      <w:rPr>
        <w:noProof/>
      </w:rPr>
      <w:fldChar w:fldCharType="end"/>
    </w:r>
  </w:p>
  <w:p w:rsidR="005B2344" w:rsidRDefault="005B2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344" w:rsidRDefault="005B2344">
      <w:r>
        <w:separator/>
      </w:r>
    </w:p>
  </w:footnote>
  <w:footnote w:type="continuationSeparator" w:id="0">
    <w:p w:rsidR="005B2344" w:rsidRDefault="005B2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A29"/>
    <w:multiLevelType w:val="multilevel"/>
    <w:tmpl w:val="BE600BC8"/>
    <w:lvl w:ilvl="0">
      <w:start w:val="1"/>
      <w:numFmt w:val="decimal"/>
      <w:pStyle w:val="Level1"/>
      <w:lvlText w:val="%1."/>
      <w:lvlJc w:val="left"/>
      <w:pPr>
        <w:tabs>
          <w:tab w:val="num" w:pos="1626"/>
        </w:tabs>
        <w:ind w:left="1626" w:hanging="1200"/>
      </w:pPr>
      <w:rPr>
        <w:rFonts w:hint="default"/>
        <w:b w:val="0"/>
        <w:i w:val="0"/>
        <w:caps w:val="0"/>
        <w:strike w:val="0"/>
        <w:dstrike w:val="0"/>
        <w:vanish w:val="0"/>
        <w:color w:val="0070C0"/>
        <w:sz w:val="30"/>
        <w:szCs w:val="30"/>
        <w:u w:val="none"/>
        <w:vertAlign w:val="baseline"/>
      </w:rPr>
    </w:lvl>
    <w:lvl w:ilvl="1">
      <w:start w:val="1"/>
      <w:numFmt w:val="decimal"/>
      <w:pStyle w:val="Level2"/>
      <w:lvlText w:val="%1.%2."/>
      <w:lvlJc w:val="left"/>
      <w:pPr>
        <w:tabs>
          <w:tab w:val="num" w:pos="1342"/>
        </w:tabs>
        <w:ind w:left="1342" w:hanging="1200"/>
      </w:pPr>
      <w:rPr>
        <w:rFonts w:cs="Times New Roman"/>
        <w:b w:val="0"/>
        <w:bCs w:val="0"/>
        <w:i w:val="0"/>
        <w:iCs w:val="0"/>
        <w:caps w:val="0"/>
        <w:smallCaps w:val="0"/>
        <w:strike w:val="0"/>
        <w:dstrike w:val="0"/>
        <w:noProof w:val="0"/>
        <w:vanish w:val="0"/>
        <w:color w:val="262626"/>
        <w:spacing w:val="0"/>
        <w:kern w:val="0"/>
        <w:position w:val="0"/>
        <w:u w:val="none"/>
        <w:vertAlign w:val="baseline"/>
        <w:em w:val="none"/>
      </w:rPr>
    </w:lvl>
    <w:lvl w:ilvl="2">
      <w:start w:val="1"/>
      <w:numFmt w:val="decimal"/>
      <w:lvlText w:val="%1.%2.%3."/>
      <w:lvlJc w:val="left"/>
      <w:pPr>
        <w:tabs>
          <w:tab w:val="num" w:pos="1626"/>
        </w:tabs>
        <w:ind w:left="1626" w:hanging="1200"/>
      </w:pPr>
      <w:rPr>
        <w:rFonts w:hint="default"/>
        <w:b w:val="0"/>
        <w:i w:val="0"/>
        <w:caps w:val="0"/>
        <w:strike w:val="0"/>
        <w:dstrike w:val="0"/>
        <w:vanish w:val="0"/>
        <w:color w:val="323232"/>
        <w:sz w:val="22"/>
        <w:u w:val="none"/>
        <w:vertAlign w:val="baseline"/>
      </w:rPr>
    </w:lvl>
    <w:lvl w:ilvl="3">
      <w:start w:val="1"/>
      <w:numFmt w:val="bullet"/>
      <w:lvlText w:val=""/>
      <w:lvlJc w:val="left"/>
      <w:pPr>
        <w:tabs>
          <w:tab w:val="num" w:pos="1226"/>
        </w:tabs>
        <w:ind w:left="1226" w:hanging="400"/>
      </w:pPr>
      <w:rPr>
        <w:rFonts w:ascii="Symbol" w:hAnsi="Symbol" w:hint="default"/>
        <w:color w:val="auto"/>
      </w:rPr>
    </w:lvl>
    <w:lvl w:ilvl="4">
      <w:start w:val="1"/>
      <w:numFmt w:val="decimal"/>
      <w:lvlText w:val="%1.%2.%3.%4.%5."/>
      <w:lvlJc w:val="left"/>
      <w:pPr>
        <w:tabs>
          <w:tab w:val="num" w:pos="3306"/>
        </w:tabs>
        <w:ind w:left="2658" w:hanging="792"/>
      </w:pPr>
      <w:rPr>
        <w:rFonts w:hint="default"/>
      </w:rPr>
    </w:lvl>
    <w:lvl w:ilvl="5">
      <w:start w:val="1"/>
      <w:numFmt w:val="decimal"/>
      <w:lvlText w:val="%1.%2.%3.%4.%5.%6."/>
      <w:lvlJc w:val="left"/>
      <w:pPr>
        <w:tabs>
          <w:tab w:val="num" w:pos="4026"/>
        </w:tabs>
        <w:ind w:left="3162" w:hanging="936"/>
      </w:pPr>
      <w:rPr>
        <w:rFonts w:hint="default"/>
      </w:rPr>
    </w:lvl>
    <w:lvl w:ilvl="6">
      <w:start w:val="1"/>
      <w:numFmt w:val="decimal"/>
      <w:lvlText w:val="%1.%2.%3.%4.%5.%6.%7."/>
      <w:lvlJc w:val="left"/>
      <w:pPr>
        <w:tabs>
          <w:tab w:val="num" w:pos="4746"/>
        </w:tabs>
        <w:ind w:left="3666" w:hanging="1080"/>
      </w:pPr>
      <w:rPr>
        <w:rFonts w:hint="default"/>
      </w:rPr>
    </w:lvl>
    <w:lvl w:ilvl="7">
      <w:start w:val="1"/>
      <w:numFmt w:val="decimal"/>
      <w:lvlText w:val="%1.%2.%3.%4.%5.%6.%7.%8."/>
      <w:lvlJc w:val="left"/>
      <w:pPr>
        <w:tabs>
          <w:tab w:val="num" w:pos="5466"/>
        </w:tabs>
        <w:ind w:left="4170" w:hanging="1224"/>
      </w:pPr>
      <w:rPr>
        <w:rFonts w:hint="default"/>
      </w:rPr>
    </w:lvl>
    <w:lvl w:ilvl="8">
      <w:start w:val="1"/>
      <w:numFmt w:val="decimal"/>
      <w:lvlText w:val="%1.%2.%3.%4.%5.%6.%7.%8.%9."/>
      <w:lvlJc w:val="left"/>
      <w:pPr>
        <w:tabs>
          <w:tab w:val="num" w:pos="6186"/>
        </w:tabs>
        <w:ind w:left="4746" w:hanging="1440"/>
      </w:pPr>
      <w:rPr>
        <w:rFonts w:hint="default"/>
      </w:rPr>
    </w:lvl>
  </w:abstractNum>
  <w:abstractNum w:abstractNumId="1" w15:restartNumberingAfterBreak="0">
    <w:nsid w:val="043B7E1E"/>
    <w:multiLevelType w:val="hybridMultilevel"/>
    <w:tmpl w:val="807A254C"/>
    <w:lvl w:ilvl="0" w:tplc="0809001B">
      <w:start w:val="1"/>
      <w:numFmt w:val="lowerRoman"/>
      <w:lvlText w:val="%1."/>
      <w:lvlJc w:val="righ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8D0415"/>
    <w:multiLevelType w:val="hybridMultilevel"/>
    <w:tmpl w:val="EBC68F64"/>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B4535B"/>
    <w:multiLevelType w:val="hybridMultilevel"/>
    <w:tmpl w:val="12D00E06"/>
    <w:lvl w:ilvl="0" w:tplc="ED50A05A">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15986"/>
    <w:multiLevelType w:val="multilevel"/>
    <w:tmpl w:val="423A1A44"/>
    <w:lvl w:ilvl="0">
      <w:start w:val="11"/>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35DF5B50"/>
    <w:multiLevelType w:val="multilevel"/>
    <w:tmpl w:val="62BA1742"/>
    <w:lvl w:ilvl="0">
      <w:start w:val="1"/>
      <w:numFmt w:val="decimal"/>
      <w:lvlText w:val="%1."/>
      <w:lvlJc w:val="left"/>
      <w:pPr>
        <w:ind w:left="1713" w:hanging="720"/>
      </w:pPr>
      <w:rPr>
        <w:rFonts w:ascii="Arial" w:eastAsia="Times New Roman" w:hAnsi="Arial" w:cs="Arial"/>
      </w:rPr>
    </w:lvl>
    <w:lvl w:ilvl="1">
      <w:start w:val="2"/>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 w15:restartNumberingAfterBreak="0">
    <w:nsid w:val="39D71CBA"/>
    <w:multiLevelType w:val="hybridMultilevel"/>
    <w:tmpl w:val="3CD8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E045A9"/>
    <w:multiLevelType w:val="multilevel"/>
    <w:tmpl w:val="247647C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4033C6A"/>
    <w:multiLevelType w:val="hybridMultilevel"/>
    <w:tmpl w:val="D4C4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B21C8"/>
    <w:multiLevelType w:val="hybridMultilevel"/>
    <w:tmpl w:val="B51A53F4"/>
    <w:lvl w:ilvl="0" w:tplc="A2C621D0">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EEF36A3"/>
    <w:multiLevelType w:val="multilevel"/>
    <w:tmpl w:val="F1B07ED8"/>
    <w:lvl w:ilvl="0">
      <w:start w:val="2"/>
      <w:numFmt w:val="decimal"/>
      <w:lvlText w:val="%1."/>
      <w:lvlJc w:val="left"/>
      <w:pPr>
        <w:ind w:left="1430" w:hanging="720"/>
      </w:pPr>
      <w:rPr>
        <w:rFonts w:ascii="Arial" w:eastAsia="Times New Roman" w:hAnsi="Arial" w:cs="Arial"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15:restartNumberingAfterBreak="0">
    <w:nsid w:val="616118B3"/>
    <w:multiLevelType w:val="multilevel"/>
    <w:tmpl w:val="7726681C"/>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CE3AC9"/>
    <w:multiLevelType w:val="multilevel"/>
    <w:tmpl w:val="FAAE93F4"/>
    <w:lvl w:ilvl="0">
      <w:start w:val="10"/>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9905F2C"/>
    <w:multiLevelType w:val="hybridMultilevel"/>
    <w:tmpl w:val="85D49FB8"/>
    <w:lvl w:ilvl="0" w:tplc="A2C62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3D727D"/>
    <w:multiLevelType w:val="hybridMultilevel"/>
    <w:tmpl w:val="F9B65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E490FEE"/>
    <w:multiLevelType w:val="multilevel"/>
    <w:tmpl w:val="89E47D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14"/>
  </w:num>
  <w:num w:numId="4">
    <w:abstractNumId w:val="5"/>
  </w:num>
  <w:num w:numId="5">
    <w:abstractNumId w:val="0"/>
  </w:num>
  <w:num w:numId="6">
    <w:abstractNumId w:val="3"/>
  </w:num>
  <w:num w:numId="7">
    <w:abstractNumId w:val="6"/>
  </w:num>
  <w:num w:numId="8">
    <w:abstractNumId w:val="9"/>
  </w:num>
  <w:num w:numId="9">
    <w:abstractNumId w:val="10"/>
  </w:num>
  <w:num w:numId="10">
    <w:abstractNumId w:val="15"/>
  </w:num>
  <w:num w:numId="11">
    <w:abstractNumId w:val="12"/>
  </w:num>
  <w:num w:numId="12">
    <w:abstractNumId w:val="4"/>
  </w:num>
  <w:num w:numId="13">
    <w:abstractNumId w:val="1"/>
  </w:num>
  <w:num w:numId="14">
    <w:abstractNumId w:val="2"/>
  </w:num>
  <w:num w:numId="15">
    <w:abstractNumId w:val="16"/>
  </w:num>
  <w:num w:numId="16">
    <w:abstractNumId w:val="13"/>
  </w:num>
  <w:num w:numId="1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FF"/>
    <w:rsid w:val="00002AF8"/>
    <w:rsid w:val="00005B71"/>
    <w:rsid w:val="00006DA9"/>
    <w:rsid w:val="00007D7B"/>
    <w:rsid w:val="00010185"/>
    <w:rsid w:val="0001592B"/>
    <w:rsid w:val="00017940"/>
    <w:rsid w:val="00021BBF"/>
    <w:rsid w:val="00021BED"/>
    <w:rsid w:val="000249EC"/>
    <w:rsid w:val="0002531C"/>
    <w:rsid w:val="00025EA0"/>
    <w:rsid w:val="00026914"/>
    <w:rsid w:val="000310B7"/>
    <w:rsid w:val="000318AC"/>
    <w:rsid w:val="0003456B"/>
    <w:rsid w:val="00034678"/>
    <w:rsid w:val="00034AAA"/>
    <w:rsid w:val="00036181"/>
    <w:rsid w:val="000365CD"/>
    <w:rsid w:val="000404CF"/>
    <w:rsid w:val="000413B1"/>
    <w:rsid w:val="00042094"/>
    <w:rsid w:val="00043B61"/>
    <w:rsid w:val="00043C82"/>
    <w:rsid w:val="00047C2C"/>
    <w:rsid w:val="00051382"/>
    <w:rsid w:val="00051F08"/>
    <w:rsid w:val="0005699A"/>
    <w:rsid w:val="00063181"/>
    <w:rsid w:val="00064AE1"/>
    <w:rsid w:val="00072940"/>
    <w:rsid w:val="00072AF4"/>
    <w:rsid w:val="00075390"/>
    <w:rsid w:val="00076174"/>
    <w:rsid w:val="000816B4"/>
    <w:rsid w:val="000820BD"/>
    <w:rsid w:val="000839E0"/>
    <w:rsid w:val="000842DC"/>
    <w:rsid w:val="00094439"/>
    <w:rsid w:val="00094667"/>
    <w:rsid w:val="00097034"/>
    <w:rsid w:val="000973FA"/>
    <w:rsid w:val="0009760F"/>
    <w:rsid w:val="000A0018"/>
    <w:rsid w:val="000A4E4C"/>
    <w:rsid w:val="000A5CEC"/>
    <w:rsid w:val="000A66D7"/>
    <w:rsid w:val="000B0001"/>
    <w:rsid w:val="000B3C9B"/>
    <w:rsid w:val="000B4DC8"/>
    <w:rsid w:val="000B7DB1"/>
    <w:rsid w:val="000C0C31"/>
    <w:rsid w:val="000C1A29"/>
    <w:rsid w:val="000C1D38"/>
    <w:rsid w:val="000C2344"/>
    <w:rsid w:val="000C5C0F"/>
    <w:rsid w:val="000C62C5"/>
    <w:rsid w:val="000D030E"/>
    <w:rsid w:val="000D05CB"/>
    <w:rsid w:val="000D2F6E"/>
    <w:rsid w:val="000D55A6"/>
    <w:rsid w:val="000D5779"/>
    <w:rsid w:val="000D5787"/>
    <w:rsid w:val="000D7DC8"/>
    <w:rsid w:val="000E20BD"/>
    <w:rsid w:val="000E2EA0"/>
    <w:rsid w:val="000E3D31"/>
    <w:rsid w:val="000E5DAE"/>
    <w:rsid w:val="000E7B9F"/>
    <w:rsid w:val="000F14B0"/>
    <w:rsid w:val="000F281E"/>
    <w:rsid w:val="001015A7"/>
    <w:rsid w:val="001017C9"/>
    <w:rsid w:val="00102BB7"/>
    <w:rsid w:val="00103630"/>
    <w:rsid w:val="001059DE"/>
    <w:rsid w:val="001060BA"/>
    <w:rsid w:val="001102BC"/>
    <w:rsid w:val="00115B41"/>
    <w:rsid w:val="00116B4F"/>
    <w:rsid w:val="00117262"/>
    <w:rsid w:val="0011747C"/>
    <w:rsid w:val="0012128A"/>
    <w:rsid w:val="00121534"/>
    <w:rsid w:val="0012179E"/>
    <w:rsid w:val="00123C9C"/>
    <w:rsid w:val="00124287"/>
    <w:rsid w:val="00127C01"/>
    <w:rsid w:val="00130919"/>
    <w:rsid w:val="0013164F"/>
    <w:rsid w:val="00133834"/>
    <w:rsid w:val="0013439C"/>
    <w:rsid w:val="00136D34"/>
    <w:rsid w:val="001370FE"/>
    <w:rsid w:val="00137D48"/>
    <w:rsid w:val="00140325"/>
    <w:rsid w:val="001408AF"/>
    <w:rsid w:val="00141508"/>
    <w:rsid w:val="00141BCF"/>
    <w:rsid w:val="00142E26"/>
    <w:rsid w:val="00145BDB"/>
    <w:rsid w:val="00146296"/>
    <w:rsid w:val="00150277"/>
    <w:rsid w:val="00154EB3"/>
    <w:rsid w:val="001556CA"/>
    <w:rsid w:val="00155F07"/>
    <w:rsid w:val="001601D1"/>
    <w:rsid w:val="00161DD3"/>
    <w:rsid w:val="001620F2"/>
    <w:rsid w:val="001623F6"/>
    <w:rsid w:val="00165486"/>
    <w:rsid w:val="00165B3C"/>
    <w:rsid w:val="00166E5E"/>
    <w:rsid w:val="00176AB6"/>
    <w:rsid w:val="00176C17"/>
    <w:rsid w:val="0018172B"/>
    <w:rsid w:val="0018490C"/>
    <w:rsid w:val="001874DF"/>
    <w:rsid w:val="00191E7E"/>
    <w:rsid w:val="00191E9D"/>
    <w:rsid w:val="0019228B"/>
    <w:rsid w:val="001924BF"/>
    <w:rsid w:val="00193BDC"/>
    <w:rsid w:val="00196460"/>
    <w:rsid w:val="00197808"/>
    <w:rsid w:val="001978A2"/>
    <w:rsid w:val="001A2041"/>
    <w:rsid w:val="001A2280"/>
    <w:rsid w:val="001A26C2"/>
    <w:rsid w:val="001A3C41"/>
    <w:rsid w:val="001B2632"/>
    <w:rsid w:val="001B2F12"/>
    <w:rsid w:val="001B47A6"/>
    <w:rsid w:val="001B56CC"/>
    <w:rsid w:val="001B6318"/>
    <w:rsid w:val="001B7D7D"/>
    <w:rsid w:val="001C0B0D"/>
    <w:rsid w:val="001C72A2"/>
    <w:rsid w:val="001D2EF5"/>
    <w:rsid w:val="001D530B"/>
    <w:rsid w:val="001D5F19"/>
    <w:rsid w:val="001D622F"/>
    <w:rsid w:val="001E0514"/>
    <w:rsid w:val="001E0ED9"/>
    <w:rsid w:val="001E3036"/>
    <w:rsid w:val="001E37C2"/>
    <w:rsid w:val="001E3CC4"/>
    <w:rsid w:val="001E436C"/>
    <w:rsid w:val="001E5AFB"/>
    <w:rsid w:val="001E6232"/>
    <w:rsid w:val="001E7623"/>
    <w:rsid w:val="001F065B"/>
    <w:rsid w:val="001F0959"/>
    <w:rsid w:val="001F1E59"/>
    <w:rsid w:val="001F208A"/>
    <w:rsid w:val="001F2368"/>
    <w:rsid w:val="0020083A"/>
    <w:rsid w:val="00200F1B"/>
    <w:rsid w:val="00204510"/>
    <w:rsid w:val="00205671"/>
    <w:rsid w:val="00206B8C"/>
    <w:rsid w:val="0021058F"/>
    <w:rsid w:val="00211F72"/>
    <w:rsid w:val="00215C52"/>
    <w:rsid w:val="00216EBD"/>
    <w:rsid w:val="0021756D"/>
    <w:rsid w:val="002201F0"/>
    <w:rsid w:val="0022335E"/>
    <w:rsid w:val="002245EE"/>
    <w:rsid w:val="00225E0C"/>
    <w:rsid w:val="00226594"/>
    <w:rsid w:val="0022706D"/>
    <w:rsid w:val="00230EA1"/>
    <w:rsid w:val="002329C6"/>
    <w:rsid w:val="00234E6C"/>
    <w:rsid w:val="00237113"/>
    <w:rsid w:val="00240ECA"/>
    <w:rsid w:val="0024162A"/>
    <w:rsid w:val="00242390"/>
    <w:rsid w:val="00242399"/>
    <w:rsid w:val="00243460"/>
    <w:rsid w:val="002434F6"/>
    <w:rsid w:val="00243E12"/>
    <w:rsid w:val="002473FC"/>
    <w:rsid w:val="00247A48"/>
    <w:rsid w:val="00250D54"/>
    <w:rsid w:val="00251787"/>
    <w:rsid w:val="002522E2"/>
    <w:rsid w:val="00252416"/>
    <w:rsid w:val="00261196"/>
    <w:rsid w:val="00264A9B"/>
    <w:rsid w:val="00264E80"/>
    <w:rsid w:val="002669D3"/>
    <w:rsid w:val="00271B83"/>
    <w:rsid w:val="00273F31"/>
    <w:rsid w:val="00275541"/>
    <w:rsid w:val="00276076"/>
    <w:rsid w:val="00276251"/>
    <w:rsid w:val="0027680C"/>
    <w:rsid w:val="002804CF"/>
    <w:rsid w:val="00280EC4"/>
    <w:rsid w:val="002815B1"/>
    <w:rsid w:val="00281849"/>
    <w:rsid w:val="002846E7"/>
    <w:rsid w:val="002855A5"/>
    <w:rsid w:val="0028601B"/>
    <w:rsid w:val="00292AD7"/>
    <w:rsid w:val="00293137"/>
    <w:rsid w:val="00294D66"/>
    <w:rsid w:val="00295067"/>
    <w:rsid w:val="00295280"/>
    <w:rsid w:val="002A1ECE"/>
    <w:rsid w:val="002A2FA5"/>
    <w:rsid w:val="002A3699"/>
    <w:rsid w:val="002A4F18"/>
    <w:rsid w:val="002B11B5"/>
    <w:rsid w:val="002B1A9D"/>
    <w:rsid w:val="002B1E30"/>
    <w:rsid w:val="002B1F79"/>
    <w:rsid w:val="002B402B"/>
    <w:rsid w:val="002C02D2"/>
    <w:rsid w:val="002C161D"/>
    <w:rsid w:val="002C1B17"/>
    <w:rsid w:val="002C20C7"/>
    <w:rsid w:val="002C32ED"/>
    <w:rsid w:val="002D01CD"/>
    <w:rsid w:val="002D4818"/>
    <w:rsid w:val="002D49EE"/>
    <w:rsid w:val="002D5B3F"/>
    <w:rsid w:val="002D5ECC"/>
    <w:rsid w:val="002D6FBC"/>
    <w:rsid w:val="002D7809"/>
    <w:rsid w:val="002E1B29"/>
    <w:rsid w:val="002E3116"/>
    <w:rsid w:val="002E4908"/>
    <w:rsid w:val="002E7EC2"/>
    <w:rsid w:val="002F090F"/>
    <w:rsid w:val="002F0963"/>
    <w:rsid w:val="002F1DAF"/>
    <w:rsid w:val="002F3DC6"/>
    <w:rsid w:val="002F3F9A"/>
    <w:rsid w:val="002F61B6"/>
    <w:rsid w:val="002F756C"/>
    <w:rsid w:val="002F76FB"/>
    <w:rsid w:val="002F7DBC"/>
    <w:rsid w:val="0030133F"/>
    <w:rsid w:val="003019D7"/>
    <w:rsid w:val="00301D4F"/>
    <w:rsid w:val="00303B06"/>
    <w:rsid w:val="00304EE1"/>
    <w:rsid w:val="00304F5B"/>
    <w:rsid w:val="00307168"/>
    <w:rsid w:val="00310E2C"/>
    <w:rsid w:val="003121E6"/>
    <w:rsid w:val="003128DF"/>
    <w:rsid w:val="00313462"/>
    <w:rsid w:val="00314DE9"/>
    <w:rsid w:val="003150DD"/>
    <w:rsid w:val="003161E4"/>
    <w:rsid w:val="00316BAA"/>
    <w:rsid w:val="00317452"/>
    <w:rsid w:val="00317B0D"/>
    <w:rsid w:val="00320183"/>
    <w:rsid w:val="00320E9A"/>
    <w:rsid w:val="00324560"/>
    <w:rsid w:val="00325B4D"/>
    <w:rsid w:val="003264B9"/>
    <w:rsid w:val="00326A4D"/>
    <w:rsid w:val="00331B0A"/>
    <w:rsid w:val="003333C3"/>
    <w:rsid w:val="00334B9F"/>
    <w:rsid w:val="00336997"/>
    <w:rsid w:val="003413C8"/>
    <w:rsid w:val="003462DC"/>
    <w:rsid w:val="00346BB9"/>
    <w:rsid w:val="00350D3D"/>
    <w:rsid w:val="00351CE3"/>
    <w:rsid w:val="00352659"/>
    <w:rsid w:val="00356655"/>
    <w:rsid w:val="003568BF"/>
    <w:rsid w:val="00356AE5"/>
    <w:rsid w:val="003617A5"/>
    <w:rsid w:val="003632EF"/>
    <w:rsid w:val="00371F4D"/>
    <w:rsid w:val="00375509"/>
    <w:rsid w:val="003776E0"/>
    <w:rsid w:val="0038132C"/>
    <w:rsid w:val="00381481"/>
    <w:rsid w:val="00381F2E"/>
    <w:rsid w:val="00382AB6"/>
    <w:rsid w:val="00382D58"/>
    <w:rsid w:val="00383EA6"/>
    <w:rsid w:val="003849C5"/>
    <w:rsid w:val="00385B4A"/>
    <w:rsid w:val="00385DAE"/>
    <w:rsid w:val="00385FC8"/>
    <w:rsid w:val="00386093"/>
    <w:rsid w:val="0038769D"/>
    <w:rsid w:val="00391199"/>
    <w:rsid w:val="00394FC1"/>
    <w:rsid w:val="00395640"/>
    <w:rsid w:val="003959C8"/>
    <w:rsid w:val="003965D7"/>
    <w:rsid w:val="003A2322"/>
    <w:rsid w:val="003A44FA"/>
    <w:rsid w:val="003A5C3F"/>
    <w:rsid w:val="003B09E2"/>
    <w:rsid w:val="003B18E3"/>
    <w:rsid w:val="003B2ED6"/>
    <w:rsid w:val="003B6610"/>
    <w:rsid w:val="003C0695"/>
    <w:rsid w:val="003C0B67"/>
    <w:rsid w:val="003C16AB"/>
    <w:rsid w:val="003C3C1E"/>
    <w:rsid w:val="003C5F14"/>
    <w:rsid w:val="003C7A27"/>
    <w:rsid w:val="003D0435"/>
    <w:rsid w:val="003D07B7"/>
    <w:rsid w:val="003D10E0"/>
    <w:rsid w:val="003D1295"/>
    <w:rsid w:val="003D1E77"/>
    <w:rsid w:val="003D2040"/>
    <w:rsid w:val="003D4384"/>
    <w:rsid w:val="003D4495"/>
    <w:rsid w:val="003D5FC7"/>
    <w:rsid w:val="003D6D4B"/>
    <w:rsid w:val="003E2EDE"/>
    <w:rsid w:val="003E4848"/>
    <w:rsid w:val="003E4E2F"/>
    <w:rsid w:val="003E5069"/>
    <w:rsid w:val="003E6631"/>
    <w:rsid w:val="003E71A4"/>
    <w:rsid w:val="003F016C"/>
    <w:rsid w:val="003F2A45"/>
    <w:rsid w:val="003F5680"/>
    <w:rsid w:val="003F6B28"/>
    <w:rsid w:val="003F7012"/>
    <w:rsid w:val="00401DEB"/>
    <w:rsid w:val="00402C6B"/>
    <w:rsid w:val="00403751"/>
    <w:rsid w:val="00405AD1"/>
    <w:rsid w:val="0040697B"/>
    <w:rsid w:val="00407E26"/>
    <w:rsid w:val="00411851"/>
    <w:rsid w:val="0041533E"/>
    <w:rsid w:val="00416034"/>
    <w:rsid w:val="00416CD5"/>
    <w:rsid w:val="00417FE5"/>
    <w:rsid w:val="00422023"/>
    <w:rsid w:val="0042253F"/>
    <w:rsid w:val="00423313"/>
    <w:rsid w:val="00424A8E"/>
    <w:rsid w:val="00426024"/>
    <w:rsid w:val="00431891"/>
    <w:rsid w:val="00432DCB"/>
    <w:rsid w:val="0043366B"/>
    <w:rsid w:val="00433B2F"/>
    <w:rsid w:val="00435B81"/>
    <w:rsid w:val="00435B99"/>
    <w:rsid w:val="0044005E"/>
    <w:rsid w:val="00443BBE"/>
    <w:rsid w:val="00446A1D"/>
    <w:rsid w:val="00447DB7"/>
    <w:rsid w:val="0045048E"/>
    <w:rsid w:val="00450580"/>
    <w:rsid w:val="00452879"/>
    <w:rsid w:val="00452DE4"/>
    <w:rsid w:val="00454E9F"/>
    <w:rsid w:val="00456C9A"/>
    <w:rsid w:val="00457CF5"/>
    <w:rsid w:val="00460710"/>
    <w:rsid w:val="004616F0"/>
    <w:rsid w:val="00461800"/>
    <w:rsid w:val="00461EAD"/>
    <w:rsid w:val="00462371"/>
    <w:rsid w:val="00465DD5"/>
    <w:rsid w:val="004667B4"/>
    <w:rsid w:val="0046701F"/>
    <w:rsid w:val="004755AB"/>
    <w:rsid w:val="004760F2"/>
    <w:rsid w:val="0047630A"/>
    <w:rsid w:val="00476508"/>
    <w:rsid w:val="004779AE"/>
    <w:rsid w:val="00480750"/>
    <w:rsid w:val="00481B43"/>
    <w:rsid w:val="0048238A"/>
    <w:rsid w:val="004825B1"/>
    <w:rsid w:val="00482983"/>
    <w:rsid w:val="0048497C"/>
    <w:rsid w:val="00485CE3"/>
    <w:rsid w:val="00486F3B"/>
    <w:rsid w:val="004912CD"/>
    <w:rsid w:val="0049174F"/>
    <w:rsid w:val="0049210C"/>
    <w:rsid w:val="0049251A"/>
    <w:rsid w:val="00495974"/>
    <w:rsid w:val="00496936"/>
    <w:rsid w:val="00496CE0"/>
    <w:rsid w:val="00497A3A"/>
    <w:rsid w:val="004A0E44"/>
    <w:rsid w:val="004A56E6"/>
    <w:rsid w:val="004A6E84"/>
    <w:rsid w:val="004B4294"/>
    <w:rsid w:val="004B58A3"/>
    <w:rsid w:val="004B6611"/>
    <w:rsid w:val="004B72E4"/>
    <w:rsid w:val="004B7734"/>
    <w:rsid w:val="004C12EF"/>
    <w:rsid w:val="004C175A"/>
    <w:rsid w:val="004C5BB6"/>
    <w:rsid w:val="004C6549"/>
    <w:rsid w:val="004C6C24"/>
    <w:rsid w:val="004C6CD0"/>
    <w:rsid w:val="004C71D4"/>
    <w:rsid w:val="004C7355"/>
    <w:rsid w:val="004D4124"/>
    <w:rsid w:val="004D5CC1"/>
    <w:rsid w:val="004D675F"/>
    <w:rsid w:val="004E1DC9"/>
    <w:rsid w:val="004E1F59"/>
    <w:rsid w:val="004E522A"/>
    <w:rsid w:val="004E76F0"/>
    <w:rsid w:val="004F046F"/>
    <w:rsid w:val="004F0A81"/>
    <w:rsid w:val="004F1D44"/>
    <w:rsid w:val="004F4568"/>
    <w:rsid w:val="004F478F"/>
    <w:rsid w:val="004F6231"/>
    <w:rsid w:val="004F787C"/>
    <w:rsid w:val="0050034D"/>
    <w:rsid w:val="00500455"/>
    <w:rsid w:val="00500654"/>
    <w:rsid w:val="00502F62"/>
    <w:rsid w:val="00507D0E"/>
    <w:rsid w:val="005106A1"/>
    <w:rsid w:val="005118CD"/>
    <w:rsid w:val="005161F7"/>
    <w:rsid w:val="00516A35"/>
    <w:rsid w:val="00520A46"/>
    <w:rsid w:val="00527BC9"/>
    <w:rsid w:val="00531D72"/>
    <w:rsid w:val="005332A4"/>
    <w:rsid w:val="00533C1B"/>
    <w:rsid w:val="00535111"/>
    <w:rsid w:val="00536079"/>
    <w:rsid w:val="0054042B"/>
    <w:rsid w:val="0054527D"/>
    <w:rsid w:val="00545FF9"/>
    <w:rsid w:val="00546E2E"/>
    <w:rsid w:val="00552D3A"/>
    <w:rsid w:val="00553269"/>
    <w:rsid w:val="00553490"/>
    <w:rsid w:val="005537FC"/>
    <w:rsid w:val="005550B8"/>
    <w:rsid w:val="005552C1"/>
    <w:rsid w:val="00556AF1"/>
    <w:rsid w:val="00557FE3"/>
    <w:rsid w:val="00560DAC"/>
    <w:rsid w:val="005632E9"/>
    <w:rsid w:val="005654EF"/>
    <w:rsid w:val="00567732"/>
    <w:rsid w:val="00572209"/>
    <w:rsid w:val="00572B2D"/>
    <w:rsid w:val="00574B59"/>
    <w:rsid w:val="00575B31"/>
    <w:rsid w:val="00575C96"/>
    <w:rsid w:val="005762A4"/>
    <w:rsid w:val="00581C3A"/>
    <w:rsid w:val="00583A52"/>
    <w:rsid w:val="00586015"/>
    <w:rsid w:val="005866D8"/>
    <w:rsid w:val="00590394"/>
    <w:rsid w:val="005907EA"/>
    <w:rsid w:val="00592E78"/>
    <w:rsid w:val="00597503"/>
    <w:rsid w:val="005977AD"/>
    <w:rsid w:val="005A06A8"/>
    <w:rsid w:val="005A28A2"/>
    <w:rsid w:val="005A3742"/>
    <w:rsid w:val="005A4067"/>
    <w:rsid w:val="005A6563"/>
    <w:rsid w:val="005B2190"/>
    <w:rsid w:val="005B2344"/>
    <w:rsid w:val="005B26C6"/>
    <w:rsid w:val="005B4ABA"/>
    <w:rsid w:val="005B5B4A"/>
    <w:rsid w:val="005B7BE4"/>
    <w:rsid w:val="005C0823"/>
    <w:rsid w:val="005C2590"/>
    <w:rsid w:val="005C3D1C"/>
    <w:rsid w:val="005C5086"/>
    <w:rsid w:val="005C5657"/>
    <w:rsid w:val="005C6A45"/>
    <w:rsid w:val="005D01FA"/>
    <w:rsid w:val="005D0FDD"/>
    <w:rsid w:val="005D114F"/>
    <w:rsid w:val="005D1951"/>
    <w:rsid w:val="005D260F"/>
    <w:rsid w:val="005D2682"/>
    <w:rsid w:val="005D2B98"/>
    <w:rsid w:val="005D4D3E"/>
    <w:rsid w:val="005D5894"/>
    <w:rsid w:val="005D6B38"/>
    <w:rsid w:val="005E0CE6"/>
    <w:rsid w:val="005E31C1"/>
    <w:rsid w:val="005E3416"/>
    <w:rsid w:val="005E3600"/>
    <w:rsid w:val="005E44F0"/>
    <w:rsid w:val="005E678B"/>
    <w:rsid w:val="005E6E42"/>
    <w:rsid w:val="005E7931"/>
    <w:rsid w:val="005E7996"/>
    <w:rsid w:val="005F10DC"/>
    <w:rsid w:val="005F32C6"/>
    <w:rsid w:val="005F3A5D"/>
    <w:rsid w:val="005F3FCA"/>
    <w:rsid w:val="005F78F6"/>
    <w:rsid w:val="006029FE"/>
    <w:rsid w:val="00603788"/>
    <w:rsid w:val="00606FF1"/>
    <w:rsid w:val="006103DD"/>
    <w:rsid w:val="0061275E"/>
    <w:rsid w:val="00612CCC"/>
    <w:rsid w:val="00613D34"/>
    <w:rsid w:val="00615157"/>
    <w:rsid w:val="00615266"/>
    <w:rsid w:val="00615657"/>
    <w:rsid w:val="00615E74"/>
    <w:rsid w:val="006160BE"/>
    <w:rsid w:val="006214BE"/>
    <w:rsid w:val="00621839"/>
    <w:rsid w:val="006262A7"/>
    <w:rsid w:val="00627CCF"/>
    <w:rsid w:val="00627FDA"/>
    <w:rsid w:val="00632A37"/>
    <w:rsid w:val="0063396F"/>
    <w:rsid w:val="006379BD"/>
    <w:rsid w:val="00640782"/>
    <w:rsid w:val="00640AD2"/>
    <w:rsid w:val="00643185"/>
    <w:rsid w:val="006451FF"/>
    <w:rsid w:val="0064692D"/>
    <w:rsid w:val="00655A81"/>
    <w:rsid w:val="00657B37"/>
    <w:rsid w:val="00665700"/>
    <w:rsid w:val="006700DE"/>
    <w:rsid w:val="00670318"/>
    <w:rsid w:val="0067097F"/>
    <w:rsid w:val="00670C75"/>
    <w:rsid w:val="006711CF"/>
    <w:rsid w:val="0067198E"/>
    <w:rsid w:val="006748E1"/>
    <w:rsid w:val="0067513C"/>
    <w:rsid w:val="00676049"/>
    <w:rsid w:val="00677070"/>
    <w:rsid w:val="0068024D"/>
    <w:rsid w:val="006820DE"/>
    <w:rsid w:val="00684803"/>
    <w:rsid w:val="006948FB"/>
    <w:rsid w:val="00696E24"/>
    <w:rsid w:val="006A0305"/>
    <w:rsid w:val="006A0665"/>
    <w:rsid w:val="006A0794"/>
    <w:rsid w:val="006A0B13"/>
    <w:rsid w:val="006A64D0"/>
    <w:rsid w:val="006A6570"/>
    <w:rsid w:val="006A7794"/>
    <w:rsid w:val="006B05B0"/>
    <w:rsid w:val="006B061A"/>
    <w:rsid w:val="006B0B04"/>
    <w:rsid w:val="006B37BA"/>
    <w:rsid w:val="006B3C35"/>
    <w:rsid w:val="006B6299"/>
    <w:rsid w:val="006B6C4C"/>
    <w:rsid w:val="006B71BB"/>
    <w:rsid w:val="006B72BD"/>
    <w:rsid w:val="006B740F"/>
    <w:rsid w:val="006C0A36"/>
    <w:rsid w:val="006C1374"/>
    <w:rsid w:val="006C4EC0"/>
    <w:rsid w:val="006D2D69"/>
    <w:rsid w:val="006D54F2"/>
    <w:rsid w:val="006D60D1"/>
    <w:rsid w:val="006D786D"/>
    <w:rsid w:val="006E145D"/>
    <w:rsid w:val="006E417A"/>
    <w:rsid w:val="006E461C"/>
    <w:rsid w:val="006E572A"/>
    <w:rsid w:val="006E6BCA"/>
    <w:rsid w:val="006E7F49"/>
    <w:rsid w:val="006F01B7"/>
    <w:rsid w:val="006F41F0"/>
    <w:rsid w:val="006F49E8"/>
    <w:rsid w:val="006F5B47"/>
    <w:rsid w:val="006F76FC"/>
    <w:rsid w:val="00706238"/>
    <w:rsid w:val="00706C8C"/>
    <w:rsid w:val="00707E16"/>
    <w:rsid w:val="007100A3"/>
    <w:rsid w:val="00711800"/>
    <w:rsid w:val="00711A8C"/>
    <w:rsid w:val="00712AC9"/>
    <w:rsid w:val="00712D1D"/>
    <w:rsid w:val="007135DB"/>
    <w:rsid w:val="00716AAD"/>
    <w:rsid w:val="00721B34"/>
    <w:rsid w:val="00724ACC"/>
    <w:rsid w:val="00726F3F"/>
    <w:rsid w:val="00730431"/>
    <w:rsid w:val="00730E90"/>
    <w:rsid w:val="00730FF6"/>
    <w:rsid w:val="007322F8"/>
    <w:rsid w:val="00733172"/>
    <w:rsid w:val="00734A6B"/>
    <w:rsid w:val="00735987"/>
    <w:rsid w:val="00736115"/>
    <w:rsid w:val="00736D1C"/>
    <w:rsid w:val="007406AE"/>
    <w:rsid w:val="00742BC2"/>
    <w:rsid w:val="007432B9"/>
    <w:rsid w:val="00743D8E"/>
    <w:rsid w:val="00750203"/>
    <w:rsid w:val="007543A6"/>
    <w:rsid w:val="00754505"/>
    <w:rsid w:val="00755239"/>
    <w:rsid w:val="00761B82"/>
    <w:rsid w:val="007649FA"/>
    <w:rsid w:val="00765B07"/>
    <w:rsid w:val="00765F1B"/>
    <w:rsid w:val="0076630E"/>
    <w:rsid w:val="00774521"/>
    <w:rsid w:val="00775AC8"/>
    <w:rsid w:val="0078397E"/>
    <w:rsid w:val="00787F66"/>
    <w:rsid w:val="0079403B"/>
    <w:rsid w:val="00797789"/>
    <w:rsid w:val="007A01A7"/>
    <w:rsid w:val="007A7362"/>
    <w:rsid w:val="007B2DAA"/>
    <w:rsid w:val="007B6696"/>
    <w:rsid w:val="007C1C4A"/>
    <w:rsid w:val="007C4716"/>
    <w:rsid w:val="007C4EBD"/>
    <w:rsid w:val="007C522B"/>
    <w:rsid w:val="007C52DB"/>
    <w:rsid w:val="007C6E2A"/>
    <w:rsid w:val="007D191D"/>
    <w:rsid w:val="007D1D4F"/>
    <w:rsid w:val="007D3E8D"/>
    <w:rsid w:val="007E0FC3"/>
    <w:rsid w:val="007E5FCF"/>
    <w:rsid w:val="007E792C"/>
    <w:rsid w:val="007E7CB3"/>
    <w:rsid w:val="007F2F01"/>
    <w:rsid w:val="007F5C00"/>
    <w:rsid w:val="007F5D65"/>
    <w:rsid w:val="0080018B"/>
    <w:rsid w:val="0080182B"/>
    <w:rsid w:val="0080182E"/>
    <w:rsid w:val="00801BD3"/>
    <w:rsid w:val="00803C87"/>
    <w:rsid w:val="0081076B"/>
    <w:rsid w:val="00811392"/>
    <w:rsid w:val="00811BF7"/>
    <w:rsid w:val="008131AC"/>
    <w:rsid w:val="008145BE"/>
    <w:rsid w:val="00816B1E"/>
    <w:rsid w:val="008229CA"/>
    <w:rsid w:val="00822E9C"/>
    <w:rsid w:val="00823F57"/>
    <w:rsid w:val="0083084D"/>
    <w:rsid w:val="0083246D"/>
    <w:rsid w:val="0083323F"/>
    <w:rsid w:val="0083339D"/>
    <w:rsid w:val="00833455"/>
    <w:rsid w:val="00835248"/>
    <w:rsid w:val="0083710B"/>
    <w:rsid w:val="00841BEF"/>
    <w:rsid w:val="008438AB"/>
    <w:rsid w:val="00844AF4"/>
    <w:rsid w:val="00846887"/>
    <w:rsid w:val="00847C71"/>
    <w:rsid w:val="0085006E"/>
    <w:rsid w:val="00850FD7"/>
    <w:rsid w:val="0085109D"/>
    <w:rsid w:val="00854A71"/>
    <w:rsid w:val="008554D8"/>
    <w:rsid w:val="008560FD"/>
    <w:rsid w:val="00860AB4"/>
    <w:rsid w:val="00863E46"/>
    <w:rsid w:val="00864EB4"/>
    <w:rsid w:val="00867DA3"/>
    <w:rsid w:val="00867DFD"/>
    <w:rsid w:val="008722FD"/>
    <w:rsid w:val="008726BA"/>
    <w:rsid w:val="00872934"/>
    <w:rsid w:val="008760A1"/>
    <w:rsid w:val="00877B3F"/>
    <w:rsid w:val="00880F1C"/>
    <w:rsid w:val="00882FCF"/>
    <w:rsid w:val="008875A7"/>
    <w:rsid w:val="00890E3B"/>
    <w:rsid w:val="008929A7"/>
    <w:rsid w:val="00893AE9"/>
    <w:rsid w:val="008A01E9"/>
    <w:rsid w:val="008A0261"/>
    <w:rsid w:val="008A240B"/>
    <w:rsid w:val="008A3A14"/>
    <w:rsid w:val="008A506E"/>
    <w:rsid w:val="008B27BC"/>
    <w:rsid w:val="008B5369"/>
    <w:rsid w:val="008B5A26"/>
    <w:rsid w:val="008B685D"/>
    <w:rsid w:val="008B6EAA"/>
    <w:rsid w:val="008C063C"/>
    <w:rsid w:val="008C6330"/>
    <w:rsid w:val="008C6A23"/>
    <w:rsid w:val="008C72B2"/>
    <w:rsid w:val="008D116F"/>
    <w:rsid w:val="008D399C"/>
    <w:rsid w:val="008D40E0"/>
    <w:rsid w:val="008E1815"/>
    <w:rsid w:val="008E469C"/>
    <w:rsid w:val="008E4A86"/>
    <w:rsid w:val="008E5E22"/>
    <w:rsid w:val="008E6410"/>
    <w:rsid w:val="008E6916"/>
    <w:rsid w:val="008E74DE"/>
    <w:rsid w:val="008F3692"/>
    <w:rsid w:val="008F4408"/>
    <w:rsid w:val="008F74B9"/>
    <w:rsid w:val="008F7BAD"/>
    <w:rsid w:val="00902A8B"/>
    <w:rsid w:val="009039BE"/>
    <w:rsid w:val="00905491"/>
    <w:rsid w:val="00907FB1"/>
    <w:rsid w:val="00911490"/>
    <w:rsid w:val="00911C31"/>
    <w:rsid w:val="009125ED"/>
    <w:rsid w:val="00913AA2"/>
    <w:rsid w:val="009175E9"/>
    <w:rsid w:val="009178A6"/>
    <w:rsid w:val="0092336E"/>
    <w:rsid w:val="00931397"/>
    <w:rsid w:val="009343E4"/>
    <w:rsid w:val="00936986"/>
    <w:rsid w:val="00944FB8"/>
    <w:rsid w:val="00945AA9"/>
    <w:rsid w:val="0094757B"/>
    <w:rsid w:val="00950140"/>
    <w:rsid w:val="00950A09"/>
    <w:rsid w:val="009533B2"/>
    <w:rsid w:val="00954DF3"/>
    <w:rsid w:val="00955426"/>
    <w:rsid w:val="00956785"/>
    <w:rsid w:val="009578D4"/>
    <w:rsid w:val="00957FDD"/>
    <w:rsid w:val="009602D4"/>
    <w:rsid w:val="00962475"/>
    <w:rsid w:val="00964810"/>
    <w:rsid w:val="00964C81"/>
    <w:rsid w:val="00967976"/>
    <w:rsid w:val="0097205D"/>
    <w:rsid w:val="00974B67"/>
    <w:rsid w:val="009771A2"/>
    <w:rsid w:val="00977CAA"/>
    <w:rsid w:val="00980ACF"/>
    <w:rsid w:val="00981154"/>
    <w:rsid w:val="00981AAB"/>
    <w:rsid w:val="0098270F"/>
    <w:rsid w:val="00983684"/>
    <w:rsid w:val="00984242"/>
    <w:rsid w:val="00985B31"/>
    <w:rsid w:val="00986934"/>
    <w:rsid w:val="0099116C"/>
    <w:rsid w:val="00991CBA"/>
    <w:rsid w:val="00992036"/>
    <w:rsid w:val="0099281E"/>
    <w:rsid w:val="00995538"/>
    <w:rsid w:val="009A0F2F"/>
    <w:rsid w:val="009A2052"/>
    <w:rsid w:val="009A29EA"/>
    <w:rsid w:val="009A2C15"/>
    <w:rsid w:val="009A2F9D"/>
    <w:rsid w:val="009A45FF"/>
    <w:rsid w:val="009A6844"/>
    <w:rsid w:val="009A6F59"/>
    <w:rsid w:val="009A7ED8"/>
    <w:rsid w:val="009B049B"/>
    <w:rsid w:val="009B7DF4"/>
    <w:rsid w:val="009C2768"/>
    <w:rsid w:val="009C2912"/>
    <w:rsid w:val="009C63B9"/>
    <w:rsid w:val="009C7411"/>
    <w:rsid w:val="009D01E7"/>
    <w:rsid w:val="009D2E10"/>
    <w:rsid w:val="009D32F1"/>
    <w:rsid w:val="009D35F0"/>
    <w:rsid w:val="009D3F68"/>
    <w:rsid w:val="009D6F85"/>
    <w:rsid w:val="009D7234"/>
    <w:rsid w:val="009E3B9A"/>
    <w:rsid w:val="009F690B"/>
    <w:rsid w:val="00A03FD8"/>
    <w:rsid w:val="00A05866"/>
    <w:rsid w:val="00A061AB"/>
    <w:rsid w:val="00A128D9"/>
    <w:rsid w:val="00A1491B"/>
    <w:rsid w:val="00A14EFE"/>
    <w:rsid w:val="00A14F53"/>
    <w:rsid w:val="00A150EB"/>
    <w:rsid w:val="00A1553E"/>
    <w:rsid w:val="00A15ED8"/>
    <w:rsid w:val="00A17A36"/>
    <w:rsid w:val="00A20A0F"/>
    <w:rsid w:val="00A20CCE"/>
    <w:rsid w:val="00A20E98"/>
    <w:rsid w:val="00A21020"/>
    <w:rsid w:val="00A2210A"/>
    <w:rsid w:val="00A23A2E"/>
    <w:rsid w:val="00A257AD"/>
    <w:rsid w:val="00A316BA"/>
    <w:rsid w:val="00A31D5E"/>
    <w:rsid w:val="00A32625"/>
    <w:rsid w:val="00A330D1"/>
    <w:rsid w:val="00A366C1"/>
    <w:rsid w:val="00A41659"/>
    <w:rsid w:val="00A4199E"/>
    <w:rsid w:val="00A448F8"/>
    <w:rsid w:val="00A44C74"/>
    <w:rsid w:val="00A45DB2"/>
    <w:rsid w:val="00A5018D"/>
    <w:rsid w:val="00A504AC"/>
    <w:rsid w:val="00A50A03"/>
    <w:rsid w:val="00A523D4"/>
    <w:rsid w:val="00A524F3"/>
    <w:rsid w:val="00A5403B"/>
    <w:rsid w:val="00A5542E"/>
    <w:rsid w:val="00A56993"/>
    <w:rsid w:val="00A63E92"/>
    <w:rsid w:val="00A666D6"/>
    <w:rsid w:val="00A7029D"/>
    <w:rsid w:val="00A710A1"/>
    <w:rsid w:val="00A74786"/>
    <w:rsid w:val="00A7611C"/>
    <w:rsid w:val="00A77AB0"/>
    <w:rsid w:val="00A77E50"/>
    <w:rsid w:val="00A83921"/>
    <w:rsid w:val="00A90662"/>
    <w:rsid w:val="00A906BD"/>
    <w:rsid w:val="00A90CAF"/>
    <w:rsid w:val="00A911CD"/>
    <w:rsid w:val="00A9465D"/>
    <w:rsid w:val="00A94B75"/>
    <w:rsid w:val="00A960E5"/>
    <w:rsid w:val="00A96780"/>
    <w:rsid w:val="00AA2073"/>
    <w:rsid w:val="00AA22A0"/>
    <w:rsid w:val="00AA635B"/>
    <w:rsid w:val="00AA64AA"/>
    <w:rsid w:val="00AB0CE4"/>
    <w:rsid w:val="00AB2EBD"/>
    <w:rsid w:val="00AB2F45"/>
    <w:rsid w:val="00AB3DC1"/>
    <w:rsid w:val="00AB618A"/>
    <w:rsid w:val="00AB65E9"/>
    <w:rsid w:val="00AC1248"/>
    <w:rsid w:val="00AC184C"/>
    <w:rsid w:val="00AC1F91"/>
    <w:rsid w:val="00AC2D7F"/>
    <w:rsid w:val="00AC3488"/>
    <w:rsid w:val="00AC3BCF"/>
    <w:rsid w:val="00AC424D"/>
    <w:rsid w:val="00AC4C81"/>
    <w:rsid w:val="00AC69C8"/>
    <w:rsid w:val="00AC6E3C"/>
    <w:rsid w:val="00AC7779"/>
    <w:rsid w:val="00AD22A5"/>
    <w:rsid w:val="00AD3F57"/>
    <w:rsid w:val="00AD5249"/>
    <w:rsid w:val="00AD5CE7"/>
    <w:rsid w:val="00AD68DE"/>
    <w:rsid w:val="00AD6F9F"/>
    <w:rsid w:val="00AE00D4"/>
    <w:rsid w:val="00AE0253"/>
    <w:rsid w:val="00AE0304"/>
    <w:rsid w:val="00AE0D16"/>
    <w:rsid w:val="00AE2BE1"/>
    <w:rsid w:val="00AE3209"/>
    <w:rsid w:val="00AF1805"/>
    <w:rsid w:val="00AF2C45"/>
    <w:rsid w:val="00AF4B25"/>
    <w:rsid w:val="00AF4E72"/>
    <w:rsid w:val="00AF5AD9"/>
    <w:rsid w:val="00AF6019"/>
    <w:rsid w:val="00B013DC"/>
    <w:rsid w:val="00B02B68"/>
    <w:rsid w:val="00B04A31"/>
    <w:rsid w:val="00B0627A"/>
    <w:rsid w:val="00B07B18"/>
    <w:rsid w:val="00B10579"/>
    <w:rsid w:val="00B11463"/>
    <w:rsid w:val="00B1148A"/>
    <w:rsid w:val="00B12106"/>
    <w:rsid w:val="00B158AC"/>
    <w:rsid w:val="00B163A3"/>
    <w:rsid w:val="00B17838"/>
    <w:rsid w:val="00B22292"/>
    <w:rsid w:val="00B23147"/>
    <w:rsid w:val="00B23EB0"/>
    <w:rsid w:val="00B24942"/>
    <w:rsid w:val="00B254E4"/>
    <w:rsid w:val="00B25538"/>
    <w:rsid w:val="00B25D78"/>
    <w:rsid w:val="00B26504"/>
    <w:rsid w:val="00B27F13"/>
    <w:rsid w:val="00B30890"/>
    <w:rsid w:val="00B3242A"/>
    <w:rsid w:val="00B33B45"/>
    <w:rsid w:val="00B3489F"/>
    <w:rsid w:val="00B34DD2"/>
    <w:rsid w:val="00B350AE"/>
    <w:rsid w:val="00B3521D"/>
    <w:rsid w:val="00B37669"/>
    <w:rsid w:val="00B40DEC"/>
    <w:rsid w:val="00B42543"/>
    <w:rsid w:val="00B425F1"/>
    <w:rsid w:val="00B42641"/>
    <w:rsid w:val="00B42DC7"/>
    <w:rsid w:val="00B43E9D"/>
    <w:rsid w:val="00B448CA"/>
    <w:rsid w:val="00B478F1"/>
    <w:rsid w:val="00B52BD3"/>
    <w:rsid w:val="00B53989"/>
    <w:rsid w:val="00B557DE"/>
    <w:rsid w:val="00B604CA"/>
    <w:rsid w:val="00B6305D"/>
    <w:rsid w:val="00B67C49"/>
    <w:rsid w:val="00B741D4"/>
    <w:rsid w:val="00B82696"/>
    <w:rsid w:val="00B82BD2"/>
    <w:rsid w:val="00B83005"/>
    <w:rsid w:val="00B8345C"/>
    <w:rsid w:val="00B83A84"/>
    <w:rsid w:val="00B83BA2"/>
    <w:rsid w:val="00B83C37"/>
    <w:rsid w:val="00B83CCF"/>
    <w:rsid w:val="00B86559"/>
    <w:rsid w:val="00B86D9D"/>
    <w:rsid w:val="00B9210F"/>
    <w:rsid w:val="00B92BD1"/>
    <w:rsid w:val="00B973CF"/>
    <w:rsid w:val="00BA7275"/>
    <w:rsid w:val="00BB410B"/>
    <w:rsid w:val="00BB58E6"/>
    <w:rsid w:val="00BB5D58"/>
    <w:rsid w:val="00BB7BD9"/>
    <w:rsid w:val="00BC15B0"/>
    <w:rsid w:val="00BC2B55"/>
    <w:rsid w:val="00BC2EF2"/>
    <w:rsid w:val="00BC30E7"/>
    <w:rsid w:val="00BC4CA5"/>
    <w:rsid w:val="00BC67A5"/>
    <w:rsid w:val="00BC7CF0"/>
    <w:rsid w:val="00BD0696"/>
    <w:rsid w:val="00BD2675"/>
    <w:rsid w:val="00BD3004"/>
    <w:rsid w:val="00BD5290"/>
    <w:rsid w:val="00BD693E"/>
    <w:rsid w:val="00BD76F6"/>
    <w:rsid w:val="00BD7F43"/>
    <w:rsid w:val="00BE05A7"/>
    <w:rsid w:val="00BE1B7B"/>
    <w:rsid w:val="00BE2183"/>
    <w:rsid w:val="00BE28BF"/>
    <w:rsid w:val="00BE3C41"/>
    <w:rsid w:val="00BE4EB4"/>
    <w:rsid w:val="00BF026D"/>
    <w:rsid w:val="00BF04FB"/>
    <w:rsid w:val="00BF13E7"/>
    <w:rsid w:val="00BF4322"/>
    <w:rsid w:val="00BF5772"/>
    <w:rsid w:val="00BF7AB3"/>
    <w:rsid w:val="00C0069D"/>
    <w:rsid w:val="00C00BBC"/>
    <w:rsid w:val="00C00E05"/>
    <w:rsid w:val="00C022F4"/>
    <w:rsid w:val="00C02CDC"/>
    <w:rsid w:val="00C03615"/>
    <w:rsid w:val="00C070E8"/>
    <w:rsid w:val="00C07D48"/>
    <w:rsid w:val="00C144F9"/>
    <w:rsid w:val="00C1546B"/>
    <w:rsid w:val="00C20E90"/>
    <w:rsid w:val="00C211E1"/>
    <w:rsid w:val="00C21DB7"/>
    <w:rsid w:val="00C2299E"/>
    <w:rsid w:val="00C25031"/>
    <w:rsid w:val="00C25226"/>
    <w:rsid w:val="00C260F4"/>
    <w:rsid w:val="00C2743B"/>
    <w:rsid w:val="00C303BB"/>
    <w:rsid w:val="00C34139"/>
    <w:rsid w:val="00C34597"/>
    <w:rsid w:val="00C34630"/>
    <w:rsid w:val="00C42B40"/>
    <w:rsid w:val="00C432D9"/>
    <w:rsid w:val="00C439B7"/>
    <w:rsid w:val="00C43EE1"/>
    <w:rsid w:val="00C46377"/>
    <w:rsid w:val="00C479D3"/>
    <w:rsid w:val="00C52505"/>
    <w:rsid w:val="00C53450"/>
    <w:rsid w:val="00C56F8D"/>
    <w:rsid w:val="00C62423"/>
    <w:rsid w:val="00C6365F"/>
    <w:rsid w:val="00C63665"/>
    <w:rsid w:val="00C64697"/>
    <w:rsid w:val="00C653D6"/>
    <w:rsid w:val="00C659F7"/>
    <w:rsid w:val="00C66218"/>
    <w:rsid w:val="00C66B96"/>
    <w:rsid w:val="00C6714F"/>
    <w:rsid w:val="00C673B3"/>
    <w:rsid w:val="00C74D6E"/>
    <w:rsid w:val="00C767ED"/>
    <w:rsid w:val="00C77F04"/>
    <w:rsid w:val="00C81E82"/>
    <w:rsid w:val="00C853D6"/>
    <w:rsid w:val="00C86D98"/>
    <w:rsid w:val="00C86F27"/>
    <w:rsid w:val="00C9020A"/>
    <w:rsid w:val="00C90ED8"/>
    <w:rsid w:val="00C912D9"/>
    <w:rsid w:val="00C96A66"/>
    <w:rsid w:val="00C975BA"/>
    <w:rsid w:val="00CA01AA"/>
    <w:rsid w:val="00CA1B17"/>
    <w:rsid w:val="00CA1D1B"/>
    <w:rsid w:val="00CA22C4"/>
    <w:rsid w:val="00CA503A"/>
    <w:rsid w:val="00CA5AA0"/>
    <w:rsid w:val="00CA5E3F"/>
    <w:rsid w:val="00CA5F06"/>
    <w:rsid w:val="00CA6EE9"/>
    <w:rsid w:val="00CB089C"/>
    <w:rsid w:val="00CB1EE6"/>
    <w:rsid w:val="00CB2F93"/>
    <w:rsid w:val="00CB59C6"/>
    <w:rsid w:val="00CC0876"/>
    <w:rsid w:val="00CC318C"/>
    <w:rsid w:val="00CC3FB0"/>
    <w:rsid w:val="00CC54B1"/>
    <w:rsid w:val="00CC6C1E"/>
    <w:rsid w:val="00CC6FB1"/>
    <w:rsid w:val="00CC72EC"/>
    <w:rsid w:val="00CD02C8"/>
    <w:rsid w:val="00CD317C"/>
    <w:rsid w:val="00CD4712"/>
    <w:rsid w:val="00CD4A58"/>
    <w:rsid w:val="00CD5128"/>
    <w:rsid w:val="00CE138C"/>
    <w:rsid w:val="00CE2496"/>
    <w:rsid w:val="00CE2E77"/>
    <w:rsid w:val="00CE409B"/>
    <w:rsid w:val="00CE5060"/>
    <w:rsid w:val="00CE731E"/>
    <w:rsid w:val="00CF0343"/>
    <w:rsid w:val="00CF0B70"/>
    <w:rsid w:val="00CF3B20"/>
    <w:rsid w:val="00CF5FC4"/>
    <w:rsid w:val="00CF61B3"/>
    <w:rsid w:val="00CF62B0"/>
    <w:rsid w:val="00D0225F"/>
    <w:rsid w:val="00D02486"/>
    <w:rsid w:val="00D02A1A"/>
    <w:rsid w:val="00D0307C"/>
    <w:rsid w:val="00D04223"/>
    <w:rsid w:val="00D070E4"/>
    <w:rsid w:val="00D120ED"/>
    <w:rsid w:val="00D130AA"/>
    <w:rsid w:val="00D17978"/>
    <w:rsid w:val="00D2084E"/>
    <w:rsid w:val="00D22DF4"/>
    <w:rsid w:val="00D23614"/>
    <w:rsid w:val="00D23CCB"/>
    <w:rsid w:val="00D23F25"/>
    <w:rsid w:val="00D24D98"/>
    <w:rsid w:val="00D26499"/>
    <w:rsid w:val="00D2737F"/>
    <w:rsid w:val="00D2746C"/>
    <w:rsid w:val="00D27ADF"/>
    <w:rsid w:val="00D27CBB"/>
    <w:rsid w:val="00D30F41"/>
    <w:rsid w:val="00D333F3"/>
    <w:rsid w:val="00D33534"/>
    <w:rsid w:val="00D347A7"/>
    <w:rsid w:val="00D3687F"/>
    <w:rsid w:val="00D3696F"/>
    <w:rsid w:val="00D40F86"/>
    <w:rsid w:val="00D41E33"/>
    <w:rsid w:val="00D4273F"/>
    <w:rsid w:val="00D4533F"/>
    <w:rsid w:val="00D45691"/>
    <w:rsid w:val="00D45F92"/>
    <w:rsid w:val="00D52447"/>
    <w:rsid w:val="00D5481B"/>
    <w:rsid w:val="00D577A8"/>
    <w:rsid w:val="00D57B59"/>
    <w:rsid w:val="00D621B0"/>
    <w:rsid w:val="00D63287"/>
    <w:rsid w:val="00D634B8"/>
    <w:rsid w:val="00D63AA5"/>
    <w:rsid w:val="00D65826"/>
    <w:rsid w:val="00D66133"/>
    <w:rsid w:val="00D71297"/>
    <w:rsid w:val="00D72988"/>
    <w:rsid w:val="00D73E09"/>
    <w:rsid w:val="00D74532"/>
    <w:rsid w:val="00D7773D"/>
    <w:rsid w:val="00D800B2"/>
    <w:rsid w:val="00D804FB"/>
    <w:rsid w:val="00D8149D"/>
    <w:rsid w:val="00D8677A"/>
    <w:rsid w:val="00D86826"/>
    <w:rsid w:val="00D9077C"/>
    <w:rsid w:val="00D90EBD"/>
    <w:rsid w:val="00D9414B"/>
    <w:rsid w:val="00D957B3"/>
    <w:rsid w:val="00D97E7E"/>
    <w:rsid w:val="00DA20EA"/>
    <w:rsid w:val="00DA5023"/>
    <w:rsid w:val="00DA5761"/>
    <w:rsid w:val="00DA58D5"/>
    <w:rsid w:val="00DA6AB7"/>
    <w:rsid w:val="00DB1F5F"/>
    <w:rsid w:val="00DB3B61"/>
    <w:rsid w:val="00DB4608"/>
    <w:rsid w:val="00DC116F"/>
    <w:rsid w:val="00DC2429"/>
    <w:rsid w:val="00DD077C"/>
    <w:rsid w:val="00DD0F2D"/>
    <w:rsid w:val="00DD34BC"/>
    <w:rsid w:val="00DD58EA"/>
    <w:rsid w:val="00DE2848"/>
    <w:rsid w:val="00DE5F13"/>
    <w:rsid w:val="00DE7936"/>
    <w:rsid w:val="00DF4902"/>
    <w:rsid w:val="00DF5559"/>
    <w:rsid w:val="00E04F1C"/>
    <w:rsid w:val="00E05BAD"/>
    <w:rsid w:val="00E14417"/>
    <w:rsid w:val="00E15AB5"/>
    <w:rsid w:val="00E15F5B"/>
    <w:rsid w:val="00E1637E"/>
    <w:rsid w:val="00E17639"/>
    <w:rsid w:val="00E208D9"/>
    <w:rsid w:val="00E2150D"/>
    <w:rsid w:val="00E22338"/>
    <w:rsid w:val="00E24661"/>
    <w:rsid w:val="00E24839"/>
    <w:rsid w:val="00E26D36"/>
    <w:rsid w:val="00E311AF"/>
    <w:rsid w:val="00E3136A"/>
    <w:rsid w:val="00E3217C"/>
    <w:rsid w:val="00E32BCB"/>
    <w:rsid w:val="00E35BC8"/>
    <w:rsid w:val="00E42523"/>
    <w:rsid w:val="00E43F41"/>
    <w:rsid w:val="00E45801"/>
    <w:rsid w:val="00E458C7"/>
    <w:rsid w:val="00E4664F"/>
    <w:rsid w:val="00E52A95"/>
    <w:rsid w:val="00E52CCC"/>
    <w:rsid w:val="00E5435C"/>
    <w:rsid w:val="00E55398"/>
    <w:rsid w:val="00E55CFB"/>
    <w:rsid w:val="00E5754C"/>
    <w:rsid w:val="00E60F11"/>
    <w:rsid w:val="00E652D9"/>
    <w:rsid w:val="00E6570C"/>
    <w:rsid w:val="00E65C51"/>
    <w:rsid w:val="00E6709C"/>
    <w:rsid w:val="00E73BFF"/>
    <w:rsid w:val="00E75338"/>
    <w:rsid w:val="00E762FD"/>
    <w:rsid w:val="00E76737"/>
    <w:rsid w:val="00E7688F"/>
    <w:rsid w:val="00E80913"/>
    <w:rsid w:val="00E81802"/>
    <w:rsid w:val="00E82BD7"/>
    <w:rsid w:val="00E861DA"/>
    <w:rsid w:val="00E86584"/>
    <w:rsid w:val="00E8717D"/>
    <w:rsid w:val="00E87D19"/>
    <w:rsid w:val="00E908FC"/>
    <w:rsid w:val="00E912C9"/>
    <w:rsid w:val="00E92859"/>
    <w:rsid w:val="00E92C0E"/>
    <w:rsid w:val="00E9544E"/>
    <w:rsid w:val="00E96F96"/>
    <w:rsid w:val="00EA0195"/>
    <w:rsid w:val="00EA0621"/>
    <w:rsid w:val="00EA14CE"/>
    <w:rsid w:val="00EA24F0"/>
    <w:rsid w:val="00EA4559"/>
    <w:rsid w:val="00EA6CFF"/>
    <w:rsid w:val="00EB0D73"/>
    <w:rsid w:val="00EB18AD"/>
    <w:rsid w:val="00EB357B"/>
    <w:rsid w:val="00EB3B6E"/>
    <w:rsid w:val="00EB4B0F"/>
    <w:rsid w:val="00EB4E87"/>
    <w:rsid w:val="00EB4EF5"/>
    <w:rsid w:val="00EB5D04"/>
    <w:rsid w:val="00EB60D5"/>
    <w:rsid w:val="00EB7082"/>
    <w:rsid w:val="00EC0989"/>
    <w:rsid w:val="00EC1F7C"/>
    <w:rsid w:val="00EC2A42"/>
    <w:rsid w:val="00EC485C"/>
    <w:rsid w:val="00EC50E0"/>
    <w:rsid w:val="00EC52B3"/>
    <w:rsid w:val="00EC54D6"/>
    <w:rsid w:val="00ED4FFA"/>
    <w:rsid w:val="00ED5E18"/>
    <w:rsid w:val="00ED644E"/>
    <w:rsid w:val="00ED6C78"/>
    <w:rsid w:val="00EE0058"/>
    <w:rsid w:val="00EE4AE7"/>
    <w:rsid w:val="00EE4B2C"/>
    <w:rsid w:val="00EF02FE"/>
    <w:rsid w:val="00EF1F23"/>
    <w:rsid w:val="00EF4E9F"/>
    <w:rsid w:val="00F012FD"/>
    <w:rsid w:val="00F049EC"/>
    <w:rsid w:val="00F05D0B"/>
    <w:rsid w:val="00F06952"/>
    <w:rsid w:val="00F1410D"/>
    <w:rsid w:val="00F145C3"/>
    <w:rsid w:val="00F14731"/>
    <w:rsid w:val="00F1507A"/>
    <w:rsid w:val="00F20C2F"/>
    <w:rsid w:val="00F21CCF"/>
    <w:rsid w:val="00F2432A"/>
    <w:rsid w:val="00F2521E"/>
    <w:rsid w:val="00F25A93"/>
    <w:rsid w:val="00F27D45"/>
    <w:rsid w:val="00F3125F"/>
    <w:rsid w:val="00F31B31"/>
    <w:rsid w:val="00F32AB7"/>
    <w:rsid w:val="00F32C98"/>
    <w:rsid w:val="00F343CF"/>
    <w:rsid w:val="00F34AC6"/>
    <w:rsid w:val="00F3665D"/>
    <w:rsid w:val="00F4037F"/>
    <w:rsid w:val="00F410AC"/>
    <w:rsid w:val="00F416AE"/>
    <w:rsid w:val="00F41B2D"/>
    <w:rsid w:val="00F4531E"/>
    <w:rsid w:val="00F45D66"/>
    <w:rsid w:val="00F62747"/>
    <w:rsid w:val="00F6667E"/>
    <w:rsid w:val="00F66686"/>
    <w:rsid w:val="00F6668D"/>
    <w:rsid w:val="00F71800"/>
    <w:rsid w:val="00F71926"/>
    <w:rsid w:val="00F7237E"/>
    <w:rsid w:val="00F7272A"/>
    <w:rsid w:val="00F750AC"/>
    <w:rsid w:val="00F7660F"/>
    <w:rsid w:val="00F77774"/>
    <w:rsid w:val="00F80A68"/>
    <w:rsid w:val="00F818EA"/>
    <w:rsid w:val="00F84721"/>
    <w:rsid w:val="00F84D80"/>
    <w:rsid w:val="00F958A5"/>
    <w:rsid w:val="00F95F52"/>
    <w:rsid w:val="00FA49FD"/>
    <w:rsid w:val="00FA4D76"/>
    <w:rsid w:val="00FA4FDB"/>
    <w:rsid w:val="00FA7DAA"/>
    <w:rsid w:val="00FB132A"/>
    <w:rsid w:val="00FB2D5E"/>
    <w:rsid w:val="00FB511F"/>
    <w:rsid w:val="00FB58F5"/>
    <w:rsid w:val="00FB5DE6"/>
    <w:rsid w:val="00FC20CF"/>
    <w:rsid w:val="00FC42DE"/>
    <w:rsid w:val="00FD363D"/>
    <w:rsid w:val="00FD477C"/>
    <w:rsid w:val="00FD582E"/>
    <w:rsid w:val="00FD7A6E"/>
    <w:rsid w:val="00FE0FD8"/>
    <w:rsid w:val="00FE647A"/>
    <w:rsid w:val="00FF0C12"/>
    <w:rsid w:val="00FF0EFC"/>
    <w:rsid w:val="00FF23E5"/>
    <w:rsid w:val="00FF2F44"/>
    <w:rsid w:val="00FF3882"/>
    <w:rsid w:val="00FF5337"/>
    <w:rsid w:val="00FF5830"/>
    <w:rsid w:val="00FF6B9C"/>
    <w:rsid w:val="00FF6CC0"/>
    <w:rsid w:val="00FF72D9"/>
    <w:rsid w:val="00FF76DF"/>
    <w:rsid w:val="00FF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5:docId w15:val="{C8BA26CF-50AD-4F13-9449-76E0C35A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3C1E"/>
    <w:rPr>
      <w:rFonts w:ascii="Arial" w:hAnsi="Arial"/>
      <w:sz w:val="24"/>
      <w:szCs w:val="24"/>
    </w:rPr>
  </w:style>
  <w:style w:type="paragraph" w:styleId="Heading1">
    <w:name w:val="heading 1"/>
    <w:basedOn w:val="Normal"/>
    <w:next w:val="Normal"/>
    <w:qFormat/>
    <w:rsid w:val="003C3C1E"/>
    <w:pPr>
      <w:keepNext/>
      <w:jc w:val="right"/>
      <w:outlineLvl w:val="0"/>
    </w:pPr>
    <w:rPr>
      <w:b/>
    </w:rPr>
  </w:style>
  <w:style w:type="paragraph" w:styleId="Heading2">
    <w:name w:val="heading 2"/>
    <w:basedOn w:val="Normal"/>
    <w:next w:val="Normal"/>
    <w:qFormat/>
    <w:rsid w:val="003C3C1E"/>
    <w:pPr>
      <w:keepNext/>
      <w:jc w:val="center"/>
      <w:outlineLvl w:val="1"/>
    </w:pPr>
    <w:rPr>
      <w:b/>
      <w:u w:val="single"/>
    </w:rPr>
  </w:style>
  <w:style w:type="paragraph" w:styleId="Heading3">
    <w:name w:val="heading 3"/>
    <w:basedOn w:val="Normal"/>
    <w:next w:val="Normal"/>
    <w:qFormat/>
    <w:rsid w:val="003C3C1E"/>
    <w:pPr>
      <w:keepNext/>
      <w:outlineLvl w:val="2"/>
    </w:pPr>
    <w:rPr>
      <w:b/>
    </w:rPr>
  </w:style>
  <w:style w:type="paragraph" w:styleId="Heading4">
    <w:name w:val="heading 4"/>
    <w:basedOn w:val="Normal"/>
    <w:next w:val="Normal"/>
    <w:qFormat/>
    <w:rsid w:val="003C3C1E"/>
    <w:pPr>
      <w:keepNext/>
      <w:outlineLvl w:val="3"/>
    </w:pPr>
    <w:rPr>
      <w:b/>
      <w:u w:val="single"/>
    </w:rPr>
  </w:style>
  <w:style w:type="paragraph" w:styleId="Heading5">
    <w:name w:val="heading 5"/>
    <w:basedOn w:val="Normal"/>
    <w:next w:val="Normal"/>
    <w:qFormat/>
    <w:rsid w:val="003C3C1E"/>
    <w:pPr>
      <w:keepNext/>
      <w:ind w:firstLine="709"/>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3C1E"/>
    <w:pPr>
      <w:jc w:val="both"/>
    </w:pPr>
  </w:style>
  <w:style w:type="paragraph" w:styleId="BodyTextIndent">
    <w:name w:val="Body Text Indent"/>
    <w:basedOn w:val="Normal"/>
    <w:rsid w:val="003C3C1E"/>
    <w:pPr>
      <w:ind w:left="720"/>
      <w:jc w:val="both"/>
    </w:pPr>
  </w:style>
  <w:style w:type="paragraph" w:styleId="BodyTextIndent2">
    <w:name w:val="Body Text Indent 2"/>
    <w:basedOn w:val="Normal"/>
    <w:rsid w:val="003C3C1E"/>
    <w:pPr>
      <w:ind w:left="720" w:hanging="720"/>
      <w:jc w:val="both"/>
    </w:pPr>
  </w:style>
  <w:style w:type="paragraph" w:styleId="BodyTextIndent3">
    <w:name w:val="Body Text Indent 3"/>
    <w:basedOn w:val="Normal"/>
    <w:rsid w:val="003C3C1E"/>
    <w:pPr>
      <w:ind w:left="426" w:hanging="426"/>
      <w:jc w:val="both"/>
    </w:pPr>
  </w:style>
  <w:style w:type="paragraph" w:styleId="CommentText">
    <w:name w:val="annotation text"/>
    <w:basedOn w:val="Normal"/>
    <w:semiHidden/>
    <w:rsid w:val="003C3C1E"/>
    <w:rPr>
      <w:sz w:val="20"/>
    </w:rPr>
  </w:style>
  <w:style w:type="paragraph" w:styleId="BodyText2">
    <w:name w:val="Body Text 2"/>
    <w:basedOn w:val="Normal"/>
    <w:rsid w:val="003C3C1E"/>
    <w:pPr>
      <w:jc w:val="both"/>
    </w:pPr>
    <w:rPr>
      <w:sz w:val="22"/>
    </w:rPr>
  </w:style>
  <w:style w:type="paragraph" w:styleId="BodyText3">
    <w:name w:val="Body Text 3"/>
    <w:basedOn w:val="Normal"/>
    <w:rsid w:val="003C3C1E"/>
    <w:rPr>
      <w:sz w:val="22"/>
    </w:rPr>
  </w:style>
  <w:style w:type="paragraph" w:customStyle="1" w:styleId="DfESBullets">
    <w:name w:val="DfESBullets"/>
    <w:basedOn w:val="Normal"/>
    <w:rsid w:val="003C3C1E"/>
    <w:pPr>
      <w:widowControl w:val="0"/>
      <w:numPr>
        <w:numId w:val="1"/>
      </w:numPr>
      <w:overflowPunct w:val="0"/>
      <w:autoSpaceDE w:val="0"/>
      <w:autoSpaceDN w:val="0"/>
      <w:adjustRightInd w:val="0"/>
      <w:spacing w:after="240"/>
      <w:textAlignment w:val="baseline"/>
    </w:pPr>
    <w:rPr>
      <w:sz w:val="22"/>
    </w:rPr>
  </w:style>
  <w:style w:type="character" w:styleId="Hyperlink">
    <w:name w:val="Hyperlink"/>
    <w:basedOn w:val="DefaultParagraphFont"/>
    <w:rsid w:val="003C3C1E"/>
    <w:rPr>
      <w:color w:val="0000FF"/>
      <w:u w:val="single"/>
    </w:rPr>
  </w:style>
  <w:style w:type="paragraph" w:styleId="Header">
    <w:name w:val="header"/>
    <w:basedOn w:val="Normal"/>
    <w:rsid w:val="003C3C1E"/>
    <w:pPr>
      <w:tabs>
        <w:tab w:val="center" w:pos="4320"/>
        <w:tab w:val="right" w:pos="8640"/>
      </w:tabs>
    </w:pPr>
  </w:style>
  <w:style w:type="paragraph" w:styleId="Footer">
    <w:name w:val="footer"/>
    <w:basedOn w:val="Normal"/>
    <w:link w:val="FooterChar"/>
    <w:uiPriority w:val="99"/>
    <w:rsid w:val="003C3C1E"/>
    <w:pPr>
      <w:tabs>
        <w:tab w:val="center" w:pos="4320"/>
        <w:tab w:val="right" w:pos="8640"/>
      </w:tabs>
    </w:pPr>
  </w:style>
  <w:style w:type="character" w:styleId="CommentReference">
    <w:name w:val="annotation reference"/>
    <w:basedOn w:val="DefaultParagraphFont"/>
    <w:semiHidden/>
    <w:rsid w:val="003C3C1E"/>
    <w:rPr>
      <w:sz w:val="16"/>
      <w:szCs w:val="16"/>
    </w:rPr>
  </w:style>
  <w:style w:type="paragraph" w:styleId="Title">
    <w:name w:val="Title"/>
    <w:basedOn w:val="Normal"/>
    <w:qFormat/>
    <w:rsid w:val="003C3C1E"/>
    <w:pPr>
      <w:jc w:val="center"/>
    </w:pPr>
    <w:rPr>
      <w:b/>
      <w:lang w:eastAsia="en-US"/>
    </w:rPr>
  </w:style>
  <w:style w:type="paragraph" w:styleId="BalloonText">
    <w:name w:val="Balloon Text"/>
    <w:basedOn w:val="Normal"/>
    <w:semiHidden/>
    <w:rsid w:val="003C3C1E"/>
    <w:rPr>
      <w:rFonts w:ascii="Tahoma" w:hAnsi="Tahoma" w:cs="Tahoma"/>
      <w:sz w:val="16"/>
      <w:szCs w:val="16"/>
    </w:rPr>
  </w:style>
  <w:style w:type="paragraph" w:styleId="CommentSubject">
    <w:name w:val="annotation subject"/>
    <w:basedOn w:val="CommentText"/>
    <w:next w:val="CommentText"/>
    <w:semiHidden/>
    <w:rsid w:val="003C3C1E"/>
    <w:rPr>
      <w:b/>
      <w:bCs/>
    </w:rPr>
  </w:style>
  <w:style w:type="table" w:styleId="TableGrid">
    <w:name w:val="Table Grid"/>
    <w:basedOn w:val="TableNormal"/>
    <w:rsid w:val="001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43EE1"/>
    <w:rPr>
      <w:color w:val="800080"/>
      <w:u w:val="single"/>
    </w:rPr>
  </w:style>
  <w:style w:type="paragraph" w:styleId="ListParagraph">
    <w:name w:val="List Paragraph"/>
    <w:basedOn w:val="Normal"/>
    <w:uiPriority w:val="34"/>
    <w:qFormat/>
    <w:rsid w:val="00BF04FB"/>
    <w:pPr>
      <w:ind w:left="720"/>
    </w:pPr>
  </w:style>
  <w:style w:type="character" w:customStyle="1" w:styleId="FooterChar">
    <w:name w:val="Footer Char"/>
    <w:basedOn w:val="DefaultParagraphFont"/>
    <w:link w:val="Footer"/>
    <w:uiPriority w:val="99"/>
    <w:rsid w:val="00A15ED8"/>
    <w:rPr>
      <w:rFonts w:ascii="Arial" w:hAnsi="Arial"/>
      <w:sz w:val="24"/>
      <w:szCs w:val="24"/>
    </w:rPr>
  </w:style>
  <w:style w:type="paragraph" w:styleId="EndnoteText">
    <w:name w:val="endnote text"/>
    <w:basedOn w:val="Normal"/>
    <w:link w:val="EndnoteTextChar"/>
    <w:rsid w:val="00F3125F"/>
    <w:rPr>
      <w:sz w:val="20"/>
      <w:szCs w:val="20"/>
    </w:rPr>
  </w:style>
  <w:style w:type="character" w:customStyle="1" w:styleId="EndnoteTextChar">
    <w:name w:val="Endnote Text Char"/>
    <w:basedOn w:val="DefaultParagraphFont"/>
    <w:link w:val="EndnoteText"/>
    <w:rsid w:val="00F3125F"/>
    <w:rPr>
      <w:rFonts w:ascii="Arial" w:hAnsi="Arial"/>
    </w:rPr>
  </w:style>
  <w:style w:type="character" w:styleId="EndnoteReference">
    <w:name w:val="endnote reference"/>
    <w:basedOn w:val="DefaultParagraphFont"/>
    <w:rsid w:val="00F3125F"/>
    <w:rPr>
      <w:vertAlign w:val="superscript"/>
    </w:rPr>
  </w:style>
  <w:style w:type="paragraph" w:styleId="FootnoteText">
    <w:name w:val="footnote text"/>
    <w:basedOn w:val="Normal"/>
    <w:link w:val="FootnoteTextChar"/>
    <w:rsid w:val="00D23F25"/>
    <w:rPr>
      <w:sz w:val="20"/>
      <w:szCs w:val="20"/>
    </w:rPr>
  </w:style>
  <w:style w:type="character" w:customStyle="1" w:styleId="FootnoteTextChar">
    <w:name w:val="Footnote Text Char"/>
    <w:basedOn w:val="DefaultParagraphFont"/>
    <w:link w:val="FootnoteText"/>
    <w:rsid w:val="00D23F25"/>
    <w:rPr>
      <w:rFonts w:ascii="Arial" w:hAnsi="Arial"/>
    </w:rPr>
  </w:style>
  <w:style w:type="character" w:styleId="FootnoteReference">
    <w:name w:val="footnote reference"/>
    <w:basedOn w:val="DefaultParagraphFont"/>
    <w:rsid w:val="00D23F25"/>
    <w:rPr>
      <w:vertAlign w:val="superscript"/>
    </w:rPr>
  </w:style>
  <w:style w:type="paragraph" w:customStyle="1" w:styleId="Default">
    <w:name w:val="Default"/>
    <w:rsid w:val="004C5BB6"/>
    <w:pPr>
      <w:autoSpaceDE w:val="0"/>
      <w:autoSpaceDN w:val="0"/>
      <w:adjustRightInd w:val="0"/>
    </w:pPr>
    <w:rPr>
      <w:rFonts w:ascii="Arial" w:hAnsi="Arial" w:cs="Arial"/>
      <w:color w:val="000000"/>
      <w:sz w:val="24"/>
      <w:szCs w:val="24"/>
    </w:rPr>
  </w:style>
  <w:style w:type="paragraph" w:customStyle="1" w:styleId="Level2">
    <w:name w:val="Level 2"/>
    <w:basedOn w:val="Heading2"/>
    <w:rsid w:val="00743D8E"/>
    <w:pPr>
      <w:numPr>
        <w:ilvl w:val="1"/>
        <w:numId w:val="5"/>
      </w:numPr>
      <w:spacing w:before="200" w:after="200" w:line="300" w:lineRule="exact"/>
      <w:jc w:val="left"/>
    </w:pPr>
    <w:rPr>
      <w:b w:val="0"/>
      <w:color w:val="323232"/>
      <w:sz w:val="22"/>
      <w:szCs w:val="28"/>
      <w:u w:val="none"/>
      <w:lang w:eastAsia="en-US"/>
    </w:rPr>
  </w:style>
  <w:style w:type="paragraph" w:customStyle="1" w:styleId="Level1">
    <w:name w:val="Level 1"/>
    <w:basedOn w:val="Heading1"/>
    <w:next w:val="Level2"/>
    <w:rsid w:val="00743D8E"/>
    <w:pPr>
      <w:numPr>
        <w:numId w:val="5"/>
      </w:numPr>
      <w:tabs>
        <w:tab w:val="left" w:pos="1425"/>
      </w:tabs>
      <w:suppressAutoHyphens/>
      <w:spacing w:before="400" w:line="300" w:lineRule="exact"/>
      <w:jc w:val="left"/>
    </w:pPr>
    <w:rPr>
      <w:b w:val="0"/>
      <w:color w:val="0074E1"/>
      <w:kern w:val="32"/>
      <w:sz w:val="30"/>
      <w:szCs w:val="32"/>
      <w:lang w:eastAsia="en-US"/>
    </w:rPr>
  </w:style>
  <w:style w:type="paragraph" w:customStyle="1" w:styleId="aaaaa">
    <w:name w:val="aaaaa"/>
    <w:basedOn w:val="Level2"/>
    <w:link w:val="aaaaaChar"/>
    <w:qFormat/>
    <w:rsid w:val="00743D8E"/>
  </w:style>
  <w:style w:type="character" w:customStyle="1" w:styleId="aaaaaChar">
    <w:name w:val="aaaaa Char"/>
    <w:link w:val="aaaaa"/>
    <w:rsid w:val="00743D8E"/>
    <w:rPr>
      <w:rFonts w:ascii="Arial" w:hAnsi="Arial"/>
      <w:color w:val="323232"/>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312">
      <w:bodyDiv w:val="1"/>
      <w:marLeft w:val="0"/>
      <w:marRight w:val="0"/>
      <w:marTop w:val="0"/>
      <w:marBottom w:val="0"/>
      <w:divBdr>
        <w:top w:val="none" w:sz="0" w:space="0" w:color="auto"/>
        <w:left w:val="none" w:sz="0" w:space="0" w:color="auto"/>
        <w:bottom w:val="none" w:sz="0" w:space="0" w:color="auto"/>
        <w:right w:val="none" w:sz="0" w:space="0" w:color="auto"/>
      </w:divBdr>
    </w:div>
    <w:div w:id="51855136">
      <w:bodyDiv w:val="1"/>
      <w:marLeft w:val="0"/>
      <w:marRight w:val="0"/>
      <w:marTop w:val="0"/>
      <w:marBottom w:val="0"/>
      <w:divBdr>
        <w:top w:val="none" w:sz="0" w:space="0" w:color="auto"/>
        <w:left w:val="none" w:sz="0" w:space="0" w:color="auto"/>
        <w:bottom w:val="none" w:sz="0" w:space="0" w:color="auto"/>
        <w:right w:val="none" w:sz="0" w:space="0" w:color="auto"/>
      </w:divBdr>
    </w:div>
    <w:div w:id="84960870">
      <w:bodyDiv w:val="1"/>
      <w:marLeft w:val="0"/>
      <w:marRight w:val="0"/>
      <w:marTop w:val="0"/>
      <w:marBottom w:val="0"/>
      <w:divBdr>
        <w:top w:val="none" w:sz="0" w:space="0" w:color="auto"/>
        <w:left w:val="none" w:sz="0" w:space="0" w:color="auto"/>
        <w:bottom w:val="none" w:sz="0" w:space="0" w:color="auto"/>
        <w:right w:val="none" w:sz="0" w:space="0" w:color="auto"/>
      </w:divBdr>
    </w:div>
    <w:div w:id="85882665">
      <w:bodyDiv w:val="1"/>
      <w:marLeft w:val="0"/>
      <w:marRight w:val="0"/>
      <w:marTop w:val="0"/>
      <w:marBottom w:val="0"/>
      <w:divBdr>
        <w:top w:val="none" w:sz="0" w:space="0" w:color="auto"/>
        <w:left w:val="none" w:sz="0" w:space="0" w:color="auto"/>
        <w:bottom w:val="none" w:sz="0" w:space="0" w:color="auto"/>
        <w:right w:val="none" w:sz="0" w:space="0" w:color="auto"/>
      </w:divBdr>
    </w:div>
    <w:div w:id="121578989">
      <w:bodyDiv w:val="1"/>
      <w:marLeft w:val="0"/>
      <w:marRight w:val="0"/>
      <w:marTop w:val="0"/>
      <w:marBottom w:val="0"/>
      <w:divBdr>
        <w:top w:val="none" w:sz="0" w:space="0" w:color="auto"/>
        <w:left w:val="none" w:sz="0" w:space="0" w:color="auto"/>
        <w:bottom w:val="none" w:sz="0" w:space="0" w:color="auto"/>
        <w:right w:val="none" w:sz="0" w:space="0" w:color="auto"/>
      </w:divBdr>
    </w:div>
    <w:div w:id="220211890">
      <w:bodyDiv w:val="1"/>
      <w:marLeft w:val="0"/>
      <w:marRight w:val="0"/>
      <w:marTop w:val="0"/>
      <w:marBottom w:val="0"/>
      <w:divBdr>
        <w:top w:val="none" w:sz="0" w:space="0" w:color="auto"/>
        <w:left w:val="none" w:sz="0" w:space="0" w:color="auto"/>
        <w:bottom w:val="none" w:sz="0" w:space="0" w:color="auto"/>
        <w:right w:val="none" w:sz="0" w:space="0" w:color="auto"/>
      </w:divBdr>
    </w:div>
    <w:div w:id="240679892">
      <w:bodyDiv w:val="1"/>
      <w:marLeft w:val="0"/>
      <w:marRight w:val="0"/>
      <w:marTop w:val="0"/>
      <w:marBottom w:val="0"/>
      <w:divBdr>
        <w:top w:val="none" w:sz="0" w:space="0" w:color="auto"/>
        <w:left w:val="none" w:sz="0" w:space="0" w:color="auto"/>
        <w:bottom w:val="none" w:sz="0" w:space="0" w:color="auto"/>
        <w:right w:val="none" w:sz="0" w:space="0" w:color="auto"/>
      </w:divBdr>
    </w:div>
    <w:div w:id="378555903">
      <w:bodyDiv w:val="1"/>
      <w:marLeft w:val="0"/>
      <w:marRight w:val="0"/>
      <w:marTop w:val="0"/>
      <w:marBottom w:val="0"/>
      <w:divBdr>
        <w:top w:val="none" w:sz="0" w:space="0" w:color="auto"/>
        <w:left w:val="none" w:sz="0" w:space="0" w:color="auto"/>
        <w:bottom w:val="none" w:sz="0" w:space="0" w:color="auto"/>
        <w:right w:val="none" w:sz="0" w:space="0" w:color="auto"/>
      </w:divBdr>
    </w:div>
    <w:div w:id="450133090">
      <w:bodyDiv w:val="1"/>
      <w:marLeft w:val="0"/>
      <w:marRight w:val="0"/>
      <w:marTop w:val="0"/>
      <w:marBottom w:val="0"/>
      <w:divBdr>
        <w:top w:val="none" w:sz="0" w:space="0" w:color="auto"/>
        <w:left w:val="none" w:sz="0" w:space="0" w:color="auto"/>
        <w:bottom w:val="none" w:sz="0" w:space="0" w:color="auto"/>
        <w:right w:val="none" w:sz="0" w:space="0" w:color="auto"/>
      </w:divBdr>
    </w:div>
    <w:div w:id="481702077">
      <w:bodyDiv w:val="1"/>
      <w:marLeft w:val="0"/>
      <w:marRight w:val="0"/>
      <w:marTop w:val="0"/>
      <w:marBottom w:val="0"/>
      <w:divBdr>
        <w:top w:val="none" w:sz="0" w:space="0" w:color="auto"/>
        <w:left w:val="none" w:sz="0" w:space="0" w:color="auto"/>
        <w:bottom w:val="none" w:sz="0" w:space="0" w:color="auto"/>
        <w:right w:val="none" w:sz="0" w:space="0" w:color="auto"/>
      </w:divBdr>
    </w:div>
    <w:div w:id="542867324">
      <w:bodyDiv w:val="1"/>
      <w:marLeft w:val="0"/>
      <w:marRight w:val="0"/>
      <w:marTop w:val="0"/>
      <w:marBottom w:val="0"/>
      <w:divBdr>
        <w:top w:val="none" w:sz="0" w:space="0" w:color="auto"/>
        <w:left w:val="none" w:sz="0" w:space="0" w:color="auto"/>
        <w:bottom w:val="none" w:sz="0" w:space="0" w:color="auto"/>
        <w:right w:val="none" w:sz="0" w:space="0" w:color="auto"/>
      </w:divBdr>
    </w:div>
    <w:div w:id="591402208">
      <w:bodyDiv w:val="1"/>
      <w:marLeft w:val="0"/>
      <w:marRight w:val="0"/>
      <w:marTop w:val="0"/>
      <w:marBottom w:val="0"/>
      <w:divBdr>
        <w:top w:val="none" w:sz="0" w:space="0" w:color="auto"/>
        <w:left w:val="none" w:sz="0" w:space="0" w:color="auto"/>
        <w:bottom w:val="none" w:sz="0" w:space="0" w:color="auto"/>
        <w:right w:val="none" w:sz="0" w:space="0" w:color="auto"/>
      </w:divBdr>
    </w:div>
    <w:div w:id="631518466">
      <w:bodyDiv w:val="1"/>
      <w:marLeft w:val="0"/>
      <w:marRight w:val="0"/>
      <w:marTop w:val="0"/>
      <w:marBottom w:val="0"/>
      <w:divBdr>
        <w:top w:val="none" w:sz="0" w:space="0" w:color="auto"/>
        <w:left w:val="none" w:sz="0" w:space="0" w:color="auto"/>
        <w:bottom w:val="none" w:sz="0" w:space="0" w:color="auto"/>
        <w:right w:val="none" w:sz="0" w:space="0" w:color="auto"/>
      </w:divBdr>
    </w:div>
    <w:div w:id="717826829">
      <w:bodyDiv w:val="1"/>
      <w:marLeft w:val="0"/>
      <w:marRight w:val="0"/>
      <w:marTop w:val="0"/>
      <w:marBottom w:val="0"/>
      <w:divBdr>
        <w:top w:val="none" w:sz="0" w:space="0" w:color="auto"/>
        <w:left w:val="none" w:sz="0" w:space="0" w:color="auto"/>
        <w:bottom w:val="none" w:sz="0" w:space="0" w:color="auto"/>
        <w:right w:val="none" w:sz="0" w:space="0" w:color="auto"/>
      </w:divBdr>
    </w:div>
    <w:div w:id="832919277">
      <w:bodyDiv w:val="1"/>
      <w:marLeft w:val="0"/>
      <w:marRight w:val="0"/>
      <w:marTop w:val="0"/>
      <w:marBottom w:val="0"/>
      <w:divBdr>
        <w:top w:val="none" w:sz="0" w:space="0" w:color="auto"/>
        <w:left w:val="none" w:sz="0" w:space="0" w:color="auto"/>
        <w:bottom w:val="none" w:sz="0" w:space="0" w:color="auto"/>
        <w:right w:val="none" w:sz="0" w:space="0" w:color="auto"/>
      </w:divBdr>
    </w:div>
    <w:div w:id="838887323">
      <w:bodyDiv w:val="1"/>
      <w:marLeft w:val="0"/>
      <w:marRight w:val="0"/>
      <w:marTop w:val="0"/>
      <w:marBottom w:val="0"/>
      <w:divBdr>
        <w:top w:val="none" w:sz="0" w:space="0" w:color="auto"/>
        <w:left w:val="none" w:sz="0" w:space="0" w:color="auto"/>
        <w:bottom w:val="none" w:sz="0" w:space="0" w:color="auto"/>
        <w:right w:val="none" w:sz="0" w:space="0" w:color="auto"/>
      </w:divBdr>
    </w:div>
    <w:div w:id="877737198">
      <w:bodyDiv w:val="1"/>
      <w:marLeft w:val="0"/>
      <w:marRight w:val="0"/>
      <w:marTop w:val="0"/>
      <w:marBottom w:val="0"/>
      <w:divBdr>
        <w:top w:val="none" w:sz="0" w:space="0" w:color="auto"/>
        <w:left w:val="none" w:sz="0" w:space="0" w:color="auto"/>
        <w:bottom w:val="none" w:sz="0" w:space="0" w:color="auto"/>
        <w:right w:val="none" w:sz="0" w:space="0" w:color="auto"/>
      </w:divBdr>
    </w:div>
    <w:div w:id="883760836">
      <w:bodyDiv w:val="1"/>
      <w:marLeft w:val="0"/>
      <w:marRight w:val="0"/>
      <w:marTop w:val="0"/>
      <w:marBottom w:val="0"/>
      <w:divBdr>
        <w:top w:val="none" w:sz="0" w:space="0" w:color="auto"/>
        <w:left w:val="none" w:sz="0" w:space="0" w:color="auto"/>
        <w:bottom w:val="none" w:sz="0" w:space="0" w:color="auto"/>
        <w:right w:val="none" w:sz="0" w:space="0" w:color="auto"/>
      </w:divBdr>
    </w:div>
    <w:div w:id="971405461">
      <w:bodyDiv w:val="1"/>
      <w:marLeft w:val="0"/>
      <w:marRight w:val="0"/>
      <w:marTop w:val="0"/>
      <w:marBottom w:val="0"/>
      <w:divBdr>
        <w:top w:val="none" w:sz="0" w:space="0" w:color="auto"/>
        <w:left w:val="none" w:sz="0" w:space="0" w:color="auto"/>
        <w:bottom w:val="none" w:sz="0" w:space="0" w:color="auto"/>
        <w:right w:val="none" w:sz="0" w:space="0" w:color="auto"/>
      </w:divBdr>
    </w:div>
    <w:div w:id="1088186430">
      <w:bodyDiv w:val="1"/>
      <w:marLeft w:val="0"/>
      <w:marRight w:val="0"/>
      <w:marTop w:val="0"/>
      <w:marBottom w:val="0"/>
      <w:divBdr>
        <w:top w:val="none" w:sz="0" w:space="0" w:color="auto"/>
        <w:left w:val="none" w:sz="0" w:space="0" w:color="auto"/>
        <w:bottom w:val="none" w:sz="0" w:space="0" w:color="auto"/>
        <w:right w:val="none" w:sz="0" w:space="0" w:color="auto"/>
      </w:divBdr>
    </w:div>
    <w:div w:id="1103379070">
      <w:bodyDiv w:val="1"/>
      <w:marLeft w:val="0"/>
      <w:marRight w:val="0"/>
      <w:marTop w:val="0"/>
      <w:marBottom w:val="0"/>
      <w:divBdr>
        <w:top w:val="none" w:sz="0" w:space="0" w:color="auto"/>
        <w:left w:val="none" w:sz="0" w:space="0" w:color="auto"/>
        <w:bottom w:val="none" w:sz="0" w:space="0" w:color="auto"/>
        <w:right w:val="none" w:sz="0" w:space="0" w:color="auto"/>
      </w:divBdr>
    </w:div>
    <w:div w:id="1235164133">
      <w:bodyDiv w:val="1"/>
      <w:marLeft w:val="0"/>
      <w:marRight w:val="0"/>
      <w:marTop w:val="0"/>
      <w:marBottom w:val="0"/>
      <w:divBdr>
        <w:top w:val="none" w:sz="0" w:space="0" w:color="auto"/>
        <w:left w:val="none" w:sz="0" w:space="0" w:color="auto"/>
        <w:bottom w:val="none" w:sz="0" w:space="0" w:color="auto"/>
        <w:right w:val="none" w:sz="0" w:space="0" w:color="auto"/>
      </w:divBdr>
    </w:div>
    <w:div w:id="1253705108">
      <w:bodyDiv w:val="1"/>
      <w:marLeft w:val="0"/>
      <w:marRight w:val="0"/>
      <w:marTop w:val="0"/>
      <w:marBottom w:val="0"/>
      <w:divBdr>
        <w:top w:val="none" w:sz="0" w:space="0" w:color="auto"/>
        <w:left w:val="none" w:sz="0" w:space="0" w:color="auto"/>
        <w:bottom w:val="none" w:sz="0" w:space="0" w:color="auto"/>
        <w:right w:val="none" w:sz="0" w:space="0" w:color="auto"/>
      </w:divBdr>
    </w:div>
    <w:div w:id="1256478478">
      <w:bodyDiv w:val="1"/>
      <w:marLeft w:val="0"/>
      <w:marRight w:val="0"/>
      <w:marTop w:val="0"/>
      <w:marBottom w:val="0"/>
      <w:divBdr>
        <w:top w:val="none" w:sz="0" w:space="0" w:color="auto"/>
        <w:left w:val="none" w:sz="0" w:space="0" w:color="auto"/>
        <w:bottom w:val="none" w:sz="0" w:space="0" w:color="auto"/>
        <w:right w:val="none" w:sz="0" w:space="0" w:color="auto"/>
      </w:divBdr>
      <w:divsChild>
        <w:div w:id="1433621612">
          <w:marLeft w:val="0"/>
          <w:marRight w:val="0"/>
          <w:marTop w:val="0"/>
          <w:marBottom w:val="0"/>
          <w:divBdr>
            <w:top w:val="none" w:sz="0" w:space="0" w:color="auto"/>
            <w:left w:val="none" w:sz="0" w:space="0" w:color="auto"/>
            <w:bottom w:val="none" w:sz="0" w:space="0" w:color="auto"/>
            <w:right w:val="none" w:sz="0" w:space="0" w:color="auto"/>
          </w:divBdr>
          <w:divsChild>
            <w:div w:id="979455607">
              <w:marLeft w:val="0"/>
              <w:marRight w:val="0"/>
              <w:marTop w:val="0"/>
              <w:marBottom w:val="0"/>
              <w:divBdr>
                <w:top w:val="none" w:sz="0" w:space="0" w:color="auto"/>
                <w:left w:val="none" w:sz="0" w:space="0" w:color="auto"/>
                <w:bottom w:val="none" w:sz="0" w:space="0" w:color="auto"/>
                <w:right w:val="none" w:sz="0" w:space="0" w:color="auto"/>
              </w:divBdr>
              <w:divsChild>
                <w:div w:id="130828084">
                  <w:marLeft w:val="0"/>
                  <w:marRight w:val="0"/>
                  <w:marTop w:val="0"/>
                  <w:marBottom w:val="0"/>
                  <w:divBdr>
                    <w:top w:val="none" w:sz="0" w:space="0" w:color="auto"/>
                    <w:left w:val="none" w:sz="0" w:space="0" w:color="auto"/>
                    <w:bottom w:val="none" w:sz="0" w:space="0" w:color="auto"/>
                    <w:right w:val="none" w:sz="0" w:space="0" w:color="auto"/>
                  </w:divBdr>
                  <w:divsChild>
                    <w:div w:id="1077440533">
                      <w:marLeft w:val="0"/>
                      <w:marRight w:val="0"/>
                      <w:marTop w:val="0"/>
                      <w:marBottom w:val="0"/>
                      <w:divBdr>
                        <w:top w:val="none" w:sz="0" w:space="0" w:color="auto"/>
                        <w:left w:val="none" w:sz="0" w:space="0" w:color="auto"/>
                        <w:bottom w:val="none" w:sz="0" w:space="0" w:color="auto"/>
                        <w:right w:val="none" w:sz="0" w:space="0" w:color="auto"/>
                      </w:divBdr>
                      <w:divsChild>
                        <w:div w:id="248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560137">
      <w:bodyDiv w:val="1"/>
      <w:marLeft w:val="0"/>
      <w:marRight w:val="0"/>
      <w:marTop w:val="0"/>
      <w:marBottom w:val="0"/>
      <w:divBdr>
        <w:top w:val="none" w:sz="0" w:space="0" w:color="auto"/>
        <w:left w:val="none" w:sz="0" w:space="0" w:color="auto"/>
        <w:bottom w:val="none" w:sz="0" w:space="0" w:color="auto"/>
        <w:right w:val="none" w:sz="0" w:space="0" w:color="auto"/>
      </w:divBdr>
    </w:div>
    <w:div w:id="1294870068">
      <w:bodyDiv w:val="1"/>
      <w:marLeft w:val="0"/>
      <w:marRight w:val="0"/>
      <w:marTop w:val="0"/>
      <w:marBottom w:val="0"/>
      <w:divBdr>
        <w:top w:val="none" w:sz="0" w:space="0" w:color="auto"/>
        <w:left w:val="none" w:sz="0" w:space="0" w:color="auto"/>
        <w:bottom w:val="none" w:sz="0" w:space="0" w:color="auto"/>
        <w:right w:val="none" w:sz="0" w:space="0" w:color="auto"/>
      </w:divBdr>
    </w:div>
    <w:div w:id="1296452724">
      <w:bodyDiv w:val="1"/>
      <w:marLeft w:val="0"/>
      <w:marRight w:val="0"/>
      <w:marTop w:val="0"/>
      <w:marBottom w:val="0"/>
      <w:divBdr>
        <w:top w:val="none" w:sz="0" w:space="0" w:color="auto"/>
        <w:left w:val="none" w:sz="0" w:space="0" w:color="auto"/>
        <w:bottom w:val="none" w:sz="0" w:space="0" w:color="auto"/>
        <w:right w:val="none" w:sz="0" w:space="0" w:color="auto"/>
      </w:divBdr>
    </w:div>
    <w:div w:id="1306351044">
      <w:bodyDiv w:val="1"/>
      <w:marLeft w:val="0"/>
      <w:marRight w:val="0"/>
      <w:marTop w:val="0"/>
      <w:marBottom w:val="0"/>
      <w:divBdr>
        <w:top w:val="none" w:sz="0" w:space="0" w:color="auto"/>
        <w:left w:val="none" w:sz="0" w:space="0" w:color="auto"/>
        <w:bottom w:val="none" w:sz="0" w:space="0" w:color="auto"/>
        <w:right w:val="none" w:sz="0" w:space="0" w:color="auto"/>
      </w:divBdr>
    </w:div>
    <w:div w:id="1358237463">
      <w:bodyDiv w:val="1"/>
      <w:marLeft w:val="0"/>
      <w:marRight w:val="0"/>
      <w:marTop w:val="0"/>
      <w:marBottom w:val="0"/>
      <w:divBdr>
        <w:top w:val="none" w:sz="0" w:space="0" w:color="auto"/>
        <w:left w:val="none" w:sz="0" w:space="0" w:color="auto"/>
        <w:bottom w:val="none" w:sz="0" w:space="0" w:color="auto"/>
        <w:right w:val="none" w:sz="0" w:space="0" w:color="auto"/>
      </w:divBdr>
    </w:div>
    <w:div w:id="1379819211">
      <w:bodyDiv w:val="1"/>
      <w:marLeft w:val="0"/>
      <w:marRight w:val="0"/>
      <w:marTop w:val="0"/>
      <w:marBottom w:val="0"/>
      <w:divBdr>
        <w:top w:val="none" w:sz="0" w:space="0" w:color="auto"/>
        <w:left w:val="none" w:sz="0" w:space="0" w:color="auto"/>
        <w:bottom w:val="none" w:sz="0" w:space="0" w:color="auto"/>
        <w:right w:val="none" w:sz="0" w:space="0" w:color="auto"/>
      </w:divBdr>
    </w:div>
    <w:div w:id="1424760396">
      <w:bodyDiv w:val="1"/>
      <w:marLeft w:val="0"/>
      <w:marRight w:val="0"/>
      <w:marTop w:val="0"/>
      <w:marBottom w:val="0"/>
      <w:divBdr>
        <w:top w:val="none" w:sz="0" w:space="0" w:color="auto"/>
        <w:left w:val="none" w:sz="0" w:space="0" w:color="auto"/>
        <w:bottom w:val="none" w:sz="0" w:space="0" w:color="auto"/>
        <w:right w:val="none" w:sz="0" w:space="0" w:color="auto"/>
      </w:divBdr>
    </w:div>
    <w:div w:id="1434125750">
      <w:bodyDiv w:val="1"/>
      <w:marLeft w:val="0"/>
      <w:marRight w:val="0"/>
      <w:marTop w:val="0"/>
      <w:marBottom w:val="0"/>
      <w:divBdr>
        <w:top w:val="none" w:sz="0" w:space="0" w:color="auto"/>
        <w:left w:val="none" w:sz="0" w:space="0" w:color="auto"/>
        <w:bottom w:val="none" w:sz="0" w:space="0" w:color="auto"/>
        <w:right w:val="none" w:sz="0" w:space="0" w:color="auto"/>
      </w:divBdr>
    </w:div>
    <w:div w:id="1475872428">
      <w:bodyDiv w:val="1"/>
      <w:marLeft w:val="0"/>
      <w:marRight w:val="0"/>
      <w:marTop w:val="0"/>
      <w:marBottom w:val="0"/>
      <w:divBdr>
        <w:top w:val="none" w:sz="0" w:space="0" w:color="auto"/>
        <w:left w:val="none" w:sz="0" w:space="0" w:color="auto"/>
        <w:bottom w:val="none" w:sz="0" w:space="0" w:color="auto"/>
        <w:right w:val="none" w:sz="0" w:space="0" w:color="auto"/>
      </w:divBdr>
    </w:div>
    <w:div w:id="1552304278">
      <w:bodyDiv w:val="1"/>
      <w:marLeft w:val="0"/>
      <w:marRight w:val="0"/>
      <w:marTop w:val="0"/>
      <w:marBottom w:val="0"/>
      <w:divBdr>
        <w:top w:val="none" w:sz="0" w:space="0" w:color="auto"/>
        <w:left w:val="none" w:sz="0" w:space="0" w:color="auto"/>
        <w:bottom w:val="none" w:sz="0" w:space="0" w:color="auto"/>
        <w:right w:val="none" w:sz="0" w:space="0" w:color="auto"/>
      </w:divBdr>
    </w:div>
    <w:div w:id="1555236984">
      <w:bodyDiv w:val="1"/>
      <w:marLeft w:val="0"/>
      <w:marRight w:val="0"/>
      <w:marTop w:val="0"/>
      <w:marBottom w:val="0"/>
      <w:divBdr>
        <w:top w:val="none" w:sz="0" w:space="0" w:color="auto"/>
        <w:left w:val="none" w:sz="0" w:space="0" w:color="auto"/>
        <w:bottom w:val="none" w:sz="0" w:space="0" w:color="auto"/>
        <w:right w:val="none" w:sz="0" w:space="0" w:color="auto"/>
      </w:divBdr>
    </w:div>
    <w:div w:id="1561090239">
      <w:bodyDiv w:val="1"/>
      <w:marLeft w:val="0"/>
      <w:marRight w:val="0"/>
      <w:marTop w:val="0"/>
      <w:marBottom w:val="0"/>
      <w:divBdr>
        <w:top w:val="none" w:sz="0" w:space="0" w:color="auto"/>
        <w:left w:val="none" w:sz="0" w:space="0" w:color="auto"/>
        <w:bottom w:val="none" w:sz="0" w:space="0" w:color="auto"/>
        <w:right w:val="none" w:sz="0" w:space="0" w:color="auto"/>
      </w:divBdr>
    </w:div>
    <w:div w:id="1571774162">
      <w:bodyDiv w:val="1"/>
      <w:marLeft w:val="0"/>
      <w:marRight w:val="0"/>
      <w:marTop w:val="0"/>
      <w:marBottom w:val="0"/>
      <w:divBdr>
        <w:top w:val="none" w:sz="0" w:space="0" w:color="auto"/>
        <w:left w:val="none" w:sz="0" w:space="0" w:color="auto"/>
        <w:bottom w:val="none" w:sz="0" w:space="0" w:color="auto"/>
        <w:right w:val="none" w:sz="0" w:space="0" w:color="auto"/>
      </w:divBdr>
    </w:div>
    <w:div w:id="1577667731">
      <w:bodyDiv w:val="1"/>
      <w:marLeft w:val="0"/>
      <w:marRight w:val="0"/>
      <w:marTop w:val="0"/>
      <w:marBottom w:val="0"/>
      <w:divBdr>
        <w:top w:val="none" w:sz="0" w:space="0" w:color="auto"/>
        <w:left w:val="none" w:sz="0" w:space="0" w:color="auto"/>
        <w:bottom w:val="none" w:sz="0" w:space="0" w:color="auto"/>
        <w:right w:val="none" w:sz="0" w:space="0" w:color="auto"/>
      </w:divBdr>
    </w:div>
    <w:div w:id="1586105950">
      <w:bodyDiv w:val="1"/>
      <w:marLeft w:val="0"/>
      <w:marRight w:val="0"/>
      <w:marTop w:val="0"/>
      <w:marBottom w:val="0"/>
      <w:divBdr>
        <w:top w:val="none" w:sz="0" w:space="0" w:color="auto"/>
        <w:left w:val="none" w:sz="0" w:space="0" w:color="auto"/>
        <w:bottom w:val="none" w:sz="0" w:space="0" w:color="auto"/>
        <w:right w:val="none" w:sz="0" w:space="0" w:color="auto"/>
      </w:divBdr>
    </w:div>
    <w:div w:id="1615289786">
      <w:bodyDiv w:val="1"/>
      <w:marLeft w:val="0"/>
      <w:marRight w:val="0"/>
      <w:marTop w:val="0"/>
      <w:marBottom w:val="0"/>
      <w:divBdr>
        <w:top w:val="none" w:sz="0" w:space="0" w:color="auto"/>
        <w:left w:val="none" w:sz="0" w:space="0" w:color="auto"/>
        <w:bottom w:val="none" w:sz="0" w:space="0" w:color="auto"/>
        <w:right w:val="none" w:sz="0" w:space="0" w:color="auto"/>
      </w:divBdr>
    </w:div>
    <w:div w:id="1708488346">
      <w:bodyDiv w:val="1"/>
      <w:marLeft w:val="0"/>
      <w:marRight w:val="0"/>
      <w:marTop w:val="0"/>
      <w:marBottom w:val="0"/>
      <w:divBdr>
        <w:top w:val="none" w:sz="0" w:space="0" w:color="auto"/>
        <w:left w:val="none" w:sz="0" w:space="0" w:color="auto"/>
        <w:bottom w:val="none" w:sz="0" w:space="0" w:color="auto"/>
        <w:right w:val="none" w:sz="0" w:space="0" w:color="auto"/>
      </w:divBdr>
    </w:div>
    <w:div w:id="1755083532">
      <w:bodyDiv w:val="1"/>
      <w:marLeft w:val="0"/>
      <w:marRight w:val="0"/>
      <w:marTop w:val="0"/>
      <w:marBottom w:val="0"/>
      <w:divBdr>
        <w:top w:val="none" w:sz="0" w:space="0" w:color="auto"/>
        <w:left w:val="none" w:sz="0" w:space="0" w:color="auto"/>
        <w:bottom w:val="none" w:sz="0" w:space="0" w:color="auto"/>
        <w:right w:val="none" w:sz="0" w:space="0" w:color="auto"/>
      </w:divBdr>
    </w:div>
    <w:div w:id="1794327369">
      <w:bodyDiv w:val="1"/>
      <w:marLeft w:val="0"/>
      <w:marRight w:val="0"/>
      <w:marTop w:val="0"/>
      <w:marBottom w:val="0"/>
      <w:divBdr>
        <w:top w:val="none" w:sz="0" w:space="0" w:color="auto"/>
        <w:left w:val="none" w:sz="0" w:space="0" w:color="auto"/>
        <w:bottom w:val="none" w:sz="0" w:space="0" w:color="auto"/>
        <w:right w:val="none" w:sz="0" w:space="0" w:color="auto"/>
      </w:divBdr>
    </w:div>
    <w:div w:id="1807897069">
      <w:bodyDiv w:val="1"/>
      <w:marLeft w:val="0"/>
      <w:marRight w:val="0"/>
      <w:marTop w:val="0"/>
      <w:marBottom w:val="0"/>
      <w:divBdr>
        <w:top w:val="none" w:sz="0" w:space="0" w:color="auto"/>
        <w:left w:val="none" w:sz="0" w:space="0" w:color="auto"/>
        <w:bottom w:val="none" w:sz="0" w:space="0" w:color="auto"/>
        <w:right w:val="none" w:sz="0" w:space="0" w:color="auto"/>
      </w:divBdr>
    </w:div>
    <w:div w:id="1824882202">
      <w:bodyDiv w:val="1"/>
      <w:marLeft w:val="0"/>
      <w:marRight w:val="0"/>
      <w:marTop w:val="0"/>
      <w:marBottom w:val="0"/>
      <w:divBdr>
        <w:top w:val="none" w:sz="0" w:space="0" w:color="auto"/>
        <w:left w:val="none" w:sz="0" w:space="0" w:color="auto"/>
        <w:bottom w:val="none" w:sz="0" w:space="0" w:color="auto"/>
        <w:right w:val="none" w:sz="0" w:space="0" w:color="auto"/>
      </w:divBdr>
    </w:div>
    <w:div w:id="1896969441">
      <w:bodyDiv w:val="1"/>
      <w:marLeft w:val="0"/>
      <w:marRight w:val="0"/>
      <w:marTop w:val="0"/>
      <w:marBottom w:val="0"/>
      <w:divBdr>
        <w:top w:val="none" w:sz="0" w:space="0" w:color="auto"/>
        <w:left w:val="none" w:sz="0" w:space="0" w:color="auto"/>
        <w:bottom w:val="none" w:sz="0" w:space="0" w:color="auto"/>
        <w:right w:val="none" w:sz="0" w:space="0" w:color="auto"/>
      </w:divBdr>
    </w:div>
    <w:div w:id="2026247161">
      <w:bodyDiv w:val="1"/>
      <w:marLeft w:val="0"/>
      <w:marRight w:val="0"/>
      <w:marTop w:val="0"/>
      <w:marBottom w:val="0"/>
      <w:divBdr>
        <w:top w:val="none" w:sz="0" w:space="0" w:color="auto"/>
        <w:left w:val="none" w:sz="0" w:space="0" w:color="auto"/>
        <w:bottom w:val="none" w:sz="0" w:space="0" w:color="auto"/>
        <w:right w:val="none" w:sz="0" w:space="0" w:color="auto"/>
      </w:divBdr>
    </w:div>
    <w:div w:id="20922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40B8A-35E3-44D3-8F57-68BD4C9A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Appendix A - New Report Layout including Sign Off Sheet</vt:lpstr>
    </vt:vector>
  </TitlesOfParts>
  <Company>LBBD</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New Report Layout including Sign Off Sheet</dc:title>
  <dc:subject>Report Writing</dc:subject>
  <dc:creator>Barry Ray</dc:creator>
  <cp:lastModifiedBy>Young Nichola</cp:lastModifiedBy>
  <cp:revision>3</cp:revision>
  <cp:lastPrinted>2018-01-08T13:37:00Z</cp:lastPrinted>
  <dcterms:created xsi:type="dcterms:W3CDTF">2018-03-09T14:30:00Z</dcterms:created>
  <dcterms:modified xsi:type="dcterms:W3CDTF">2018-03-09T14:30:00Z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endixCharacter">
    <vt:lpwstr> </vt:lpwstr>
  </property>
</Properties>
</file>