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BF" w:rsidRPr="004F787C" w:rsidRDefault="003568BF" w:rsidP="003568BF">
      <w:pPr>
        <w:jc w:val="center"/>
        <w:rPr>
          <w:rFonts w:cs="Arial"/>
          <w:b/>
          <w:color w:val="000000"/>
        </w:rPr>
      </w:pPr>
      <w:bookmarkStart w:id="0" w:name="_GoBack"/>
      <w:bookmarkEnd w:id="0"/>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rsidR="009A0F2F" w:rsidRPr="00F62747" w:rsidRDefault="009A0F2F" w:rsidP="00242399">
      <w:pPr>
        <w:jc w:val="center"/>
        <w:rPr>
          <w:rFonts w:cs="Arial"/>
          <w:b/>
          <w:color w:val="000000"/>
          <w:sz w:val="20"/>
          <w:szCs w:val="20"/>
        </w:rPr>
      </w:pPr>
    </w:p>
    <w:p w:rsidR="002F283D" w:rsidRPr="00B54455" w:rsidRDefault="00BB7BD9" w:rsidP="002F283D">
      <w:pPr>
        <w:jc w:val="center"/>
        <w:rPr>
          <w:rFonts w:cs="Arial"/>
          <w:b/>
          <w:color w:val="000000"/>
        </w:rPr>
      </w:pPr>
      <w:r w:rsidRPr="004F787C">
        <w:rPr>
          <w:rFonts w:cs="Arial"/>
          <w:b/>
          <w:color w:val="000000"/>
        </w:rPr>
        <w:t>(</w:t>
      </w:r>
      <w:r w:rsidR="00DB3B61">
        <w:rPr>
          <w:rFonts w:cs="Arial"/>
          <w:b/>
          <w:color w:val="000000"/>
        </w:rPr>
        <w:t xml:space="preserve">Tuesday </w:t>
      </w:r>
      <w:r w:rsidR="00B25174">
        <w:rPr>
          <w:rFonts w:cs="Arial"/>
          <w:b/>
          <w:color w:val="000000"/>
        </w:rPr>
        <w:t>17</w:t>
      </w:r>
      <w:r w:rsidR="002F283D" w:rsidRPr="00305601">
        <w:rPr>
          <w:rFonts w:cs="Arial"/>
          <w:b/>
          <w:color w:val="000000"/>
          <w:vertAlign w:val="superscript"/>
        </w:rPr>
        <w:t>th</w:t>
      </w:r>
      <w:r w:rsidR="00B25174">
        <w:rPr>
          <w:rFonts w:cs="Arial"/>
          <w:b/>
          <w:color w:val="000000"/>
        </w:rPr>
        <w:t xml:space="preserve"> October 2017</w:t>
      </w:r>
      <w:r w:rsidR="002F283D" w:rsidRPr="004F787C">
        <w:rPr>
          <w:rFonts w:cs="Arial"/>
          <w:b/>
          <w:color w:val="000000"/>
        </w:rPr>
        <w:t>)</w:t>
      </w:r>
    </w:p>
    <w:p w:rsidR="009A0F2F" w:rsidRPr="00FF5830" w:rsidRDefault="009A0F2F" w:rsidP="00F7272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3449"/>
      </w:tblGrid>
      <w:tr w:rsidR="00462371" w:rsidRPr="002F283D" w:rsidTr="00553269">
        <w:tc>
          <w:tcPr>
            <w:tcW w:w="9857" w:type="dxa"/>
            <w:gridSpan w:val="2"/>
          </w:tcPr>
          <w:p w:rsidR="00385FC8" w:rsidRPr="002F283D" w:rsidRDefault="00462371" w:rsidP="00385FC8">
            <w:pPr>
              <w:rPr>
                <w:rFonts w:cs="Arial"/>
                <w:color w:val="000000"/>
              </w:rPr>
            </w:pPr>
            <w:r w:rsidRPr="002F283D">
              <w:rPr>
                <w:rFonts w:cs="Arial"/>
                <w:b/>
              </w:rPr>
              <w:t>Title:</w:t>
            </w:r>
            <w:r w:rsidRPr="002F283D">
              <w:rPr>
                <w:rFonts w:cs="Arial"/>
              </w:rPr>
              <w:t xml:space="preserve"> </w:t>
            </w:r>
            <w:r w:rsidR="00E45801" w:rsidRPr="002F283D">
              <w:rPr>
                <w:rFonts w:cs="Arial"/>
                <w:b/>
                <w:color w:val="000000"/>
              </w:rPr>
              <w:t>School F</w:t>
            </w:r>
            <w:r w:rsidR="00385FC8" w:rsidRPr="002F283D">
              <w:rPr>
                <w:rFonts w:cs="Arial"/>
                <w:b/>
                <w:color w:val="000000"/>
              </w:rPr>
              <w:t>orum Report</w:t>
            </w:r>
          </w:p>
        </w:tc>
      </w:tr>
      <w:tr w:rsidR="00EC2A42" w:rsidRPr="00553269" w:rsidTr="00553269">
        <w:tc>
          <w:tcPr>
            <w:tcW w:w="9857" w:type="dxa"/>
            <w:gridSpan w:val="2"/>
          </w:tcPr>
          <w:p w:rsidR="00EC2A42" w:rsidRPr="002F283D" w:rsidRDefault="00EC2A42" w:rsidP="00F7272A">
            <w:pPr>
              <w:rPr>
                <w:rFonts w:cs="Arial"/>
                <w:b/>
                <w:color w:val="000000"/>
              </w:rPr>
            </w:pPr>
            <w:r w:rsidRPr="006B0B04">
              <w:rPr>
                <w:rFonts w:cs="Arial"/>
                <w:b/>
              </w:rPr>
              <w:t>R</w:t>
            </w:r>
            <w:r w:rsidR="00DC116F">
              <w:rPr>
                <w:rFonts w:cs="Arial"/>
                <w:b/>
              </w:rPr>
              <w:t>eport of</w:t>
            </w:r>
            <w:r w:rsidR="005F3A5D">
              <w:rPr>
                <w:rFonts w:cs="Arial"/>
                <w:b/>
              </w:rPr>
              <w:t>:</w:t>
            </w:r>
            <w:r w:rsidRPr="006B0B04">
              <w:rPr>
                <w:rFonts w:cs="Arial"/>
                <w:b/>
              </w:rPr>
              <w:t xml:space="preserve"> </w:t>
            </w:r>
            <w:r w:rsidR="002F283D" w:rsidRPr="007D2EAC">
              <w:rPr>
                <w:rFonts w:cs="Arial"/>
                <w:b/>
                <w:color w:val="000000"/>
              </w:rPr>
              <w:t>DIRECTOR</w:t>
            </w:r>
            <w:r w:rsidR="002F283D">
              <w:rPr>
                <w:rFonts w:cs="Arial"/>
                <w:b/>
                <w:color w:val="000000"/>
              </w:rPr>
              <w:t xml:space="preserve"> of EDUCATION</w:t>
            </w:r>
          </w:p>
        </w:tc>
      </w:tr>
      <w:tr w:rsidR="00461800" w:rsidRPr="00553269" w:rsidTr="002F283D">
        <w:tc>
          <w:tcPr>
            <w:tcW w:w="6408" w:type="dxa"/>
          </w:tcPr>
          <w:p w:rsidR="00461800" w:rsidRPr="00553269" w:rsidRDefault="00461800" w:rsidP="00462371">
            <w:pPr>
              <w:rPr>
                <w:rFonts w:cs="Arial"/>
              </w:rPr>
            </w:pPr>
            <w:r w:rsidRPr="00553269">
              <w:rPr>
                <w:rFonts w:cs="Arial"/>
                <w:b/>
              </w:rPr>
              <w:t>O</w:t>
            </w:r>
            <w:r w:rsidR="00DC116F">
              <w:rPr>
                <w:rFonts w:cs="Arial"/>
                <w:b/>
              </w:rPr>
              <w:t>pen</w:t>
            </w:r>
          </w:p>
          <w:p w:rsidR="00461800" w:rsidRPr="00553269" w:rsidRDefault="00461800" w:rsidP="00462371">
            <w:pPr>
              <w:rPr>
                <w:rFonts w:cs="Arial"/>
                <w:b/>
              </w:rPr>
            </w:pPr>
          </w:p>
        </w:tc>
        <w:tc>
          <w:tcPr>
            <w:tcW w:w="3449" w:type="dxa"/>
          </w:tcPr>
          <w:p w:rsidR="00461800" w:rsidRPr="00553269" w:rsidRDefault="00462371" w:rsidP="00F62747">
            <w:pPr>
              <w:rPr>
                <w:rFonts w:cs="Arial"/>
                <w:b/>
              </w:rPr>
            </w:pPr>
            <w:r w:rsidRPr="00553269">
              <w:rPr>
                <w:rFonts w:cs="Arial"/>
                <w:b/>
              </w:rPr>
              <w:t>For Decision / For Information</w:t>
            </w:r>
          </w:p>
        </w:tc>
      </w:tr>
      <w:tr w:rsidR="00462371" w:rsidRPr="00553269" w:rsidTr="002F283D">
        <w:tc>
          <w:tcPr>
            <w:tcW w:w="6408" w:type="dxa"/>
          </w:tcPr>
          <w:p w:rsidR="00462371" w:rsidRPr="00553269" w:rsidRDefault="00462371" w:rsidP="00191E9D">
            <w:pPr>
              <w:rPr>
                <w:rFonts w:cs="Arial"/>
                <w:b/>
              </w:rPr>
            </w:pPr>
            <w:r w:rsidRPr="00553269">
              <w:rPr>
                <w:rFonts w:cs="Arial"/>
                <w:b/>
              </w:rPr>
              <w:t xml:space="preserve">Wards Affected: </w:t>
            </w:r>
            <w:r w:rsidR="004F787C">
              <w:rPr>
                <w:rFonts w:cs="Arial"/>
                <w:b/>
              </w:rPr>
              <w:t>All</w:t>
            </w:r>
          </w:p>
        </w:tc>
        <w:tc>
          <w:tcPr>
            <w:tcW w:w="3449" w:type="dxa"/>
          </w:tcPr>
          <w:p w:rsidR="00462371" w:rsidRPr="00553269" w:rsidRDefault="00462371" w:rsidP="004F787C">
            <w:pPr>
              <w:rPr>
                <w:rFonts w:cs="Arial"/>
                <w:b/>
              </w:rPr>
            </w:pPr>
            <w:r w:rsidRPr="00553269">
              <w:rPr>
                <w:rFonts w:cs="Arial"/>
                <w:b/>
              </w:rPr>
              <w:t xml:space="preserve">Key Decision: </w:t>
            </w:r>
            <w:r w:rsidR="004F787C">
              <w:rPr>
                <w:rFonts w:cs="Arial"/>
                <w:b/>
              </w:rPr>
              <w:t>No</w:t>
            </w:r>
          </w:p>
        </w:tc>
      </w:tr>
      <w:tr w:rsidR="00462371" w:rsidRPr="00553269" w:rsidTr="002F283D">
        <w:tc>
          <w:tcPr>
            <w:tcW w:w="6408" w:type="dxa"/>
          </w:tcPr>
          <w:p w:rsidR="00462371" w:rsidRDefault="00462371" w:rsidP="00462371">
            <w:pPr>
              <w:rPr>
                <w:rFonts w:cs="Arial"/>
                <w:b/>
              </w:rPr>
            </w:pPr>
            <w:r w:rsidRPr="00553269">
              <w:rPr>
                <w:rFonts w:cs="Arial"/>
                <w:b/>
              </w:rPr>
              <w:t xml:space="preserve">Report </w:t>
            </w:r>
            <w:r w:rsidR="006E145D" w:rsidRPr="00553269">
              <w:rPr>
                <w:rFonts w:cs="Arial"/>
                <w:b/>
              </w:rPr>
              <w:t>Author</w:t>
            </w:r>
            <w:r w:rsidRPr="00553269">
              <w:rPr>
                <w:rFonts w:cs="Arial"/>
                <w:b/>
              </w:rPr>
              <w:t xml:space="preserve">: </w:t>
            </w:r>
          </w:p>
          <w:p w:rsidR="002F283D" w:rsidRDefault="002F283D" w:rsidP="002F283D">
            <w:pPr>
              <w:rPr>
                <w:rFonts w:cs="Arial"/>
              </w:rPr>
            </w:pPr>
            <w:r>
              <w:rPr>
                <w:rFonts w:cs="Arial"/>
              </w:rPr>
              <w:t>Daksha Chauhan, Group Accountant (Finance)</w:t>
            </w:r>
          </w:p>
          <w:p w:rsidR="00462371" w:rsidRPr="00553269" w:rsidRDefault="00462371" w:rsidP="00462371">
            <w:pPr>
              <w:rPr>
                <w:rFonts w:cs="Arial"/>
                <w:b/>
              </w:rPr>
            </w:pPr>
          </w:p>
        </w:tc>
        <w:tc>
          <w:tcPr>
            <w:tcW w:w="3449" w:type="dxa"/>
          </w:tcPr>
          <w:p w:rsidR="00462371" w:rsidRPr="00553269" w:rsidRDefault="00462371" w:rsidP="00553269">
            <w:pPr>
              <w:pStyle w:val="Header"/>
              <w:tabs>
                <w:tab w:val="clear" w:pos="4320"/>
                <w:tab w:val="clear" w:pos="8640"/>
              </w:tabs>
              <w:rPr>
                <w:rFonts w:cs="Arial"/>
                <w:b/>
              </w:rPr>
            </w:pPr>
            <w:r w:rsidRPr="00553269">
              <w:rPr>
                <w:rFonts w:cs="Arial"/>
                <w:b/>
              </w:rPr>
              <w:t>Contact Details:</w:t>
            </w:r>
          </w:p>
          <w:p w:rsidR="002F283D" w:rsidRPr="004F787C" w:rsidRDefault="002F283D" w:rsidP="002F283D">
            <w:pPr>
              <w:rPr>
                <w:rFonts w:cs="Arial"/>
                <w:color w:val="000000"/>
              </w:rPr>
            </w:pPr>
            <w:r w:rsidRPr="00553269">
              <w:rPr>
                <w:rFonts w:cs="Arial"/>
              </w:rPr>
              <w:t xml:space="preserve">Tel: 020 </w:t>
            </w:r>
            <w:r>
              <w:rPr>
                <w:rFonts w:cs="Arial"/>
                <w:color w:val="000000"/>
              </w:rPr>
              <w:t>8227</w:t>
            </w:r>
            <w:r w:rsidRPr="004F787C">
              <w:rPr>
                <w:rFonts w:cs="Arial"/>
                <w:color w:val="000000"/>
              </w:rPr>
              <w:t xml:space="preserve"> </w:t>
            </w:r>
            <w:r>
              <w:rPr>
                <w:rFonts w:cs="Arial"/>
                <w:color w:val="000000"/>
              </w:rPr>
              <w:t>2250</w:t>
            </w:r>
          </w:p>
          <w:p w:rsidR="00462371" w:rsidRPr="004F787C" w:rsidRDefault="002F283D" w:rsidP="002F283D">
            <w:pPr>
              <w:rPr>
                <w:rFonts w:cs="Arial"/>
                <w:color w:val="000000"/>
              </w:rPr>
            </w:pPr>
            <w:r w:rsidRPr="00553269">
              <w:rPr>
                <w:rFonts w:cs="Arial"/>
              </w:rPr>
              <w:t xml:space="preserve">E-mail: </w:t>
            </w:r>
            <w:r>
              <w:rPr>
                <w:rFonts w:cs="Arial"/>
              </w:rPr>
              <w:t>daksha.chauhan</w:t>
            </w:r>
            <w:r>
              <w:rPr>
                <w:rFonts w:cs="Arial"/>
                <w:color w:val="000000"/>
              </w:rPr>
              <w:t>@lbbd.gov.uk</w:t>
            </w:r>
          </w:p>
        </w:tc>
      </w:tr>
      <w:tr w:rsidR="00462371" w:rsidRPr="00553269" w:rsidTr="00553269">
        <w:tc>
          <w:tcPr>
            <w:tcW w:w="9857" w:type="dxa"/>
            <w:gridSpan w:val="2"/>
          </w:tcPr>
          <w:p w:rsidR="00462371" w:rsidRPr="00553269" w:rsidRDefault="002F283D" w:rsidP="00D17978">
            <w:pPr>
              <w:rPr>
                <w:rFonts w:cs="Arial"/>
                <w:b/>
              </w:rPr>
            </w:pPr>
            <w:r>
              <w:rPr>
                <w:rFonts w:cs="Arial"/>
                <w:b/>
              </w:rPr>
              <w:t>Accountable</w:t>
            </w:r>
            <w:r w:rsidR="00D17978" w:rsidRPr="00553269">
              <w:rPr>
                <w:rFonts w:cs="Arial"/>
                <w:b/>
              </w:rPr>
              <w:t xml:space="preserve"> Director:</w:t>
            </w:r>
            <w:r w:rsidR="004F787C">
              <w:rPr>
                <w:rFonts w:cs="Arial"/>
                <w:b/>
              </w:rPr>
              <w:t xml:space="preserve"> </w:t>
            </w:r>
            <w:r>
              <w:rPr>
                <w:rFonts w:cs="Arial"/>
              </w:rPr>
              <w:t xml:space="preserve">Jane Hargreaves – </w:t>
            </w:r>
            <w:r w:rsidR="00453CF0">
              <w:rPr>
                <w:rFonts w:cs="Arial"/>
                <w:bCs/>
                <w:color w:val="000000"/>
              </w:rPr>
              <w:t>Commissioning Director </w:t>
            </w:r>
            <w:r w:rsidRPr="00E07C72">
              <w:rPr>
                <w:rFonts w:cs="Arial"/>
                <w:bCs/>
                <w:color w:val="000000"/>
              </w:rPr>
              <w:t>Education</w:t>
            </w:r>
            <w:r>
              <w:rPr>
                <w:rFonts w:cs="Arial"/>
                <w:b/>
                <w:bCs/>
                <w:color w:val="000000"/>
              </w:rPr>
              <w:t xml:space="preserve"> </w:t>
            </w:r>
          </w:p>
        </w:tc>
      </w:tr>
      <w:tr w:rsidR="00424A8E" w:rsidRPr="00553269" w:rsidTr="00553269">
        <w:tc>
          <w:tcPr>
            <w:tcW w:w="9857" w:type="dxa"/>
            <w:gridSpan w:val="2"/>
            <w:tcBorders>
              <w:bottom w:val="single" w:sz="4" w:space="0" w:color="auto"/>
            </w:tcBorders>
          </w:tcPr>
          <w:p w:rsidR="009A6F59" w:rsidRPr="0083246D" w:rsidRDefault="00424A8E" w:rsidP="00F7272A">
            <w:pPr>
              <w:rPr>
                <w:rFonts w:cs="Arial"/>
              </w:rPr>
            </w:pPr>
            <w:r w:rsidRPr="0083246D">
              <w:rPr>
                <w:rFonts w:cs="Arial"/>
                <w:b/>
              </w:rPr>
              <w:t xml:space="preserve">Summary: </w:t>
            </w:r>
            <w:r w:rsidR="000E5DAE" w:rsidRPr="0083246D">
              <w:rPr>
                <w:rFonts w:cs="Arial"/>
              </w:rPr>
              <w:t xml:space="preserve">The purpose of this report is to update </w:t>
            </w:r>
            <w:r w:rsidR="008726BA" w:rsidRPr="0083246D">
              <w:rPr>
                <w:rFonts w:cs="Arial"/>
              </w:rPr>
              <w:t xml:space="preserve">the Barking and Dagenham Schools </w:t>
            </w:r>
            <w:r w:rsidR="000E5DAE" w:rsidRPr="0083246D">
              <w:rPr>
                <w:rFonts w:cs="Arial"/>
              </w:rPr>
              <w:t>Forum on:</w:t>
            </w:r>
          </w:p>
          <w:p w:rsidR="00834DD7" w:rsidRPr="00834DD7" w:rsidRDefault="0083246D" w:rsidP="00834DD7">
            <w:pPr>
              <w:numPr>
                <w:ilvl w:val="0"/>
                <w:numId w:val="4"/>
              </w:numPr>
              <w:ind w:left="426" w:firstLine="0"/>
              <w:rPr>
                <w:rFonts w:cs="Arial"/>
              </w:rPr>
            </w:pPr>
            <w:r w:rsidRPr="00834DD7">
              <w:rPr>
                <w:rFonts w:cs="Arial"/>
              </w:rPr>
              <w:t xml:space="preserve">    (Background)</w:t>
            </w:r>
            <w:r w:rsidR="00834DD7" w:rsidRPr="00834DD7">
              <w:rPr>
                <w:rFonts w:cs="Arial"/>
              </w:rPr>
              <w:t xml:space="preserve"> </w:t>
            </w:r>
          </w:p>
          <w:p w:rsidR="00834DD7" w:rsidRPr="00834DD7" w:rsidRDefault="00834DD7" w:rsidP="00834DD7">
            <w:pPr>
              <w:numPr>
                <w:ilvl w:val="0"/>
                <w:numId w:val="4"/>
              </w:numPr>
              <w:ind w:left="993" w:hanging="567"/>
              <w:rPr>
                <w:rFonts w:cs="Arial"/>
              </w:rPr>
            </w:pPr>
            <w:r w:rsidRPr="00385FC8">
              <w:rPr>
                <w:rFonts w:cs="Arial"/>
              </w:rPr>
              <w:t>Elect a Chair and Deputy Cha</w:t>
            </w:r>
            <w:r>
              <w:rPr>
                <w:rFonts w:cs="Arial"/>
              </w:rPr>
              <w:t xml:space="preserve">ir from within its members </w:t>
            </w:r>
          </w:p>
          <w:p w:rsidR="00707E16" w:rsidRPr="008438AB" w:rsidRDefault="00325B4D" w:rsidP="00717191">
            <w:pPr>
              <w:numPr>
                <w:ilvl w:val="0"/>
                <w:numId w:val="4"/>
              </w:numPr>
              <w:ind w:left="993" w:hanging="567"/>
              <w:rPr>
                <w:rFonts w:cs="Arial"/>
              </w:rPr>
            </w:pPr>
            <w:r w:rsidRPr="008438AB">
              <w:rPr>
                <w:rFonts w:cs="Arial"/>
              </w:rPr>
              <w:t xml:space="preserve">The Dedicated Schools Grant </w:t>
            </w:r>
            <w:r w:rsidR="00CB0BA1" w:rsidRPr="00CB0BA1">
              <w:rPr>
                <w:rFonts w:cs="Arial"/>
              </w:rPr>
              <w:t>201</w:t>
            </w:r>
            <w:r w:rsidR="002F283D">
              <w:rPr>
                <w:rFonts w:cs="Arial"/>
              </w:rPr>
              <w:t>6-17</w:t>
            </w:r>
            <w:r w:rsidRPr="008438AB">
              <w:rPr>
                <w:rFonts w:cs="Arial"/>
              </w:rPr>
              <w:t xml:space="preserve"> </w:t>
            </w:r>
            <w:r w:rsidR="00884C6D">
              <w:rPr>
                <w:rFonts w:cs="Arial"/>
              </w:rPr>
              <w:t>final outturn</w:t>
            </w:r>
          </w:p>
          <w:p w:rsidR="0041533E" w:rsidRPr="003F17AC" w:rsidRDefault="00325B4D" w:rsidP="003F17AC">
            <w:pPr>
              <w:numPr>
                <w:ilvl w:val="0"/>
                <w:numId w:val="4"/>
              </w:numPr>
              <w:ind w:left="993" w:hanging="567"/>
              <w:rPr>
                <w:rFonts w:cs="Arial"/>
              </w:rPr>
            </w:pPr>
            <w:r w:rsidRPr="008438AB">
              <w:rPr>
                <w:rFonts w:cs="Arial"/>
              </w:rPr>
              <w:t>The</w:t>
            </w:r>
            <w:r w:rsidR="00CB0BA1">
              <w:rPr>
                <w:rFonts w:cs="Arial"/>
              </w:rPr>
              <w:t xml:space="preserve"> Dedicated Schools Grant 201</w:t>
            </w:r>
            <w:r w:rsidR="00884C6D">
              <w:rPr>
                <w:rFonts w:cs="Arial"/>
              </w:rPr>
              <w:t>7-18</w:t>
            </w:r>
            <w:r w:rsidRPr="008438AB">
              <w:rPr>
                <w:rFonts w:cs="Arial"/>
              </w:rPr>
              <w:t xml:space="preserve"> </w:t>
            </w:r>
            <w:r w:rsidR="00884C6D">
              <w:rPr>
                <w:rFonts w:cs="Arial"/>
              </w:rPr>
              <w:t xml:space="preserve">budget update and </w:t>
            </w:r>
            <w:r w:rsidRPr="008438AB">
              <w:rPr>
                <w:rFonts w:cs="Arial"/>
              </w:rPr>
              <w:t>year end forecast position</w:t>
            </w:r>
          </w:p>
          <w:p w:rsidR="00707E16" w:rsidRPr="008438AB" w:rsidRDefault="00884C6D" w:rsidP="00717191">
            <w:pPr>
              <w:numPr>
                <w:ilvl w:val="0"/>
                <w:numId w:val="4"/>
              </w:numPr>
              <w:ind w:left="993" w:hanging="567"/>
              <w:rPr>
                <w:rFonts w:cs="Arial"/>
              </w:rPr>
            </w:pPr>
            <w:r>
              <w:rPr>
                <w:rFonts w:cs="Arial"/>
              </w:rPr>
              <w:t>National Funding Formula</w:t>
            </w:r>
            <w:r w:rsidR="00F5658D">
              <w:rPr>
                <w:rFonts w:cs="Arial"/>
              </w:rPr>
              <w:t xml:space="preserve"> 201</w:t>
            </w:r>
            <w:r>
              <w:rPr>
                <w:rFonts w:cs="Arial"/>
              </w:rPr>
              <w:t>8 to 2019</w:t>
            </w:r>
            <w:r w:rsidR="002F283D">
              <w:rPr>
                <w:rFonts w:cs="Arial"/>
              </w:rPr>
              <w:t xml:space="preserve"> up</w:t>
            </w:r>
            <w:r w:rsidR="0041533E" w:rsidRPr="008438AB">
              <w:rPr>
                <w:rFonts w:cs="Arial"/>
              </w:rPr>
              <w:t>date</w:t>
            </w:r>
            <w:r w:rsidR="001C16B5">
              <w:rPr>
                <w:rFonts w:cs="Arial"/>
              </w:rPr>
              <w:t xml:space="preserve"> and </w:t>
            </w:r>
            <w:r>
              <w:rPr>
                <w:rFonts w:cs="Arial"/>
              </w:rPr>
              <w:t>options</w:t>
            </w:r>
          </w:p>
          <w:p w:rsidR="00E42523" w:rsidRPr="0083246D" w:rsidRDefault="00E42523" w:rsidP="00884C6D">
            <w:pPr>
              <w:ind w:left="993"/>
              <w:rPr>
                <w:rFonts w:cs="Arial"/>
                <w:b/>
              </w:rPr>
            </w:pPr>
          </w:p>
        </w:tc>
      </w:tr>
      <w:tr w:rsidR="009771A2" w:rsidRPr="00553269" w:rsidTr="00553269">
        <w:tc>
          <w:tcPr>
            <w:tcW w:w="9857" w:type="dxa"/>
            <w:gridSpan w:val="2"/>
            <w:tcBorders>
              <w:top w:val="single" w:sz="4" w:space="0" w:color="auto"/>
              <w:bottom w:val="nil"/>
            </w:tcBorders>
          </w:tcPr>
          <w:p w:rsidR="00C96A66" w:rsidRPr="0011505E" w:rsidRDefault="009771A2" w:rsidP="00C96A66">
            <w:pPr>
              <w:autoSpaceDE w:val="0"/>
              <w:autoSpaceDN w:val="0"/>
              <w:adjustRightInd w:val="0"/>
            </w:pPr>
            <w:r w:rsidRPr="0011505E">
              <w:t>Recommendation(s)</w:t>
            </w:r>
          </w:p>
          <w:p w:rsidR="00520A46" w:rsidRPr="0011505E" w:rsidRDefault="00520A46" w:rsidP="00C96A66">
            <w:pPr>
              <w:autoSpaceDE w:val="0"/>
              <w:autoSpaceDN w:val="0"/>
              <w:adjustRightInd w:val="0"/>
            </w:pPr>
            <w:r w:rsidRPr="0011505E">
              <w:t>The School</w:t>
            </w:r>
            <w:r w:rsidR="008726BA" w:rsidRPr="0011505E">
              <w:t>s</w:t>
            </w:r>
            <w:r w:rsidRPr="0011505E">
              <w:t xml:space="preserve"> Forum is asked:</w:t>
            </w:r>
          </w:p>
          <w:p w:rsidR="000C5C0F" w:rsidRDefault="0021756D" w:rsidP="0011505E">
            <w:pPr>
              <w:numPr>
                <w:ilvl w:val="0"/>
                <w:numId w:val="3"/>
              </w:numPr>
              <w:autoSpaceDE w:val="0"/>
              <w:autoSpaceDN w:val="0"/>
              <w:adjustRightInd w:val="0"/>
            </w:pPr>
            <w:r w:rsidRPr="0067198E">
              <w:t>To elect a Chair and Deputy Chair from amongst Forum members</w:t>
            </w:r>
            <w:r w:rsidR="0011505E">
              <w:t>;</w:t>
            </w:r>
          </w:p>
          <w:p w:rsidR="0011505E" w:rsidRPr="0011505E" w:rsidRDefault="0011505E" w:rsidP="0011505E">
            <w:pPr>
              <w:numPr>
                <w:ilvl w:val="0"/>
                <w:numId w:val="3"/>
              </w:numPr>
              <w:autoSpaceDE w:val="0"/>
              <w:autoSpaceDN w:val="0"/>
              <w:adjustRightInd w:val="0"/>
            </w:pPr>
            <w:r>
              <w:t xml:space="preserve">To note </w:t>
            </w:r>
            <w:r w:rsidRPr="0011505E">
              <w:t>the updated final funding blocks for 2016-17</w:t>
            </w:r>
            <w:r>
              <w:t>;</w:t>
            </w:r>
          </w:p>
          <w:p w:rsidR="00566529" w:rsidRPr="0011505E" w:rsidRDefault="00566529" w:rsidP="0011505E">
            <w:pPr>
              <w:numPr>
                <w:ilvl w:val="0"/>
                <w:numId w:val="3"/>
              </w:numPr>
              <w:autoSpaceDE w:val="0"/>
              <w:autoSpaceDN w:val="0"/>
              <w:adjustRightInd w:val="0"/>
            </w:pPr>
            <w:r w:rsidRPr="0011505E">
              <w:t>To note the updated funding block</w:t>
            </w:r>
            <w:r w:rsidR="0011505E">
              <w:t>s and reserve drawdown position;</w:t>
            </w:r>
          </w:p>
          <w:p w:rsidR="00B713FB" w:rsidRDefault="00B713FB" w:rsidP="0011505E">
            <w:pPr>
              <w:numPr>
                <w:ilvl w:val="0"/>
                <w:numId w:val="3"/>
              </w:numPr>
              <w:autoSpaceDE w:val="0"/>
              <w:autoSpaceDN w:val="0"/>
              <w:adjustRightInd w:val="0"/>
            </w:pPr>
            <w:r w:rsidRPr="0011505E">
              <w:t>To note the forecast DSG outturn position for 201</w:t>
            </w:r>
            <w:r w:rsidR="0011505E" w:rsidRPr="0011505E">
              <w:t>7-18</w:t>
            </w:r>
            <w:r w:rsidR="0011505E">
              <w:t>;</w:t>
            </w:r>
          </w:p>
          <w:p w:rsidR="004A0844" w:rsidRPr="0011505E" w:rsidRDefault="004A0844" w:rsidP="004A0844">
            <w:pPr>
              <w:numPr>
                <w:ilvl w:val="0"/>
                <w:numId w:val="3"/>
              </w:numPr>
              <w:autoSpaceDE w:val="0"/>
              <w:autoSpaceDN w:val="0"/>
              <w:adjustRightInd w:val="0"/>
            </w:pPr>
            <w:r w:rsidRPr="0011505E">
              <w:t>To approve the Central Services Schools Block and each line of the centrally retained services budget</w:t>
            </w:r>
            <w:r>
              <w:t>;</w:t>
            </w:r>
          </w:p>
          <w:p w:rsidR="00CE4060" w:rsidRPr="0011505E" w:rsidRDefault="0011505E" w:rsidP="0011505E">
            <w:pPr>
              <w:numPr>
                <w:ilvl w:val="0"/>
                <w:numId w:val="3"/>
              </w:numPr>
              <w:autoSpaceDE w:val="0"/>
              <w:autoSpaceDN w:val="0"/>
              <w:adjustRightInd w:val="0"/>
            </w:pPr>
            <w:r w:rsidRPr="0011505E">
              <w:t>Review the need for</w:t>
            </w:r>
            <w:r w:rsidR="00CE4060" w:rsidRPr="0011505E">
              <w:t xml:space="preserve"> special School Forum</w:t>
            </w:r>
            <w:r>
              <w:t xml:space="preserve"> meeting before 30 November 2017</w:t>
            </w:r>
            <w:r w:rsidR="004A0844">
              <w:t>;</w:t>
            </w:r>
          </w:p>
          <w:p w:rsidR="006C0169" w:rsidRPr="0011505E" w:rsidRDefault="006C0169" w:rsidP="0011505E">
            <w:pPr>
              <w:numPr>
                <w:ilvl w:val="0"/>
                <w:numId w:val="3"/>
              </w:numPr>
              <w:autoSpaceDE w:val="0"/>
              <w:autoSpaceDN w:val="0"/>
              <w:adjustRightInd w:val="0"/>
            </w:pPr>
            <w:r w:rsidRPr="0011505E">
              <w:t xml:space="preserve">To </w:t>
            </w:r>
            <w:r w:rsidR="00CE4060" w:rsidRPr="0011505E">
              <w:t xml:space="preserve">note </w:t>
            </w:r>
            <w:r w:rsidRPr="0011505E">
              <w:t xml:space="preserve">Schools Facing Financial Difficulty </w:t>
            </w:r>
            <w:r w:rsidR="00F95881" w:rsidRPr="0011505E">
              <w:t>update</w:t>
            </w:r>
          </w:p>
          <w:p w:rsidR="00F95881" w:rsidRPr="0011505E" w:rsidRDefault="00F95881" w:rsidP="006061A4">
            <w:pPr>
              <w:tabs>
                <w:tab w:val="left" w:pos="709"/>
                <w:tab w:val="left" w:pos="851"/>
              </w:tabs>
              <w:autoSpaceDE w:val="0"/>
              <w:autoSpaceDN w:val="0"/>
              <w:adjustRightInd w:val="0"/>
              <w:ind w:left="709"/>
            </w:pPr>
          </w:p>
          <w:p w:rsidR="00191E9D" w:rsidRPr="0011505E" w:rsidRDefault="00191E9D" w:rsidP="00CE4060">
            <w:pPr>
              <w:tabs>
                <w:tab w:val="left" w:pos="709"/>
                <w:tab w:val="left" w:pos="851"/>
              </w:tabs>
              <w:autoSpaceDE w:val="0"/>
              <w:autoSpaceDN w:val="0"/>
              <w:adjustRightInd w:val="0"/>
              <w:ind w:left="709"/>
            </w:pPr>
          </w:p>
        </w:tc>
      </w:tr>
      <w:tr w:rsidR="009771A2" w:rsidRPr="00553269" w:rsidTr="00822AFE">
        <w:trPr>
          <w:trHeight w:val="163"/>
        </w:trPr>
        <w:tc>
          <w:tcPr>
            <w:tcW w:w="9857" w:type="dxa"/>
            <w:gridSpan w:val="2"/>
            <w:tcBorders>
              <w:top w:val="nil"/>
              <w:bottom w:val="single" w:sz="4" w:space="0" w:color="auto"/>
            </w:tcBorders>
          </w:tcPr>
          <w:p w:rsidR="00765B07" w:rsidRPr="00E7688F" w:rsidRDefault="00765B07" w:rsidP="00E7688F">
            <w:pPr>
              <w:ind w:left="720"/>
              <w:rPr>
                <w:rFonts w:cs="Arial"/>
              </w:rPr>
            </w:pPr>
          </w:p>
        </w:tc>
      </w:tr>
      <w:tr w:rsidR="009771A2" w:rsidRPr="00553269" w:rsidTr="00553269">
        <w:tc>
          <w:tcPr>
            <w:tcW w:w="9857" w:type="dxa"/>
            <w:gridSpan w:val="2"/>
            <w:tcBorders>
              <w:bottom w:val="nil"/>
            </w:tcBorders>
          </w:tcPr>
          <w:p w:rsidR="009771A2" w:rsidRPr="00553269" w:rsidRDefault="009771A2" w:rsidP="00F62747">
            <w:pPr>
              <w:rPr>
                <w:rFonts w:cs="Arial"/>
                <w:b/>
              </w:rPr>
            </w:pPr>
            <w:r w:rsidRPr="00553269">
              <w:rPr>
                <w:rFonts w:cs="Arial"/>
                <w:b/>
              </w:rPr>
              <w:t>Reason(s)</w:t>
            </w:r>
          </w:p>
        </w:tc>
      </w:tr>
      <w:tr w:rsidR="009771A2" w:rsidRPr="00553269" w:rsidTr="00553269">
        <w:tc>
          <w:tcPr>
            <w:tcW w:w="9857" w:type="dxa"/>
            <w:gridSpan w:val="2"/>
            <w:tcBorders>
              <w:top w:val="nil"/>
            </w:tcBorders>
          </w:tcPr>
          <w:p w:rsidR="009771A2" w:rsidRPr="006262A7" w:rsidRDefault="00D141A5" w:rsidP="006262A7">
            <w:pPr>
              <w:rPr>
                <w:rFonts w:cs="Arial"/>
              </w:rPr>
            </w:pPr>
            <w:r>
              <w:rPr>
                <w:rFonts w:cs="Arial"/>
              </w:rPr>
              <w:t xml:space="preserve">The Local Authority and Schools Forum are expected to work together to agree funding arrangements in their local area to best meet locally determined needs and support the education and wellbeing of all children in the local area.  </w:t>
            </w:r>
          </w:p>
        </w:tc>
      </w:tr>
    </w:tbl>
    <w:p w:rsidR="009A0F2F" w:rsidRPr="00242399" w:rsidRDefault="00C43EE1" w:rsidP="00717191">
      <w:pPr>
        <w:numPr>
          <w:ilvl w:val="0"/>
          <w:numId w:val="2"/>
        </w:numPr>
        <w:tabs>
          <w:tab w:val="left" w:pos="0"/>
        </w:tabs>
        <w:rPr>
          <w:rFonts w:cs="Arial"/>
          <w:b/>
        </w:rPr>
      </w:pPr>
      <w:r>
        <w:rPr>
          <w:rFonts w:cs="Arial"/>
        </w:rPr>
        <w:br w:type="page"/>
      </w:r>
      <w:r w:rsidR="00E7688F">
        <w:rPr>
          <w:rFonts w:cs="Arial"/>
          <w:b/>
        </w:rPr>
        <w:lastRenderedPageBreak/>
        <w:t>Introduction and Background</w:t>
      </w:r>
    </w:p>
    <w:p w:rsidR="009A0F2F" w:rsidRPr="00242399" w:rsidRDefault="009A0F2F" w:rsidP="00F7272A">
      <w:pPr>
        <w:rPr>
          <w:rFonts w:cs="Arial"/>
        </w:rPr>
      </w:pPr>
    </w:p>
    <w:p w:rsidR="00CA5E3F" w:rsidRDefault="00CA5E3F" w:rsidP="00717191">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rsidR="00B11170" w:rsidRDefault="00B11170" w:rsidP="00B11170">
      <w:pPr>
        <w:ind w:left="709"/>
        <w:jc w:val="both"/>
        <w:rPr>
          <w:rFonts w:cs="Arial"/>
          <w:color w:val="000000"/>
        </w:rPr>
      </w:pPr>
    </w:p>
    <w:p w:rsidR="00B11170" w:rsidRPr="00D90D2E" w:rsidRDefault="00B11170" w:rsidP="00717191">
      <w:pPr>
        <w:numPr>
          <w:ilvl w:val="1"/>
          <w:numId w:val="2"/>
        </w:numPr>
        <w:tabs>
          <w:tab w:val="clear" w:pos="360"/>
          <w:tab w:val="num" w:pos="-567"/>
        </w:tabs>
        <w:ind w:left="709" w:hanging="709"/>
        <w:jc w:val="both"/>
        <w:rPr>
          <w:rFonts w:cs="Arial"/>
          <w:color w:val="000000"/>
        </w:rPr>
      </w:pPr>
      <w:r>
        <w:rPr>
          <w:rFonts w:cs="Arial"/>
          <w:color w:val="000000"/>
        </w:rPr>
        <w:t>The London Borough of Barking and Dagenham School Forum meet five times per academic year and meetings dates we</w:t>
      </w:r>
      <w:r w:rsidR="00400FBA">
        <w:rPr>
          <w:rFonts w:cs="Arial"/>
          <w:color w:val="000000"/>
        </w:rPr>
        <w:t>re agreed at the last meeting 21</w:t>
      </w:r>
      <w:r>
        <w:rPr>
          <w:rFonts w:cs="Arial"/>
          <w:color w:val="000000"/>
        </w:rPr>
        <w:t xml:space="preserve"> June </w:t>
      </w:r>
      <w:r w:rsidR="00400FBA">
        <w:rPr>
          <w:rFonts w:cs="Arial"/>
          <w:color w:val="000000"/>
        </w:rPr>
        <w:t>2016</w:t>
      </w:r>
      <w:r>
        <w:rPr>
          <w:rFonts w:cs="Arial"/>
          <w:color w:val="000000"/>
        </w:rPr>
        <w:t>.</w:t>
      </w:r>
    </w:p>
    <w:p w:rsidR="009A0F2F" w:rsidRDefault="00CA5E3F" w:rsidP="0083323F">
      <w:pPr>
        <w:ind w:left="720" w:hanging="720"/>
        <w:rPr>
          <w:rFonts w:cs="Arial"/>
        </w:rPr>
      </w:pPr>
      <w:r>
        <w:rPr>
          <w:rFonts w:cs="Arial"/>
        </w:rPr>
        <w:t xml:space="preserve"> </w:t>
      </w:r>
      <w:r w:rsidR="006B0B04">
        <w:rPr>
          <w:rFonts w:cs="Arial"/>
        </w:rPr>
        <w:tab/>
      </w:r>
    </w:p>
    <w:p w:rsidR="00237113" w:rsidRDefault="00237113" w:rsidP="00F7272A">
      <w:pPr>
        <w:rPr>
          <w:rFonts w:cs="Arial"/>
        </w:rPr>
      </w:pPr>
    </w:p>
    <w:p w:rsidR="009A0F2F" w:rsidRDefault="0080182B" w:rsidP="00717191">
      <w:pPr>
        <w:numPr>
          <w:ilvl w:val="0"/>
          <w:numId w:val="2"/>
        </w:numPr>
        <w:rPr>
          <w:rFonts w:cs="Arial"/>
          <w:b/>
        </w:rPr>
      </w:pPr>
      <w:r w:rsidRPr="0080182B">
        <w:rPr>
          <w:b/>
          <w:u w:val="single"/>
        </w:rPr>
        <w:t>Barking and Dagenham Schools Forum Constitution</w:t>
      </w:r>
    </w:p>
    <w:p w:rsidR="006379BD" w:rsidRDefault="006379BD" w:rsidP="0083323F">
      <w:pPr>
        <w:ind w:left="720" w:hanging="720"/>
        <w:rPr>
          <w:rFonts w:cs="Arial"/>
        </w:rPr>
      </w:pPr>
    </w:p>
    <w:p w:rsidR="0080182B" w:rsidRDefault="0080182B" w:rsidP="004E1F59">
      <w:pPr>
        <w:autoSpaceDE w:val="0"/>
        <w:autoSpaceDN w:val="0"/>
        <w:adjustRightInd w:val="0"/>
        <w:ind w:left="720" w:hanging="720"/>
        <w:jc w:val="both"/>
        <w:rPr>
          <w:rFonts w:cs="Arial"/>
        </w:rPr>
      </w:pPr>
      <w:r>
        <w:rPr>
          <w:rFonts w:cs="Arial"/>
        </w:rPr>
        <w:t>2.1</w:t>
      </w:r>
      <w:r w:rsidR="00B52BD3">
        <w:rPr>
          <w:rFonts w:cs="Arial"/>
        </w:rPr>
        <w:t>.1</w:t>
      </w:r>
      <w:r>
        <w:rPr>
          <w:rFonts w:cs="Arial"/>
        </w:rPr>
        <w:tab/>
      </w:r>
      <w:r w:rsidRPr="00D90D2E">
        <w:rPr>
          <w:rFonts w:cs="Arial"/>
        </w:rPr>
        <w:t xml:space="preserve">The Barking and Dagenham Schools Forum (“the Forum”) is established in accordance with Section 47 of the School Standards and Framework Act 1998 </w:t>
      </w:r>
      <w:r>
        <w:rPr>
          <w:rFonts w:cs="Arial"/>
        </w:rPr>
        <w:t xml:space="preserve">(as amended) </w:t>
      </w:r>
      <w:r w:rsidRPr="00D90D2E">
        <w:rPr>
          <w:rFonts w:cs="Arial"/>
        </w:rPr>
        <w:t>and The Schools Forums (England) Regulations 2012.</w:t>
      </w:r>
    </w:p>
    <w:p w:rsidR="0080182B" w:rsidRPr="00CC0F7F" w:rsidRDefault="00B52BD3" w:rsidP="00CC0F7F">
      <w:pPr>
        <w:autoSpaceDE w:val="0"/>
        <w:autoSpaceDN w:val="0"/>
        <w:adjustRightInd w:val="0"/>
        <w:ind w:left="720" w:hanging="720"/>
        <w:rPr>
          <w:rFonts w:cs="Arial"/>
        </w:rPr>
      </w:pPr>
      <w:r>
        <w:rPr>
          <w:rFonts w:cs="Arial"/>
        </w:rPr>
        <w:tab/>
      </w:r>
    </w:p>
    <w:p w:rsidR="0080182B" w:rsidRDefault="0080182B" w:rsidP="004E1F59">
      <w:pPr>
        <w:ind w:left="720" w:hanging="720"/>
        <w:jc w:val="both"/>
      </w:pPr>
      <w:r>
        <w:t>2.</w:t>
      </w:r>
      <w:r w:rsidR="00B52BD3">
        <w:t>1.</w:t>
      </w:r>
      <w:r>
        <w:t>2</w:t>
      </w:r>
      <w:r>
        <w:tab/>
        <w:t xml:space="preserve">The constitution requires a Chair and Deputy Chair to be elected each year from amongst the Forum members.  The Forum is asked to nominate and second a Chair and Deputy Chair from within its members.  </w:t>
      </w:r>
    </w:p>
    <w:p w:rsidR="0080182B" w:rsidRDefault="0080182B" w:rsidP="0080182B">
      <w:pPr>
        <w:ind w:left="720" w:hanging="720"/>
      </w:pPr>
    </w:p>
    <w:p w:rsidR="0080182B" w:rsidRDefault="000C5C0F" w:rsidP="00DA391B">
      <w:pPr>
        <w:pBdr>
          <w:top w:val="single" w:sz="4" w:space="1" w:color="000000" w:themeColor="text1"/>
          <w:left w:val="single" w:sz="4" w:space="4" w:color="000000" w:themeColor="text1"/>
          <w:bottom w:val="single" w:sz="4" w:space="1" w:color="000000" w:themeColor="text1"/>
          <w:right w:val="single" w:sz="4" w:space="4" w:color="000000" w:themeColor="text1"/>
        </w:pBdr>
        <w:ind w:left="1418" w:hanging="709"/>
        <w:rPr>
          <w:rFonts w:cs="Arial"/>
        </w:rPr>
      </w:pPr>
      <w:r w:rsidRPr="004E1F59">
        <w:rPr>
          <w:b/>
          <w:i/>
        </w:rPr>
        <w:t>(</w:t>
      </w:r>
      <w:r w:rsidR="00BC2EF2" w:rsidRPr="004E1F59">
        <w:rPr>
          <w:b/>
          <w:i/>
        </w:rPr>
        <w:t>i</w:t>
      </w:r>
      <w:r w:rsidRPr="004E1F59">
        <w:rPr>
          <w:b/>
          <w:i/>
        </w:rPr>
        <w:t>)</w:t>
      </w:r>
      <w:r>
        <w:t xml:space="preserve"> </w:t>
      </w:r>
      <w:r>
        <w:tab/>
      </w:r>
      <w:r w:rsidR="0080182B" w:rsidRPr="00452DE4">
        <w:rPr>
          <w:b/>
          <w:i/>
        </w:rPr>
        <w:t>Decision – to elect a Chair and Deputy Chair from amongst Forum members</w:t>
      </w:r>
    </w:p>
    <w:p w:rsidR="00657B37" w:rsidRDefault="00657B37" w:rsidP="0080182B">
      <w:pPr>
        <w:rPr>
          <w:rFonts w:cs="Arial"/>
        </w:rPr>
      </w:pPr>
    </w:p>
    <w:p w:rsidR="001623F6" w:rsidRDefault="001623F6" w:rsidP="0083323F">
      <w:pPr>
        <w:ind w:left="720" w:hanging="720"/>
        <w:rPr>
          <w:rFonts w:cs="Arial"/>
          <w:b/>
        </w:rPr>
      </w:pPr>
    </w:p>
    <w:p w:rsidR="00EB3B6E" w:rsidRDefault="00B52BD3" w:rsidP="00983684">
      <w:pPr>
        <w:ind w:left="720" w:hanging="720"/>
        <w:rPr>
          <w:rFonts w:cs="Arial"/>
          <w:b/>
          <w:bCs/>
        </w:rPr>
      </w:pPr>
      <w:r w:rsidRPr="00B52BD3">
        <w:rPr>
          <w:rFonts w:cs="Arial"/>
        </w:rPr>
        <w:t>2.</w:t>
      </w:r>
      <w:r w:rsidR="004E1F59">
        <w:rPr>
          <w:rFonts w:cs="Arial"/>
        </w:rPr>
        <w:t>2</w:t>
      </w:r>
      <w:r w:rsidR="00BD7F43">
        <w:rPr>
          <w:rFonts w:cs="Arial"/>
        </w:rPr>
        <w:t xml:space="preserve"> </w:t>
      </w:r>
      <w:r w:rsidR="005A6563">
        <w:rPr>
          <w:rFonts w:cs="Arial"/>
        </w:rPr>
        <w:tab/>
      </w:r>
      <w:r w:rsidR="00EB3B6E">
        <w:rPr>
          <w:rFonts w:cs="Arial"/>
          <w:b/>
          <w:bCs/>
        </w:rPr>
        <w:t>Schools and Academy Members</w:t>
      </w:r>
    </w:p>
    <w:p w:rsidR="00EC5D18" w:rsidRDefault="00EC5D18" w:rsidP="00983684">
      <w:pPr>
        <w:ind w:left="720" w:hanging="720"/>
        <w:rPr>
          <w:rFonts w:cs="Arial"/>
          <w:b/>
          <w:bCs/>
        </w:rPr>
      </w:pPr>
    </w:p>
    <w:p w:rsidR="004E7797" w:rsidRDefault="00EC5D18" w:rsidP="00EC5D18">
      <w:pPr>
        <w:ind w:left="720" w:hanging="720"/>
        <w:rPr>
          <w:rFonts w:cs="Arial"/>
        </w:rPr>
      </w:pPr>
      <w:r w:rsidRPr="00EC5D18">
        <w:rPr>
          <w:rFonts w:cs="Arial"/>
          <w:bCs/>
        </w:rPr>
        <w:t>2.2.1</w:t>
      </w:r>
      <w:r>
        <w:rPr>
          <w:rFonts w:cs="Arial"/>
          <w:bCs/>
        </w:rPr>
        <w:t xml:space="preserve">   </w:t>
      </w:r>
      <w:r w:rsidR="004E7797">
        <w:rPr>
          <w:rFonts w:cs="Arial"/>
        </w:rPr>
        <w:t>The membership of the Forum shall be broadly proportionate to the total number of schools in each category, subject to the minimum membership requirements under the Regulations.</w:t>
      </w:r>
    </w:p>
    <w:p w:rsidR="00EC5D18" w:rsidRDefault="00EC5D18" w:rsidP="00EC5D18">
      <w:pPr>
        <w:ind w:left="720" w:hanging="720"/>
        <w:rPr>
          <w:rFonts w:cs="Arial"/>
        </w:rPr>
      </w:pPr>
    </w:p>
    <w:p w:rsidR="00EC5D18" w:rsidRDefault="00EC5D18" w:rsidP="00EC5D18">
      <w:pPr>
        <w:ind w:left="720" w:hanging="720"/>
        <w:rPr>
          <w:rFonts w:cs="Arial"/>
        </w:rPr>
      </w:pPr>
      <w:r>
        <w:rPr>
          <w:rFonts w:cs="Arial"/>
          <w:bCs/>
        </w:rPr>
        <w:t xml:space="preserve">2.2.2   </w:t>
      </w:r>
      <w:r>
        <w:rPr>
          <w:rFonts w:cs="Arial"/>
        </w:rPr>
        <w:t xml:space="preserve">At a minimum, there must be at least one representative of head teachers and one representative of governors among the Primary and Secondary groups.  </w:t>
      </w:r>
    </w:p>
    <w:p w:rsidR="00EC5D18" w:rsidRDefault="00EC5D18" w:rsidP="00EC5D18">
      <w:pPr>
        <w:ind w:left="720" w:hanging="720"/>
        <w:rPr>
          <w:rFonts w:cs="Arial"/>
        </w:rPr>
      </w:pPr>
    </w:p>
    <w:p w:rsidR="00EC5D18" w:rsidRDefault="00EC5D18" w:rsidP="00EC5D18">
      <w:pPr>
        <w:ind w:left="720" w:hanging="720"/>
        <w:rPr>
          <w:rFonts w:cs="Arial"/>
        </w:rPr>
      </w:pPr>
      <w:r>
        <w:rPr>
          <w:rFonts w:cs="Arial"/>
          <w:bCs/>
        </w:rPr>
        <w:t xml:space="preserve">2.2.3   </w:t>
      </w:r>
      <w:r>
        <w:rPr>
          <w:rFonts w:cs="Arial"/>
        </w:rPr>
        <w:t xml:space="preserve">At least one academies member must </w:t>
      </w:r>
      <w:r>
        <w:t>be a representative of mainstream academies, which includes free schools, University Technical Colleges (UTCs) and Studio Schools.  In addition, there must be one member for each of the following groups (if such exist in the Local Authority (LA)) area):</w:t>
      </w:r>
    </w:p>
    <w:p w:rsidR="00EC5D18" w:rsidRDefault="00EC5D18" w:rsidP="00EC5D18">
      <w:pPr>
        <w:pStyle w:val="Default"/>
        <w:numPr>
          <w:ilvl w:val="0"/>
          <w:numId w:val="11"/>
        </w:numPr>
      </w:pPr>
      <w:r>
        <w:t>Special academies, including free schools</w:t>
      </w:r>
    </w:p>
    <w:p w:rsidR="00EC5D18" w:rsidRDefault="00EC5D18" w:rsidP="00EC5D18">
      <w:pPr>
        <w:pStyle w:val="Default"/>
        <w:numPr>
          <w:ilvl w:val="0"/>
          <w:numId w:val="11"/>
        </w:numPr>
      </w:pPr>
      <w:r>
        <w:t>Alternative provision academies, including free schools</w:t>
      </w:r>
    </w:p>
    <w:p w:rsidR="00EC5D18" w:rsidRDefault="00EC5D18" w:rsidP="00EC5D18">
      <w:pPr>
        <w:pStyle w:val="Default"/>
      </w:pPr>
    </w:p>
    <w:p w:rsidR="00EC5D18" w:rsidRDefault="00EC5D18" w:rsidP="00EC5D18">
      <w:pPr>
        <w:ind w:left="720" w:hanging="720"/>
        <w:rPr>
          <w:rFonts w:cs="Arial"/>
        </w:rPr>
      </w:pPr>
      <w:r>
        <w:rPr>
          <w:rFonts w:cs="Arial"/>
          <w:bCs/>
        </w:rPr>
        <w:t xml:space="preserve">2.2.4   </w:t>
      </w:r>
      <w:r w:rsidR="00F65559">
        <w:rPr>
          <w:rFonts w:cs="Arial"/>
          <w:bCs/>
        </w:rPr>
        <w:t xml:space="preserve">Appendix A(i) </w:t>
      </w:r>
      <w:r w:rsidR="00ED00E9">
        <w:rPr>
          <w:rFonts w:cs="Arial"/>
        </w:rPr>
        <w:t>sets out the</w:t>
      </w:r>
      <w:r>
        <w:rPr>
          <w:rFonts w:cs="Arial"/>
        </w:rPr>
        <w:t xml:space="preserve"> updated breakdown of Schools Forum members by sector</w:t>
      </w:r>
      <w:r w:rsidR="00F65559" w:rsidRPr="00F65559">
        <w:rPr>
          <w:rFonts w:cs="Arial"/>
          <w:bCs/>
        </w:rPr>
        <w:t xml:space="preserve"> </w:t>
      </w:r>
      <w:r w:rsidR="00F65559">
        <w:rPr>
          <w:rFonts w:cs="Arial"/>
          <w:bCs/>
        </w:rPr>
        <w:t>and Appendix A(ii) sets out the current members.</w:t>
      </w:r>
    </w:p>
    <w:p w:rsidR="00EC5D18" w:rsidRDefault="00EC5D18" w:rsidP="00EC5D18">
      <w:pPr>
        <w:pStyle w:val="Default"/>
        <w:ind w:left="709"/>
        <w:jc w:val="both"/>
      </w:pPr>
    </w:p>
    <w:p w:rsidR="00EC5D18" w:rsidRDefault="00EC5D18" w:rsidP="00EC5D18">
      <w:pPr>
        <w:pStyle w:val="Default"/>
      </w:pPr>
    </w:p>
    <w:p w:rsidR="00EC5D18" w:rsidRDefault="00EC5D18" w:rsidP="00EC5D18">
      <w:pPr>
        <w:pStyle w:val="Default"/>
      </w:pPr>
    </w:p>
    <w:p w:rsidR="00EC5D18" w:rsidRDefault="00EC5D18" w:rsidP="00EC5D18">
      <w:pPr>
        <w:pStyle w:val="Default"/>
      </w:pPr>
    </w:p>
    <w:p w:rsidR="00CC0F7F" w:rsidRDefault="00CC0F7F" w:rsidP="00EC5D18">
      <w:pPr>
        <w:pStyle w:val="Default"/>
      </w:pPr>
    </w:p>
    <w:p w:rsidR="00EC5D18" w:rsidRDefault="00EC5D18" w:rsidP="00EC5D18">
      <w:pPr>
        <w:pStyle w:val="Default"/>
      </w:pPr>
    </w:p>
    <w:p w:rsidR="00EC5D18" w:rsidRDefault="00EC5D18" w:rsidP="00EC5D18">
      <w:pPr>
        <w:pStyle w:val="Default"/>
      </w:pPr>
    </w:p>
    <w:p w:rsidR="00EB3B6E" w:rsidRDefault="00EB3B6E" w:rsidP="004E7797">
      <w:pPr>
        <w:autoSpaceDE w:val="0"/>
        <w:autoSpaceDN w:val="0"/>
        <w:adjustRightInd w:val="0"/>
        <w:jc w:val="both"/>
        <w:rPr>
          <w:rFonts w:cs="Arial"/>
        </w:rPr>
      </w:pPr>
    </w:p>
    <w:p w:rsidR="00EB3B6E" w:rsidRDefault="00EB3B6E" w:rsidP="00EB3B6E">
      <w:pPr>
        <w:autoSpaceDE w:val="0"/>
        <w:autoSpaceDN w:val="0"/>
        <w:adjustRightInd w:val="0"/>
        <w:ind w:left="709" w:hanging="709"/>
        <w:rPr>
          <w:rFonts w:cs="Arial"/>
        </w:rPr>
      </w:pPr>
    </w:p>
    <w:p w:rsidR="00ED00E9" w:rsidRDefault="00ED00E9" w:rsidP="00EB3B6E">
      <w:pPr>
        <w:autoSpaceDE w:val="0"/>
        <w:autoSpaceDN w:val="0"/>
        <w:adjustRightInd w:val="0"/>
        <w:ind w:left="709" w:hanging="709"/>
        <w:rPr>
          <w:rFonts w:cs="Arial"/>
        </w:rPr>
      </w:pPr>
    </w:p>
    <w:p w:rsidR="006061A4" w:rsidRDefault="006061A4" w:rsidP="0083246D">
      <w:pPr>
        <w:rPr>
          <w:rFonts w:cs="Arial"/>
          <w:b/>
        </w:rPr>
      </w:pPr>
    </w:p>
    <w:p w:rsidR="00885C79" w:rsidRDefault="00885C79" w:rsidP="0083246D">
      <w:pPr>
        <w:rPr>
          <w:rFonts w:cs="Arial"/>
          <w:b/>
        </w:rPr>
      </w:pPr>
    </w:p>
    <w:p w:rsidR="00F65559" w:rsidRPr="0058185F" w:rsidRDefault="00F65559" w:rsidP="0058185F">
      <w:pPr>
        <w:pStyle w:val="ListParagraph"/>
        <w:numPr>
          <w:ilvl w:val="0"/>
          <w:numId w:val="2"/>
        </w:numPr>
        <w:rPr>
          <w:rFonts w:cs="Arial"/>
          <w:b/>
          <w:bCs/>
          <w:color w:val="000000"/>
        </w:rPr>
      </w:pPr>
      <w:r w:rsidRPr="0058185F">
        <w:rPr>
          <w:rFonts w:eastAsia="Arial" w:cs="Arial"/>
          <w:b/>
          <w:bCs/>
          <w:color w:val="000000"/>
          <w:u w:val="single"/>
        </w:rPr>
        <w:t>Dedicated Schools Grant 2016-17 Final Outturn</w:t>
      </w:r>
    </w:p>
    <w:p w:rsidR="00F65559" w:rsidRDefault="00F65559" w:rsidP="0083246D">
      <w:pPr>
        <w:rPr>
          <w:rFonts w:cs="Arial"/>
          <w:b/>
        </w:rPr>
      </w:pPr>
    </w:p>
    <w:p w:rsidR="00F65559" w:rsidRDefault="00F65559" w:rsidP="0083246D">
      <w:pPr>
        <w:rPr>
          <w:rFonts w:cs="Arial"/>
          <w:b/>
        </w:rPr>
      </w:pPr>
      <w:r w:rsidRPr="00F65559">
        <w:rPr>
          <w:rFonts w:cs="Arial"/>
          <w:b/>
        </w:rPr>
        <w:t xml:space="preserve">Table </w:t>
      </w:r>
      <w:r w:rsidR="0058185F">
        <w:rPr>
          <w:rFonts w:cs="Arial"/>
          <w:b/>
        </w:rPr>
        <w:t>1</w:t>
      </w:r>
      <w:r w:rsidRPr="00F65559">
        <w:rPr>
          <w:rFonts w:cs="Arial"/>
          <w:b/>
        </w:rPr>
        <w:t xml:space="preserve"> – Dedicated Schools Grant Outturn  2016-17 (£’000s)</w:t>
      </w:r>
    </w:p>
    <w:p w:rsidR="00F65559" w:rsidRDefault="00F65559" w:rsidP="0083246D">
      <w:pPr>
        <w:rPr>
          <w:rFonts w:cs="Arial"/>
          <w:b/>
        </w:rPr>
      </w:pPr>
    </w:p>
    <w:p w:rsidR="006F7EDF" w:rsidRDefault="006F7EDF" w:rsidP="0083246D">
      <w:pPr>
        <w:rPr>
          <w:rFonts w:cs="Arial"/>
          <w:b/>
        </w:rPr>
      </w:pPr>
      <w:r w:rsidRPr="006F7EDF">
        <w:rPr>
          <w:noProof/>
        </w:rPr>
        <w:drawing>
          <wp:inline distT="0" distB="0" distL="0" distR="0">
            <wp:extent cx="6122035" cy="205529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035" cy="2055299"/>
                    </a:xfrm>
                    <a:prstGeom prst="rect">
                      <a:avLst/>
                    </a:prstGeom>
                    <a:noFill/>
                    <a:ln>
                      <a:noFill/>
                    </a:ln>
                  </pic:spPr>
                </pic:pic>
              </a:graphicData>
            </a:graphic>
          </wp:inline>
        </w:drawing>
      </w:r>
    </w:p>
    <w:p w:rsidR="006F7EDF" w:rsidRDefault="006F7EDF" w:rsidP="0083246D">
      <w:pPr>
        <w:rPr>
          <w:rFonts w:cs="Arial"/>
          <w:b/>
        </w:rPr>
      </w:pPr>
    </w:p>
    <w:p w:rsidR="00F65559" w:rsidRDefault="00F65559" w:rsidP="0083246D">
      <w:pPr>
        <w:rPr>
          <w:rFonts w:cs="Arial"/>
          <w:b/>
        </w:rPr>
      </w:pPr>
    </w:p>
    <w:p w:rsidR="00F65559" w:rsidRPr="00F65559" w:rsidRDefault="00F65559" w:rsidP="00F65559">
      <w:pPr>
        <w:pStyle w:val="ListParagraph"/>
        <w:numPr>
          <w:ilvl w:val="2"/>
          <w:numId w:val="2"/>
        </w:numPr>
        <w:tabs>
          <w:tab w:val="clear" w:pos="1080"/>
        </w:tabs>
        <w:ind w:left="709" w:hanging="709"/>
        <w:rPr>
          <w:rFonts w:cs="Arial"/>
        </w:rPr>
      </w:pPr>
      <w:r w:rsidRPr="00F65559">
        <w:rPr>
          <w:rFonts w:cs="Arial"/>
        </w:rPr>
        <w:t>There are no significant movements on Early Years and High Needs compared to previously reported figures.  The revised out-turn for the Schools Block is reporting an underspend of £</w:t>
      </w:r>
      <w:r w:rsidR="0058185F">
        <w:rPr>
          <w:rFonts w:cs="Arial"/>
        </w:rPr>
        <w:t>96k</w:t>
      </w:r>
      <w:r w:rsidRPr="00F65559">
        <w:rPr>
          <w:rFonts w:cs="Arial"/>
        </w:rPr>
        <w:t xml:space="preserve">.  This is the net effect of the underspends on </w:t>
      </w:r>
      <w:r w:rsidRPr="00F65559">
        <w:t>Admissions, NNDR adjustments relating to academy recoupment, schools facing financial difficulty, de-delegated contingency, and overspend on the growth fund. The underspend on Schools Block, along Early Years and High Needs, form part of the DSG reserves carry forward to 2017/18.</w:t>
      </w:r>
      <w:r w:rsidR="0058185F">
        <w:t xml:space="preserve"> This amounts to a contribution back to DSG reserves of </w:t>
      </w:r>
      <w:r w:rsidR="0058185F" w:rsidRPr="0058185F">
        <w:rPr>
          <w:b/>
        </w:rPr>
        <w:t>£1.030m</w:t>
      </w:r>
    </w:p>
    <w:p w:rsidR="00F65559" w:rsidRDefault="00F65559" w:rsidP="0083246D">
      <w:pPr>
        <w:rPr>
          <w:rFonts w:cs="Arial"/>
          <w:b/>
        </w:rPr>
      </w:pPr>
    </w:p>
    <w:p w:rsidR="0058185F" w:rsidRDefault="0058185F" w:rsidP="0058185F">
      <w:pPr>
        <w:pBdr>
          <w:top w:val="single" w:sz="4" w:space="1" w:color="000000" w:themeColor="text1"/>
          <w:left w:val="single" w:sz="4" w:space="4" w:color="000000" w:themeColor="text1"/>
          <w:bottom w:val="single" w:sz="4" w:space="1" w:color="000000" w:themeColor="text1"/>
          <w:right w:val="single" w:sz="4" w:space="3" w:color="000000" w:themeColor="text1"/>
        </w:pBdr>
        <w:ind w:left="1418" w:hanging="709"/>
        <w:rPr>
          <w:rFonts w:cs="Arial"/>
        </w:rPr>
      </w:pPr>
      <w:r w:rsidRPr="0058185F">
        <w:rPr>
          <w:b/>
          <w:i/>
        </w:rPr>
        <w:t>ii)</w:t>
      </w:r>
      <w:r w:rsidRPr="0058185F">
        <w:t xml:space="preserve"> </w:t>
      </w:r>
      <w:r w:rsidRPr="0058185F">
        <w:tab/>
      </w:r>
      <w:r w:rsidRPr="0058185F">
        <w:rPr>
          <w:b/>
          <w:i/>
        </w:rPr>
        <w:t xml:space="preserve">Decision – to note the </w:t>
      </w:r>
      <w:r>
        <w:rPr>
          <w:b/>
          <w:i/>
        </w:rPr>
        <w:t xml:space="preserve">final </w:t>
      </w:r>
      <w:r w:rsidRPr="0058185F">
        <w:rPr>
          <w:b/>
          <w:i/>
        </w:rPr>
        <w:t>DSG outturn position for 2016/17</w:t>
      </w:r>
    </w:p>
    <w:p w:rsidR="008E476E" w:rsidRDefault="008E476E" w:rsidP="0083246D">
      <w:pPr>
        <w:rPr>
          <w:rFonts w:cs="Arial"/>
          <w:b/>
        </w:rPr>
      </w:pPr>
    </w:p>
    <w:p w:rsidR="008D1BF0" w:rsidRDefault="008D1BF0" w:rsidP="0083246D">
      <w:pPr>
        <w:rPr>
          <w:rFonts w:cs="Arial"/>
          <w:b/>
        </w:rPr>
      </w:pPr>
      <w:r>
        <w:rPr>
          <w:rFonts w:cs="Arial"/>
          <w:b/>
        </w:rPr>
        <w:t>3.2</w:t>
      </w:r>
      <w:r>
        <w:rPr>
          <w:rFonts w:cs="Arial"/>
          <w:b/>
        </w:rPr>
        <w:tab/>
        <w:t>DSG Reserve Balances</w:t>
      </w:r>
    </w:p>
    <w:p w:rsidR="008D1BF0" w:rsidRDefault="008D1BF0" w:rsidP="0083246D">
      <w:pPr>
        <w:rPr>
          <w:rFonts w:cs="Arial"/>
          <w:b/>
        </w:rPr>
      </w:pPr>
    </w:p>
    <w:p w:rsidR="0089034A" w:rsidRPr="0089034A" w:rsidRDefault="0089034A" w:rsidP="0089034A">
      <w:pPr>
        <w:ind w:left="709" w:hanging="709"/>
        <w:rPr>
          <w:rFonts w:cs="Arial"/>
        </w:rPr>
      </w:pPr>
      <w:r>
        <w:rPr>
          <w:rFonts w:cs="Arial"/>
        </w:rPr>
        <w:t>3.2.1</w:t>
      </w:r>
      <w:r>
        <w:rPr>
          <w:rFonts w:cs="Arial"/>
        </w:rPr>
        <w:tab/>
      </w:r>
      <w:r w:rsidRPr="0089034A">
        <w:rPr>
          <w:rFonts w:cs="Arial"/>
        </w:rPr>
        <w:t>The 2016/17 opening DSG reserve was</w:t>
      </w:r>
      <w:r>
        <w:rPr>
          <w:rFonts w:cs="Arial"/>
        </w:rPr>
        <w:t xml:space="preserve"> £8,689k</w:t>
      </w:r>
      <w:r w:rsidRPr="0089034A">
        <w:rPr>
          <w:rFonts w:cs="Arial"/>
        </w:rPr>
        <w:t>, of which £6,493 was earmarked to support specific additional in-year spend (£1,308</w:t>
      </w:r>
      <w:r>
        <w:rPr>
          <w:rFonts w:cs="Arial"/>
        </w:rPr>
        <w:t>k</w:t>
      </w:r>
      <w:r w:rsidRPr="0089034A">
        <w:rPr>
          <w:rFonts w:cs="Arial"/>
        </w:rPr>
        <w:t xml:space="preserve"> for Early Years and £5,185</w:t>
      </w:r>
      <w:r>
        <w:rPr>
          <w:rFonts w:cs="Arial"/>
        </w:rPr>
        <w:t>k</w:t>
      </w:r>
      <w:r w:rsidRPr="0089034A">
        <w:rPr>
          <w:rFonts w:cs="Arial"/>
        </w:rPr>
        <w:t xml:space="preserve"> for High Needs) as previously agreed by the Schools Forum. The net underspend across the three blocks, after factoring in the contribution from reserve, is £1,</w:t>
      </w:r>
      <w:r>
        <w:rPr>
          <w:rFonts w:cs="Arial"/>
        </w:rPr>
        <w:t>030k</w:t>
      </w:r>
      <w:r w:rsidRPr="0089034A">
        <w:rPr>
          <w:rFonts w:cs="Arial"/>
        </w:rPr>
        <w:t>. The DSG reserve carried forward to 2017/18 is £3,</w:t>
      </w:r>
      <w:r>
        <w:rPr>
          <w:rFonts w:cs="Arial"/>
        </w:rPr>
        <w:t>226k</w:t>
      </w:r>
      <w:r w:rsidRPr="0089034A">
        <w:rPr>
          <w:rFonts w:cs="Arial"/>
        </w:rPr>
        <w:t>.</w:t>
      </w:r>
      <w:r>
        <w:rPr>
          <w:rFonts w:cs="Arial"/>
        </w:rPr>
        <w:t xml:space="preserve"> Schools Forum agreed the use of this reserve to support High Needs and Schools block for £1,256k, leaving an estimated DSG Reserve of £1,970k at the end of March 31</w:t>
      </w:r>
      <w:r w:rsidRPr="0089034A">
        <w:rPr>
          <w:rFonts w:cs="Arial"/>
          <w:vertAlign w:val="superscript"/>
        </w:rPr>
        <w:t>st</w:t>
      </w:r>
      <w:r>
        <w:rPr>
          <w:rFonts w:cs="Arial"/>
        </w:rPr>
        <w:t xml:space="preserve"> 2018.  Table 2 summarises this position.</w:t>
      </w: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9034A" w:rsidRDefault="0089034A" w:rsidP="0083246D">
      <w:pPr>
        <w:rPr>
          <w:rFonts w:cs="Arial"/>
          <w:b/>
        </w:rPr>
      </w:pPr>
    </w:p>
    <w:p w:rsidR="008D1BF0" w:rsidRDefault="008D1BF0" w:rsidP="008D1BF0">
      <w:pPr>
        <w:rPr>
          <w:rFonts w:cs="Arial"/>
          <w:b/>
        </w:rPr>
      </w:pPr>
      <w:r w:rsidRPr="00F65559">
        <w:rPr>
          <w:rFonts w:cs="Arial"/>
          <w:b/>
        </w:rPr>
        <w:lastRenderedPageBreak/>
        <w:t xml:space="preserve">Table </w:t>
      </w:r>
      <w:r>
        <w:rPr>
          <w:rFonts w:cs="Arial"/>
          <w:b/>
        </w:rPr>
        <w:t>2</w:t>
      </w:r>
      <w:r w:rsidRPr="00F65559">
        <w:rPr>
          <w:rFonts w:cs="Arial"/>
          <w:b/>
        </w:rPr>
        <w:t xml:space="preserve"> – Dedicated Schools Grant </w:t>
      </w:r>
      <w:r>
        <w:rPr>
          <w:rFonts w:cs="Arial"/>
          <w:b/>
        </w:rPr>
        <w:t>Reserve Position as at 31</w:t>
      </w:r>
      <w:r w:rsidRPr="008D1BF0">
        <w:rPr>
          <w:rFonts w:cs="Arial"/>
          <w:b/>
          <w:vertAlign w:val="superscript"/>
        </w:rPr>
        <w:t>st</w:t>
      </w:r>
      <w:r>
        <w:rPr>
          <w:rFonts w:cs="Arial"/>
          <w:b/>
        </w:rPr>
        <w:t xml:space="preserve"> March 2017</w:t>
      </w:r>
      <w:r w:rsidRPr="00F65559">
        <w:rPr>
          <w:rFonts w:cs="Arial"/>
          <w:b/>
        </w:rPr>
        <w:t xml:space="preserve"> </w:t>
      </w:r>
      <w:r w:rsidR="002D52F6">
        <w:rPr>
          <w:rFonts w:cs="Arial"/>
          <w:b/>
        </w:rPr>
        <w:t xml:space="preserve"> and Estimated Reserve Position as at 31</w:t>
      </w:r>
      <w:r w:rsidR="002D52F6" w:rsidRPr="002D52F6">
        <w:rPr>
          <w:rFonts w:cs="Arial"/>
          <w:b/>
          <w:vertAlign w:val="superscript"/>
        </w:rPr>
        <w:t>st</w:t>
      </w:r>
      <w:r w:rsidR="002D52F6">
        <w:rPr>
          <w:rFonts w:cs="Arial"/>
          <w:b/>
        </w:rPr>
        <w:t xml:space="preserve"> March 2018 </w:t>
      </w:r>
      <w:r w:rsidRPr="00F65559">
        <w:rPr>
          <w:rFonts w:cs="Arial"/>
          <w:b/>
        </w:rPr>
        <w:t>(£’000s)</w:t>
      </w:r>
    </w:p>
    <w:p w:rsidR="008D1BF0" w:rsidRDefault="008D1BF0" w:rsidP="0083246D">
      <w:pPr>
        <w:rPr>
          <w:rFonts w:cs="Arial"/>
          <w:b/>
        </w:rPr>
      </w:pPr>
    </w:p>
    <w:p w:rsidR="004377BE" w:rsidRDefault="004377BE" w:rsidP="0083246D">
      <w:pPr>
        <w:rPr>
          <w:rFonts w:cs="Arial"/>
          <w:b/>
        </w:rPr>
      </w:pPr>
      <w:r>
        <w:rPr>
          <w:rFonts w:cs="Arial"/>
          <w:b/>
        </w:rPr>
        <w:tab/>
      </w:r>
      <w:r w:rsidR="00FA505E" w:rsidRPr="004377BE">
        <w:rPr>
          <w:noProof/>
        </w:rPr>
        <w:drawing>
          <wp:inline distT="0" distB="0" distL="0" distR="0" wp14:anchorId="6BAF6B24" wp14:editId="43AE46E7">
            <wp:extent cx="4333875" cy="216535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165350"/>
                    </a:xfrm>
                    <a:prstGeom prst="rect">
                      <a:avLst/>
                    </a:prstGeom>
                    <a:noFill/>
                    <a:ln>
                      <a:noFill/>
                    </a:ln>
                  </pic:spPr>
                </pic:pic>
              </a:graphicData>
            </a:graphic>
          </wp:inline>
        </w:drawing>
      </w:r>
    </w:p>
    <w:p w:rsidR="00697D75" w:rsidRDefault="00697D75" w:rsidP="0083246D">
      <w:pPr>
        <w:rPr>
          <w:rFonts w:cs="Arial"/>
          <w:b/>
        </w:rPr>
      </w:pPr>
    </w:p>
    <w:p w:rsidR="00697D75" w:rsidRDefault="00697D75" w:rsidP="00697D75">
      <w:pPr>
        <w:pBdr>
          <w:top w:val="single" w:sz="4" w:space="1" w:color="000000" w:themeColor="text1"/>
          <w:left w:val="single" w:sz="4" w:space="14" w:color="000000" w:themeColor="text1"/>
          <w:bottom w:val="single" w:sz="4" w:space="1" w:color="000000" w:themeColor="text1"/>
          <w:right w:val="single" w:sz="4" w:space="4" w:color="000000" w:themeColor="text1"/>
        </w:pBdr>
        <w:ind w:left="1418" w:hanging="425"/>
        <w:rPr>
          <w:rFonts w:cs="Arial"/>
        </w:rPr>
      </w:pPr>
      <w:r w:rsidRPr="00697D75">
        <w:rPr>
          <w:b/>
          <w:i/>
        </w:rPr>
        <w:t>iii)</w:t>
      </w:r>
      <w:r w:rsidRPr="00697D75">
        <w:t xml:space="preserve"> </w:t>
      </w:r>
      <w:r w:rsidRPr="00697D75">
        <w:tab/>
      </w:r>
      <w:r>
        <w:rPr>
          <w:b/>
          <w:i/>
        </w:rPr>
        <w:t>To</w:t>
      </w:r>
      <w:r w:rsidRPr="00697D75">
        <w:rPr>
          <w:b/>
          <w:i/>
        </w:rPr>
        <w:t xml:space="preserve"> note the 2016/17 DSG reserve drawdown position</w:t>
      </w:r>
      <w:r>
        <w:rPr>
          <w:b/>
          <w:i/>
        </w:rPr>
        <w:t xml:space="preserve">, </w:t>
      </w:r>
      <w:r w:rsidRPr="00697D75">
        <w:rPr>
          <w:b/>
          <w:i/>
        </w:rPr>
        <w:t>the 2017/18 opening DSG reserve</w:t>
      </w:r>
      <w:r>
        <w:rPr>
          <w:b/>
          <w:i/>
        </w:rPr>
        <w:t xml:space="preserve"> and the Estimated DSG reserve as at 31</w:t>
      </w:r>
      <w:r w:rsidRPr="00697D75">
        <w:rPr>
          <w:b/>
          <w:i/>
          <w:vertAlign w:val="superscript"/>
        </w:rPr>
        <w:t>st</w:t>
      </w:r>
      <w:r>
        <w:rPr>
          <w:b/>
          <w:i/>
        </w:rPr>
        <w:t xml:space="preserve"> March 2018.</w:t>
      </w:r>
    </w:p>
    <w:p w:rsidR="00697D75" w:rsidRDefault="00697D75" w:rsidP="0083246D">
      <w:pPr>
        <w:rPr>
          <w:rFonts w:cs="Arial"/>
          <w:b/>
        </w:rPr>
      </w:pPr>
    </w:p>
    <w:p w:rsidR="008E476E" w:rsidRDefault="002D52F6" w:rsidP="0083246D">
      <w:pPr>
        <w:rPr>
          <w:rFonts w:cs="Arial"/>
          <w:b/>
        </w:rPr>
      </w:pPr>
      <w:r>
        <w:rPr>
          <w:rFonts w:cs="Arial"/>
          <w:b/>
        </w:rPr>
        <w:tab/>
      </w:r>
      <w:r w:rsidR="008D1BF0">
        <w:rPr>
          <w:rFonts w:cs="Arial"/>
          <w:b/>
        </w:rPr>
        <w:tab/>
      </w:r>
    </w:p>
    <w:p w:rsidR="00FF2ABE" w:rsidRDefault="006F7EDF" w:rsidP="00FF2ABE">
      <w:pPr>
        <w:ind w:left="720" w:hanging="720"/>
        <w:rPr>
          <w:b/>
          <w:bCs/>
        </w:rPr>
      </w:pPr>
      <w:r>
        <w:rPr>
          <w:rFonts w:cs="Arial"/>
          <w:b/>
        </w:rPr>
        <w:t>3.3</w:t>
      </w:r>
      <w:r w:rsidR="00FF2ABE">
        <w:rPr>
          <w:rFonts w:cs="Arial"/>
          <w:b/>
        </w:rPr>
        <w:tab/>
      </w:r>
      <w:r w:rsidR="00FF2ABE" w:rsidRPr="0048666A">
        <w:rPr>
          <w:b/>
          <w:bCs/>
        </w:rPr>
        <w:t>Schools Balances</w:t>
      </w:r>
    </w:p>
    <w:p w:rsidR="00FF2ABE" w:rsidRDefault="00FF2ABE" w:rsidP="00FF2ABE">
      <w:pPr>
        <w:ind w:left="720" w:hanging="720"/>
        <w:rPr>
          <w:b/>
          <w:bCs/>
        </w:rPr>
      </w:pPr>
    </w:p>
    <w:p w:rsidR="00FF2ABE" w:rsidRPr="0048666A" w:rsidRDefault="00FF2ABE" w:rsidP="00FF2ABE">
      <w:pPr>
        <w:ind w:left="720" w:hanging="720"/>
        <w:rPr>
          <w:b/>
        </w:rPr>
      </w:pPr>
      <w:r>
        <w:rPr>
          <w:bCs/>
        </w:rPr>
        <w:t xml:space="preserve">           </w:t>
      </w:r>
      <w:r w:rsidR="00EE6125">
        <w:rPr>
          <w:bCs/>
        </w:rPr>
        <w:t>For Non-Oracle schools, 2016-17 was the first year of closing on estimated Outturn figures taken at quarter 3</w:t>
      </w:r>
      <w:r w:rsidR="001B0E4B">
        <w:rPr>
          <w:bCs/>
        </w:rPr>
        <w:t xml:space="preserve">. Quarter 3 reported a use of reserves of </w:t>
      </w:r>
      <w:r w:rsidR="001B0E4B" w:rsidRPr="001B0E4B">
        <w:rPr>
          <w:b/>
          <w:bCs/>
        </w:rPr>
        <w:t>£6.006m</w:t>
      </w:r>
      <w:r w:rsidR="001B0E4B">
        <w:rPr>
          <w:bCs/>
        </w:rPr>
        <w:t xml:space="preserve">. </w:t>
      </w:r>
      <w:r>
        <w:rPr>
          <w:bCs/>
        </w:rPr>
        <w:t xml:space="preserve">Appendix B shows the </w:t>
      </w:r>
      <w:r w:rsidR="002D52F6">
        <w:rPr>
          <w:bCs/>
        </w:rPr>
        <w:t xml:space="preserve">final </w:t>
      </w:r>
      <w:r>
        <w:rPr>
          <w:bCs/>
        </w:rPr>
        <w:t>movement on school balances for 2016-17</w:t>
      </w:r>
      <w:r w:rsidR="001B0E4B">
        <w:rPr>
          <w:bCs/>
        </w:rPr>
        <w:t xml:space="preserve"> which shows a </w:t>
      </w:r>
      <w:r w:rsidR="00814A19">
        <w:rPr>
          <w:bCs/>
        </w:rPr>
        <w:t xml:space="preserve">revised </w:t>
      </w:r>
      <w:r w:rsidR="001B0E4B">
        <w:rPr>
          <w:bCs/>
        </w:rPr>
        <w:t xml:space="preserve">movement of </w:t>
      </w:r>
      <w:r w:rsidR="001B0E4B" w:rsidRPr="00D46479">
        <w:rPr>
          <w:b/>
          <w:bCs/>
        </w:rPr>
        <w:t>£3.8</w:t>
      </w:r>
      <w:r w:rsidR="00512EB7">
        <w:rPr>
          <w:b/>
          <w:bCs/>
        </w:rPr>
        <w:t>2</w:t>
      </w:r>
      <w:r w:rsidR="001B0E4B" w:rsidRPr="00D46479">
        <w:rPr>
          <w:b/>
          <w:bCs/>
        </w:rPr>
        <w:t>m</w:t>
      </w:r>
      <w:r>
        <w:rPr>
          <w:bCs/>
        </w:rPr>
        <w:t>.</w:t>
      </w:r>
      <w:r w:rsidR="001B0E4B">
        <w:rPr>
          <w:bCs/>
        </w:rPr>
        <w:t xml:space="preserve"> </w:t>
      </w:r>
      <w:r>
        <w:rPr>
          <w:bCs/>
        </w:rPr>
        <w:t xml:space="preserve">Closing balances for these schools will be updated on the Council’s ledgers during 2017-18 from the final actual outturn as reported from their own systems. </w:t>
      </w:r>
    </w:p>
    <w:p w:rsidR="006F7EDF" w:rsidRDefault="006F7EDF" w:rsidP="0083246D">
      <w:pPr>
        <w:rPr>
          <w:rFonts w:cs="Arial"/>
          <w:b/>
        </w:rPr>
      </w:pPr>
    </w:p>
    <w:p w:rsidR="00B6030E" w:rsidRDefault="00B6030E" w:rsidP="00715BF8">
      <w:pPr>
        <w:rPr>
          <w:rFonts w:cs="Arial"/>
          <w:b/>
        </w:rPr>
      </w:pPr>
    </w:p>
    <w:p w:rsidR="00FA7F83" w:rsidRPr="00F51EF7" w:rsidRDefault="00FA7F83" w:rsidP="00FA7F83">
      <w:pPr>
        <w:numPr>
          <w:ilvl w:val="0"/>
          <w:numId w:val="2"/>
        </w:numPr>
        <w:rPr>
          <w:rFonts w:cs="Arial"/>
          <w:b/>
          <w:u w:val="single"/>
        </w:rPr>
      </w:pPr>
      <w:r w:rsidRPr="00F51EF7">
        <w:rPr>
          <w:rFonts w:cs="Arial"/>
          <w:b/>
          <w:u w:val="single"/>
        </w:rPr>
        <w:t xml:space="preserve">Dedicated Schools Grant </w:t>
      </w:r>
      <w:r w:rsidR="00B5535B" w:rsidRPr="00F51EF7">
        <w:rPr>
          <w:rFonts w:cs="Arial"/>
          <w:b/>
          <w:u w:val="single"/>
        </w:rPr>
        <w:t>2017-18</w:t>
      </w:r>
      <w:r w:rsidRPr="00F51EF7">
        <w:rPr>
          <w:rFonts w:cs="Arial"/>
          <w:b/>
          <w:u w:val="single"/>
        </w:rPr>
        <w:t xml:space="preserve"> Budget Allocation Update</w:t>
      </w:r>
    </w:p>
    <w:p w:rsidR="00FA7F83" w:rsidRDefault="00FA7F83" w:rsidP="00FA7F83">
      <w:pPr>
        <w:rPr>
          <w:rFonts w:cs="Arial"/>
          <w:b/>
          <w:u w:val="single"/>
        </w:rPr>
      </w:pPr>
    </w:p>
    <w:p w:rsidR="004377BE" w:rsidRPr="004377BE" w:rsidRDefault="004377BE" w:rsidP="004377BE">
      <w:pPr>
        <w:ind w:left="720"/>
        <w:rPr>
          <w:rFonts w:cs="Arial"/>
          <w:b/>
        </w:rPr>
      </w:pPr>
      <w:r>
        <w:rPr>
          <w:rFonts w:cs="Arial"/>
          <w:b/>
        </w:rPr>
        <w:t>Table 3</w:t>
      </w:r>
      <w:r w:rsidRPr="004377BE">
        <w:rPr>
          <w:rFonts w:cs="Arial"/>
          <w:b/>
        </w:rPr>
        <w:t xml:space="preserve"> - Dedicated Schools Grant Funding for 2017/18 as at July 2017 </w:t>
      </w:r>
      <w:r>
        <w:rPr>
          <w:rFonts w:cs="Arial"/>
          <w:b/>
        </w:rPr>
        <w:t>DfE update</w:t>
      </w:r>
      <w:r w:rsidRPr="004377BE">
        <w:rPr>
          <w:rFonts w:cs="Arial"/>
          <w:b/>
        </w:rPr>
        <w:t xml:space="preserve"> (£’000s)</w:t>
      </w:r>
    </w:p>
    <w:p w:rsidR="002838B8" w:rsidRDefault="002838B8" w:rsidP="002838B8">
      <w:pPr>
        <w:ind w:left="720"/>
        <w:rPr>
          <w:rFonts w:cs="Arial"/>
          <w:b/>
          <w:u w:val="single"/>
        </w:rPr>
      </w:pPr>
      <w:r w:rsidRPr="002838B8">
        <w:rPr>
          <w:noProof/>
        </w:rPr>
        <w:drawing>
          <wp:inline distT="0" distB="0" distL="0" distR="0">
            <wp:extent cx="6122035" cy="176249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1762498"/>
                    </a:xfrm>
                    <a:prstGeom prst="rect">
                      <a:avLst/>
                    </a:prstGeom>
                    <a:noFill/>
                    <a:ln>
                      <a:noFill/>
                    </a:ln>
                  </pic:spPr>
                </pic:pic>
              </a:graphicData>
            </a:graphic>
          </wp:inline>
        </w:drawing>
      </w:r>
    </w:p>
    <w:p w:rsidR="00F51EF7" w:rsidRDefault="00F51EF7" w:rsidP="00FA7F83">
      <w:pPr>
        <w:rPr>
          <w:rFonts w:cs="Arial"/>
          <w:b/>
          <w:u w:val="single"/>
        </w:rPr>
      </w:pPr>
    </w:p>
    <w:p w:rsidR="00FA7F83" w:rsidRDefault="00FA7F83" w:rsidP="00F51EF7">
      <w:pPr>
        <w:ind w:left="720"/>
        <w:rPr>
          <w:rFonts w:cs="Arial"/>
          <w:b/>
          <w:u w:val="single"/>
        </w:rPr>
      </w:pPr>
    </w:p>
    <w:p w:rsidR="00DC1AC4" w:rsidRPr="004377BE" w:rsidRDefault="004377BE" w:rsidP="004377BE">
      <w:pPr>
        <w:ind w:left="720" w:hanging="720"/>
        <w:rPr>
          <w:rFonts w:cs="Arial"/>
          <w:b/>
        </w:rPr>
      </w:pPr>
      <w:bookmarkStart w:id="1" w:name="_MON_1504619639"/>
      <w:bookmarkEnd w:id="1"/>
      <w:r>
        <w:rPr>
          <w:rFonts w:cs="Arial"/>
          <w:b/>
        </w:rPr>
        <w:t>4.1</w:t>
      </w:r>
      <w:r>
        <w:rPr>
          <w:rFonts w:cs="Arial"/>
          <w:b/>
        </w:rPr>
        <w:tab/>
      </w:r>
      <w:r w:rsidR="00DC1AC4" w:rsidRPr="004377BE">
        <w:rPr>
          <w:rFonts w:cs="Arial"/>
          <w:b/>
        </w:rPr>
        <w:t>Schools Block</w:t>
      </w:r>
    </w:p>
    <w:p w:rsidR="00B72482" w:rsidRPr="004377BE" w:rsidRDefault="00B72482" w:rsidP="00B72482">
      <w:pPr>
        <w:pStyle w:val="ListParagraph"/>
        <w:ind w:left="709"/>
        <w:rPr>
          <w:rFonts w:cs="Arial"/>
          <w:b/>
        </w:rPr>
      </w:pPr>
    </w:p>
    <w:p w:rsidR="00DC1AC4" w:rsidRPr="004377BE" w:rsidRDefault="00DC1AC4" w:rsidP="00537540">
      <w:pPr>
        <w:pStyle w:val="ListParagraph"/>
        <w:numPr>
          <w:ilvl w:val="2"/>
          <w:numId w:val="2"/>
        </w:numPr>
        <w:tabs>
          <w:tab w:val="clear" w:pos="1080"/>
        </w:tabs>
        <w:ind w:left="709" w:hanging="709"/>
        <w:rPr>
          <w:rFonts w:cs="Arial"/>
        </w:rPr>
      </w:pPr>
      <w:r w:rsidRPr="004377BE">
        <w:rPr>
          <w:rFonts w:cs="Arial"/>
        </w:rPr>
        <w:t xml:space="preserve">The total Schools Block funding before adjustments </w:t>
      </w:r>
      <w:r w:rsidR="008C286C">
        <w:rPr>
          <w:rFonts w:cs="Arial"/>
        </w:rPr>
        <w:t xml:space="preserve">is </w:t>
      </w:r>
      <w:r w:rsidRPr="004377BE">
        <w:rPr>
          <w:rFonts w:cs="Arial"/>
        </w:rPr>
        <w:t>£206,081</w:t>
      </w:r>
      <w:r w:rsidR="004377BE">
        <w:rPr>
          <w:rFonts w:cs="Arial"/>
        </w:rPr>
        <w:t>k</w:t>
      </w:r>
      <w:r w:rsidR="002C084E" w:rsidRPr="004377BE">
        <w:rPr>
          <w:rFonts w:cs="Arial"/>
        </w:rPr>
        <w:t>.</w:t>
      </w:r>
      <w:r w:rsidRPr="004377BE">
        <w:rPr>
          <w:rFonts w:cs="Arial"/>
        </w:rPr>
        <w:t xml:space="preserve">  </w:t>
      </w:r>
      <w:r w:rsidR="00B72482" w:rsidRPr="004377BE">
        <w:rPr>
          <w:rFonts w:cs="Arial"/>
        </w:rPr>
        <w:t>This is calculated on the basis of October 2016 census</w:t>
      </w:r>
      <w:r w:rsidR="002C084E" w:rsidRPr="004377BE">
        <w:rPr>
          <w:rFonts w:cs="Arial"/>
        </w:rPr>
        <w:t>,</w:t>
      </w:r>
      <w:r w:rsidR="00B72482" w:rsidRPr="004377BE">
        <w:rPr>
          <w:rFonts w:cs="Arial"/>
        </w:rPr>
        <w:t xml:space="preserve"> adjust</w:t>
      </w:r>
      <w:r w:rsidR="002C084E" w:rsidRPr="004377BE">
        <w:rPr>
          <w:rFonts w:cs="Arial"/>
        </w:rPr>
        <w:t xml:space="preserve">ed for pupils in SEN Units, </w:t>
      </w:r>
      <w:r w:rsidR="002C084E" w:rsidRPr="004377BE">
        <w:rPr>
          <w:rFonts w:cs="Arial"/>
        </w:rPr>
        <w:lastRenderedPageBreak/>
        <w:t>Resources P</w:t>
      </w:r>
      <w:r w:rsidR="00B72482" w:rsidRPr="004377BE">
        <w:rPr>
          <w:rFonts w:cs="Arial"/>
        </w:rPr>
        <w:t xml:space="preserve">rovisions and </w:t>
      </w:r>
      <w:r w:rsidR="002C084E" w:rsidRPr="004377BE">
        <w:rPr>
          <w:rFonts w:cs="Arial"/>
        </w:rPr>
        <w:t>R</w:t>
      </w:r>
      <w:r w:rsidR="00B72482" w:rsidRPr="004377BE">
        <w:rPr>
          <w:rFonts w:cs="Arial"/>
        </w:rPr>
        <w:t>eception uplift</w:t>
      </w:r>
      <w:r w:rsidR="002C084E" w:rsidRPr="004377BE">
        <w:rPr>
          <w:rFonts w:cs="Arial"/>
        </w:rPr>
        <w:t xml:space="preserve">.  The </w:t>
      </w:r>
      <w:r w:rsidR="00B72482" w:rsidRPr="004377BE">
        <w:rPr>
          <w:rFonts w:cs="Arial"/>
        </w:rPr>
        <w:t xml:space="preserve">School Block </w:t>
      </w:r>
      <w:r w:rsidR="002C084E" w:rsidRPr="004377BE">
        <w:rPr>
          <w:rFonts w:cs="Arial"/>
        </w:rPr>
        <w:t>Unit of Funding (SBUF) is £5,542 for 37,180 pupils</w:t>
      </w:r>
      <w:r w:rsidR="00B72482" w:rsidRPr="004377BE">
        <w:rPr>
          <w:rFonts w:cs="Arial"/>
        </w:rPr>
        <w:t>.  Th</w:t>
      </w:r>
      <w:r w:rsidR="004377BE">
        <w:rPr>
          <w:rFonts w:cs="Arial"/>
        </w:rPr>
        <w:t>e revised recoupment is £40,656k</w:t>
      </w:r>
      <w:r w:rsidR="00B72482" w:rsidRPr="004377BE">
        <w:rPr>
          <w:rFonts w:cs="Arial"/>
        </w:rPr>
        <w:t>.</w:t>
      </w:r>
    </w:p>
    <w:p w:rsidR="00DC1AC4" w:rsidRDefault="00DC1AC4" w:rsidP="00DC1AC4">
      <w:pPr>
        <w:pStyle w:val="ListParagraph"/>
        <w:ind w:left="709"/>
        <w:rPr>
          <w:rFonts w:cs="Arial"/>
          <w:b/>
          <w:highlight w:val="yellow"/>
        </w:rPr>
      </w:pPr>
    </w:p>
    <w:p w:rsidR="00821F2F" w:rsidRPr="00B4127C" w:rsidRDefault="00B4127C" w:rsidP="00B4127C">
      <w:pPr>
        <w:ind w:left="720" w:hanging="720"/>
        <w:rPr>
          <w:rFonts w:cs="Arial"/>
          <w:b/>
        </w:rPr>
      </w:pPr>
      <w:bookmarkStart w:id="2" w:name="_Hlk494788331"/>
      <w:r>
        <w:rPr>
          <w:rFonts w:cs="Arial"/>
          <w:b/>
        </w:rPr>
        <w:t>4.2</w:t>
      </w:r>
      <w:r>
        <w:rPr>
          <w:rFonts w:cs="Arial"/>
          <w:b/>
        </w:rPr>
        <w:tab/>
      </w:r>
      <w:r w:rsidR="00FA7F83" w:rsidRPr="00B4127C">
        <w:rPr>
          <w:rFonts w:cs="Arial"/>
          <w:b/>
        </w:rPr>
        <w:t>Early Years Block</w:t>
      </w:r>
    </w:p>
    <w:bookmarkEnd w:id="2"/>
    <w:p w:rsidR="00537540" w:rsidRPr="004377BE" w:rsidRDefault="00537540" w:rsidP="00537540">
      <w:pPr>
        <w:rPr>
          <w:rFonts w:cs="Arial"/>
          <w:b/>
        </w:rPr>
      </w:pPr>
    </w:p>
    <w:p w:rsidR="00A80FAE" w:rsidRPr="004377BE" w:rsidRDefault="00B4127C" w:rsidP="00B4127C">
      <w:pPr>
        <w:pStyle w:val="ListParagraph"/>
        <w:ind w:hanging="720"/>
        <w:rPr>
          <w:rFonts w:cs="Arial"/>
          <w:b/>
        </w:rPr>
      </w:pPr>
      <w:r>
        <w:rPr>
          <w:rFonts w:cs="Arial"/>
        </w:rPr>
        <w:t>4.2.1</w:t>
      </w:r>
      <w:r>
        <w:rPr>
          <w:rFonts w:cs="Arial"/>
        </w:rPr>
        <w:tab/>
      </w:r>
      <w:r w:rsidR="00537540" w:rsidRPr="004377BE">
        <w:rPr>
          <w:rFonts w:cs="Arial"/>
        </w:rPr>
        <w:t xml:space="preserve">The Early </w:t>
      </w:r>
      <w:r w:rsidR="004377BE">
        <w:rPr>
          <w:rFonts w:cs="Arial"/>
        </w:rPr>
        <w:t>Years block consists of £13,468k</w:t>
      </w:r>
      <w:r w:rsidR="00537540" w:rsidRPr="004377BE">
        <w:rPr>
          <w:rFonts w:cs="Arial"/>
        </w:rPr>
        <w:t xml:space="preserve"> allocation for 3 and 4 Year Olds Universal</w:t>
      </w:r>
      <w:r w:rsidR="004377BE">
        <w:rPr>
          <w:rFonts w:cs="Arial"/>
        </w:rPr>
        <w:t xml:space="preserve"> Entitlement (15 hours), £1,650k</w:t>
      </w:r>
      <w:r w:rsidR="00537540" w:rsidRPr="004377BE">
        <w:rPr>
          <w:rFonts w:cs="Arial"/>
        </w:rPr>
        <w:t xml:space="preserve"> for additional entitlement for children of eligible working parents (Plus 15), £4,317 for </w:t>
      </w:r>
      <w:r w:rsidR="004377BE">
        <w:rPr>
          <w:rFonts w:cs="Arial"/>
        </w:rPr>
        <w:t>disadvantaged 2 Year Olds, £166k</w:t>
      </w:r>
      <w:r w:rsidR="00537540" w:rsidRPr="004377BE">
        <w:rPr>
          <w:rFonts w:cs="Arial"/>
        </w:rPr>
        <w:t xml:space="preserve"> of Early Years </w:t>
      </w:r>
      <w:r w:rsidR="004377BE">
        <w:rPr>
          <w:rFonts w:cs="Arial"/>
        </w:rPr>
        <w:t>Pupil Premium (EYPP), and £80k</w:t>
      </w:r>
      <w:r w:rsidR="00537540" w:rsidRPr="004377BE">
        <w:rPr>
          <w:rFonts w:cs="Arial"/>
        </w:rPr>
        <w:t xml:space="preserve"> of Disability Access Fund  (DAF).</w:t>
      </w:r>
      <w:r w:rsidR="00537540" w:rsidRPr="004377BE">
        <w:rPr>
          <w:rFonts w:cs="Arial"/>
          <w:b/>
        </w:rPr>
        <w:t xml:space="preserve">  </w:t>
      </w:r>
    </w:p>
    <w:p w:rsidR="00A80FAE" w:rsidRPr="004377BE" w:rsidRDefault="00A80FAE" w:rsidP="00A80FAE">
      <w:pPr>
        <w:pStyle w:val="ListParagraph"/>
        <w:ind w:left="709"/>
        <w:rPr>
          <w:rFonts w:cs="Arial"/>
        </w:rPr>
      </w:pPr>
      <w:r w:rsidRPr="004377BE">
        <w:rPr>
          <w:rFonts w:cs="Arial"/>
        </w:rPr>
        <w:t>The comparative illustrative figures</w:t>
      </w:r>
      <w:r w:rsidR="004377BE">
        <w:rPr>
          <w:rFonts w:cs="Arial"/>
        </w:rPr>
        <w:t xml:space="preserve"> published by ESFA were £13,791k, £1,650k, £4,523k, £199k, and £80k</w:t>
      </w:r>
      <w:r w:rsidRPr="004377BE">
        <w:rPr>
          <w:rFonts w:cs="Arial"/>
        </w:rPr>
        <w:t xml:space="preserve"> respectively. </w:t>
      </w:r>
    </w:p>
    <w:p w:rsidR="00537540" w:rsidRPr="004377BE" w:rsidRDefault="00537540" w:rsidP="00821F2F">
      <w:pPr>
        <w:pStyle w:val="ListParagraph"/>
        <w:rPr>
          <w:rFonts w:cs="Arial"/>
        </w:rPr>
      </w:pPr>
    </w:p>
    <w:p w:rsidR="001E5BD2" w:rsidRDefault="00B4127C" w:rsidP="00B4127C">
      <w:pPr>
        <w:pStyle w:val="ListParagraph"/>
        <w:ind w:hanging="720"/>
        <w:rPr>
          <w:rFonts w:cs="Arial"/>
        </w:rPr>
      </w:pPr>
      <w:r>
        <w:rPr>
          <w:rFonts w:cs="Arial"/>
        </w:rPr>
        <w:t>4.2.2</w:t>
      </w:r>
      <w:r>
        <w:rPr>
          <w:rFonts w:cs="Arial"/>
        </w:rPr>
        <w:tab/>
      </w:r>
      <w:r w:rsidR="001369E7" w:rsidRPr="004377BE">
        <w:rPr>
          <w:rFonts w:cs="Arial"/>
        </w:rPr>
        <w:t>The provisional EY allocations for 2017-18, published in December 2016, were bas</w:t>
      </w:r>
      <w:r>
        <w:rPr>
          <w:rFonts w:cs="Arial"/>
        </w:rPr>
        <w:t xml:space="preserve">ed on the January 2016 census. </w:t>
      </w:r>
      <w:r w:rsidR="00CF44C3" w:rsidRPr="004377BE">
        <w:rPr>
          <w:rFonts w:cs="Arial"/>
        </w:rPr>
        <w:t xml:space="preserve">The </w:t>
      </w:r>
      <w:r w:rsidR="00537540" w:rsidRPr="004377BE">
        <w:rPr>
          <w:rFonts w:cs="Arial"/>
        </w:rPr>
        <w:t xml:space="preserve">final </w:t>
      </w:r>
      <w:r w:rsidR="00CF44C3" w:rsidRPr="004377BE">
        <w:rPr>
          <w:rFonts w:cs="Arial"/>
        </w:rPr>
        <w:t>funding</w:t>
      </w:r>
      <w:r w:rsidR="001369E7" w:rsidRPr="004377BE">
        <w:rPr>
          <w:rFonts w:cs="Arial"/>
        </w:rPr>
        <w:t xml:space="preserve"> allocations </w:t>
      </w:r>
      <w:r w:rsidR="00537540" w:rsidRPr="004377BE">
        <w:rPr>
          <w:rFonts w:cs="Arial"/>
        </w:rPr>
        <w:t xml:space="preserve">for 2017-18 for the 3 and 4 Year Olds </w:t>
      </w:r>
      <w:r w:rsidR="00CF44C3" w:rsidRPr="004377BE">
        <w:rPr>
          <w:rFonts w:cs="Arial"/>
        </w:rPr>
        <w:t>universal entitlement (</w:t>
      </w:r>
      <w:r w:rsidR="001369E7" w:rsidRPr="004377BE">
        <w:rPr>
          <w:rFonts w:cs="Arial"/>
        </w:rPr>
        <w:t>15 hours</w:t>
      </w:r>
      <w:r w:rsidR="00CF44C3" w:rsidRPr="004377BE">
        <w:rPr>
          <w:rFonts w:cs="Arial"/>
        </w:rPr>
        <w:t>)</w:t>
      </w:r>
      <w:r w:rsidR="00537540" w:rsidRPr="004377BE">
        <w:rPr>
          <w:rFonts w:cs="Arial"/>
        </w:rPr>
        <w:t xml:space="preserve"> and 2 Year Olds </w:t>
      </w:r>
      <w:r w:rsidR="00CF44C3" w:rsidRPr="004377BE">
        <w:rPr>
          <w:rFonts w:cs="Arial"/>
        </w:rPr>
        <w:t xml:space="preserve">will </w:t>
      </w:r>
      <w:r w:rsidR="001369E7" w:rsidRPr="004377BE">
        <w:rPr>
          <w:rFonts w:cs="Arial"/>
        </w:rPr>
        <w:t>be based on 5/12th of January 2017 child numbers (to cover the April 2017 to August 2017 period) and 7/12th of the January 2018 child numbers (to cover the Septe</w:t>
      </w:r>
      <w:r w:rsidR="00CF44C3" w:rsidRPr="004377BE">
        <w:rPr>
          <w:rFonts w:cs="Arial"/>
        </w:rPr>
        <w:t>mb</w:t>
      </w:r>
      <w:r w:rsidR="00537540" w:rsidRPr="004377BE">
        <w:rPr>
          <w:rFonts w:cs="Arial"/>
        </w:rPr>
        <w:t xml:space="preserve">er 2017 to March 2018 period).  </w:t>
      </w:r>
      <w:r w:rsidR="004377BE">
        <w:rPr>
          <w:rFonts w:cs="Arial"/>
        </w:rPr>
        <w:t>The f</w:t>
      </w:r>
      <w:r w:rsidR="00537540" w:rsidRPr="004377BE">
        <w:rPr>
          <w:rFonts w:cs="Arial"/>
        </w:rPr>
        <w:t xml:space="preserve">unding allocation for EYPP will </w:t>
      </w:r>
      <w:r w:rsidR="004377BE">
        <w:rPr>
          <w:rFonts w:cs="Arial"/>
        </w:rPr>
        <w:t xml:space="preserve">also </w:t>
      </w:r>
      <w:r w:rsidR="00537540" w:rsidRPr="004377BE">
        <w:rPr>
          <w:rFonts w:cs="Arial"/>
        </w:rPr>
        <w:t xml:space="preserve">be based on the same methodology. </w:t>
      </w:r>
      <w:r w:rsidR="008D1BF0" w:rsidRPr="004377BE">
        <w:rPr>
          <w:rFonts w:cs="Arial"/>
        </w:rPr>
        <w:t>The revised July 2017 DSG funding position has been updated for the January 2017 pupil numbers. T</w:t>
      </w:r>
      <w:r w:rsidR="00537540" w:rsidRPr="004377BE">
        <w:rPr>
          <w:rFonts w:cs="Arial"/>
        </w:rPr>
        <w:t>he final allocations f</w:t>
      </w:r>
      <w:r w:rsidR="001369E7" w:rsidRPr="004377BE">
        <w:rPr>
          <w:rFonts w:cs="Arial"/>
        </w:rPr>
        <w:t xml:space="preserve">or 2017-18 </w:t>
      </w:r>
      <w:r w:rsidR="00537540" w:rsidRPr="004377BE">
        <w:rPr>
          <w:rFonts w:cs="Arial"/>
        </w:rPr>
        <w:t xml:space="preserve">will be </w:t>
      </w:r>
      <w:r w:rsidR="00FF0302">
        <w:rPr>
          <w:rFonts w:cs="Arial"/>
        </w:rPr>
        <w:t xml:space="preserve">updated for pupil </w:t>
      </w:r>
      <w:r w:rsidR="001369E7" w:rsidRPr="004377BE">
        <w:rPr>
          <w:rFonts w:cs="Arial"/>
        </w:rPr>
        <w:t xml:space="preserve">numbers recorded at the January 2018 census. </w:t>
      </w:r>
      <w:r w:rsidR="00AF06CC" w:rsidRPr="004377BE">
        <w:rPr>
          <w:rFonts w:cs="Arial"/>
        </w:rPr>
        <w:t>DAF</w:t>
      </w:r>
      <w:r w:rsidR="00287936" w:rsidRPr="004377BE">
        <w:rPr>
          <w:rFonts w:cs="Arial"/>
        </w:rPr>
        <w:t xml:space="preserve"> </w:t>
      </w:r>
      <w:r w:rsidR="00AF06CC" w:rsidRPr="004377BE">
        <w:rPr>
          <w:rFonts w:cs="Arial"/>
        </w:rPr>
        <w:t>funding allocations are based on the number of 3 &amp; 4 Year Olds</w:t>
      </w:r>
      <w:r w:rsidR="00287936" w:rsidRPr="004377BE">
        <w:rPr>
          <w:rFonts w:cs="Arial"/>
        </w:rPr>
        <w:t>, excluding those in Reception,</w:t>
      </w:r>
      <w:r w:rsidR="00AF06CC" w:rsidRPr="004377BE">
        <w:rPr>
          <w:rFonts w:cs="Arial"/>
        </w:rPr>
        <w:t xml:space="preserve"> claim</w:t>
      </w:r>
      <w:r w:rsidR="001369E7" w:rsidRPr="004377BE">
        <w:rPr>
          <w:rFonts w:cs="Arial"/>
        </w:rPr>
        <w:t>ing Disability Living Allowance as at February 2016.</w:t>
      </w:r>
    </w:p>
    <w:p w:rsidR="001E5BD2" w:rsidRDefault="001E5BD2" w:rsidP="001E5BD2">
      <w:pPr>
        <w:pStyle w:val="ListParagraph"/>
        <w:rPr>
          <w:rFonts w:cs="Arial"/>
        </w:rPr>
      </w:pPr>
    </w:p>
    <w:p w:rsidR="001E5BD2" w:rsidRPr="00B4127C" w:rsidRDefault="00B4127C" w:rsidP="00B4127C">
      <w:pPr>
        <w:ind w:left="720" w:hanging="720"/>
        <w:rPr>
          <w:rFonts w:cs="Arial"/>
          <w:b/>
        </w:rPr>
      </w:pPr>
      <w:r>
        <w:rPr>
          <w:rFonts w:cs="Arial"/>
          <w:b/>
        </w:rPr>
        <w:t>4.3</w:t>
      </w:r>
      <w:r>
        <w:rPr>
          <w:rFonts w:cs="Arial"/>
          <w:b/>
        </w:rPr>
        <w:tab/>
      </w:r>
      <w:r w:rsidR="001E5BD2" w:rsidRPr="00B4127C">
        <w:rPr>
          <w:rFonts w:cs="Arial"/>
          <w:b/>
        </w:rPr>
        <w:t>High Needs Block</w:t>
      </w:r>
    </w:p>
    <w:p w:rsidR="003E65A9" w:rsidRDefault="003E65A9" w:rsidP="00FA7F83">
      <w:pPr>
        <w:ind w:left="709" w:firstLine="11"/>
        <w:rPr>
          <w:rFonts w:cs="Arial"/>
        </w:rPr>
      </w:pPr>
    </w:p>
    <w:p w:rsidR="001813F5" w:rsidRPr="00B4127C" w:rsidRDefault="00697D75" w:rsidP="00697D75">
      <w:pPr>
        <w:ind w:left="720" w:hanging="720"/>
        <w:rPr>
          <w:rFonts w:cs="Arial"/>
        </w:rPr>
      </w:pPr>
      <w:r>
        <w:rPr>
          <w:rFonts w:cs="Arial"/>
        </w:rPr>
        <w:t>4.3.1</w:t>
      </w:r>
      <w:r>
        <w:rPr>
          <w:rFonts w:cs="Arial"/>
        </w:rPr>
        <w:tab/>
      </w:r>
      <w:r w:rsidR="003E65A9" w:rsidRPr="00B4127C">
        <w:rPr>
          <w:rFonts w:cs="Arial"/>
        </w:rPr>
        <w:t xml:space="preserve">The High Needs Block </w:t>
      </w:r>
      <w:r w:rsidR="00B263DF" w:rsidRPr="00B4127C">
        <w:rPr>
          <w:rFonts w:cs="Arial"/>
        </w:rPr>
        <w:t>i</w:t>
      </w:r>
      <w:r w:rsidR="00511257">
        <w:rPr>
          <w:rFonts w:cs="Arial"/>
        </w:rPr>
        <w:t>s</w:t>
      </w:r>
      <w:r w:rsidR="00B263DF" w:rsidRPr="00B4127C">
        <w:rPr>
          <w:rFonts w:cs="Arial"/>
        </w:rPr>
        <w:t xml:space="preserve"> funding for pupils / students aged 0-24.  The block includes place and top-up funding for pre and post 16 high needs students in maintained schools, maintained special schools, PRUs, maintained academies and free schools, special academies, Alternative Provision (AP) </w:t>
      </w:r>
      <w:r w:rsidR="00511257">
        <w:rPr>
          <w:rFonts w:cs="Arial"/>
        </w:rPr>
        <w:t>academies,</w:t>
      </w:r>
      <w:r w:rsidR="001813F5" w:rsidRPr="00B4127C">
        <w:rPr>
          <w:rFonts w:cs="Arial"/>
        </w:rPr>
        <w:t xml:space="preserve"> Further</w:t>
      </w:r>
      <w:r w:rsidR="00511257">
        <w:rPr>
          <w:rFonts w:cs="Arial"/>
        </w:rPr>
        <w:t xml:space="preserve"> Education (FE) Colleges, C</w:t>
      </w:r>
      <w:r w:rsidR="00B263DF" w:rsidRPr="00B4127C">
        <w:rPr>
          <w:rFonts w:cs="Arial"/>
        </w:rPr>
        <w:t xml:space="preserve">ommercial and </w:t>
      </w:r>
      <w:r w:rsidR="00511257">
        <w:rPr>
          <w:rFonts w:cs="Arial"/>
        </w:rPr>
        <w:t>Charitable P</w:t>
      </w:r>
      <w:r w:rsidR="00B263DF" w:rsidRPr="00B4127C">
        <w:rPr>
          <w:rFonts w:cs="Arial"/>
        </w:rPr>
        <w:t>roviders (CCP)</w:t>
      </w:r>
      <w:r w:rsidR="00511257">
        <w:rPr>
          <w:rFonts w:cs="Arial"/>
        </w:rPr>
        <w:t>,</w:t>
      </w:r>
      <w:r w:rsidR="00B263DF" w:rsidRPr="00B4127C">
        <w:rPr>
          <w:rFonts w:cs="Arial"/>
        </w:rPr>
        <w:t xml:space="preserve"> and AP free schools</w:t>
      </w:r>
      <w:r w:rsidR="00511257">
        <w:rPr>
          <w:rFonts w:cs="Arial"/>
        </w:rPr>
        <w:t xml:space="preserve"> Pre-16 that opened before 2016-17</w:t>
      </w:r>
      <w:r w:rsidR="00B263DF" w:rsidRPr="00B4127C">
        <w:rPr>
          <w:rFonts w:cs="Arial"/>
        </w:rPr>
        <w:t xml:space="preserve">.  It also </w:t>
      </w:r>
      <w:r w:rsidR="001813F5" w:rsidRPr="00B4127C">
        <w:rPr>
          <w:rFonts w:cs="Arial"/>
        </w:rPr>
        <w:t>includes top</w:t>
      </w:r>
      <w:r w:rsidR="00B263DF" w:rsidRPr="00B4127C">
        <w:rPr>
          <w:rFonts w:cs="Arial"/>
        </w:rPr>
        <w:t xml:space="preserve">-up funding for students in special post 16 institutions </w:t>
      </w:r>
      <w:r w:rsidR="005C61A8" w:rsidRPr="00B4127C">
        <w:rPr>
          <w:rFonts w:cs="Arial"/>
        </w:rPr>
        <w:t>and non-</w:t>
      </w:r>
      <w:r w:rsidR="001813F5" w:rsidRPr="00B4127C">
        <w:rPr>
          <w:rFonts w:cs="Arial"/>
        </w:rPr>
        <w:t xml:space="preserve">maintained special schools (NMSS).  The allocation of 2017-18 funding now incorporates post 16 budgets for FE and CCP plus uplifts for 2-18 year olds population and growth uplifts.   </w:t>
      </w:r>
      <w:r w:rsidR="00B263DF" w:rsidRPr="00B4127C">
        <w:rPr>
          <w:rFonts w:cs="Arial"/>
        </w:rPr>
        <w:t xml:space="preserve"> </w:t>
      </w:r>
    </w:p>
    <w:p w:rsidR="001813F5" w:rsidRPr="00B4127C" w:rsidRDefault="001813F5" w:rsidP="00FA7F83">
      <w:pPr>
        <w:ind w:left="709" w:firstLine="11"/>
        <w:rPr>
          <w:rFonts w:cs="Arial"/>
        </w:rPr>
      </w:pPr>
    </w:p>
    <w:p w:rsidR="00FA7F83" w:rsidRPr="00B4127C" w:rsidRDefault="00697D75" w:rsidP="00697D75">
      <w:pPr>
        <w:ind w:left="720" w:hanging="720"/>
        <w:rPr>
          <w:rFonts w:cs="Arial"/>
        </w:rPr>
      </w:pPr>
      <w:r>
        <w:rPr>
          <w:rFonts w:cs="Arial"/>
        </w:rPr>
        <w:t>4.3.2</w:t>
      </w:r>
      <w:r>
        <w:rPr>
          <w:rFonts w:cs="Arial"/>
        </w:rPr>
        <w:tab/>
      </w:r>
      <w:r w:rsidR="001813F5" w:rsidRPr="00B4127C">
        <w:rPr>
          <w:rFonts w:cs="Arial"/>
        </w:rPr>
        <w:t xml:space="preserve">Deductions are </w:t>
      </w:r>
      <w:r w:rsidR="005A63DE" w:rsidRPr="00B4127C">
        <w:rPr>
          <w:rFonts w:cs="Arial"/>
        </w:rPr>
        <w:t xml:space="preserve">then </w:t>
      </w:r>
      <w:r w:rsidR="001813F5" w:rsidRPr="00B4127C">
        <w:rPr>
          <w:rFonts w:cs="Arial"/>
        </w:rPr>
        <w:t>made for places directly funded by the ESFA</w:t>
      </w:r>
      <w:r w:rsidR="005A63DE" w:rsidRPr="00B4127C">
        <w:rPr>
          <w:rFonts w:cs="Arial"/>
        </w:rPr>
        <w:t xml:space="preserve"> (including those funded through the Sixth Form Grant), high need places at FE and CCP, academies, places in mainstream free schools and academies, and AP free school</w:t>
      </w:r>
      <w:r w:rsidR="00202476" w:rsidRPr="00B4127C">
        <w:rPr>
          <w:rFonts w:cs="Arial"/>
        </w:rPr>
        <w:t xml:space="preserve"> (pre-16 places, that opened in 2015-16 or before).</w:t>
      </w:r>
    </w:p>
    <w:p w:rsidR="00202476" w:rsidRPr="00B4127C" w:rsidRDefault="00202476" w:rsidP="00FA7F83">
      <w:pPr>
        <w:ind w:left="709" w:firstLine="11"/>
        <w:rPr>
          <w:rFonts w:cs="Arial"/>
        </w:rPr>
      </w:pPr>
    </w:p>
    <w:p w:rsidR="00202476" w:rsidRPr="00B4127C" w:rsidRDefault="00A9785E" w:rsidP="00A9785E">
      <w:pPr>
        <w:ind w:left="709" w:firstLine="11"/>
        <w:rPr>
          <w:rFonts w:cs="Arial"/>
        </w:rPr>
      </w:pPr>
      <w:r w:rsidRPr="00B4127C">
        <w:rPr>
          <w:rFonts w:cs="Arial"/>
        </w:rPr>
        <w:t>The High Needs deductions for places funded direct</w:t>
      </w:r>
      <w:r w:rsidR="00DC1AC4" w:rsidRPr="00B4127C">
        <w:rPr>
          <w:rFonts w:cs="Arial"/>
        </w:rPr>
        <w:t xml:space="preserve"> is</w:t>
      </w:r>
      <w:r w:rsidR="007E2269">
        <w:rPr>
          <w:rFonts w:cs="Arial"/>
        </w:rPr>
        <w:t xml:space="preserve"> £2,689k</w:t>
      </w:r>
      <w:r w:rsidRPr="00B4127C">
        <w:rPr>
          <w:rFonts w:cs="Arial"/>
        </w:rPr>
        <w:t xml:space="preserve">, and now includes updated </w:t>
      </w:r>
      <w:r w:rsidR="00DC1AC4" w:rsidRPr="00B4127C">
        <w:rPr>
          <w:rFonts w:cs="Arial"/>
        </w:rPr>
        <w:t xml:space="preserve">additional </w:t>
      </w:r>
      <w:r w:rsidRPr="00B4127C">
        <w:rPr>
          <w:rFonts w:cs="Arial"/>
        </w:rPr>
        <w:t xml:space="preserve">place numbers in recoupment academies.  </w:t>
      </w:r>
    </w:p>
    <w:p w:rsidR="00745B53" w:rsidRPr="00B4127C" w:rsidRDefault="00745B53" w:rsidP="00FA7F83">
      <w:pPr>
        <w:ind w:left="709" w:firstLine="11"/>
        <w:rPr>
          <w:rFonts w:cs="Arial"/>
        </w:rPr>
      </w:pPr>
    </w:p>
    <w:p w:rsidR="00697D75" w:rsidRPr="00B4127C" w:rsidRDefault="00697D75" w:rsidP="00697D75">
      <w:pPr>
        <w:ind w:left="720" w:hanging="720"/>
        <w:rPr>
          <w:rFonts w:cs="Arial"/>
          <w:b/>
        </w:rPr>
      </w:pPr>
      <w:r>
        <w:rPr>
          <w:rFonts w:cs="Arial"/>
          <w:b/>
        </w:rPr>
        <w:t>4.4</w:t>
      </w:r>
      <w:r>
        <w:rPr>
          <w:rFonts w:cs="Arial"/>
          <w:b/>
        </w:rPr>
        <w:tab/>
        <w:t>Total DSG Funding</w:t>
      </w:r>
    </w:p>
    <w:p w:rsidR="00DC1AC4" w:rsidRPr="00B4127C" w:rsidRDefault="00DC1AC4" w:rsidP="00FA7F83">
      <w:pPr>
        <w:ind w:left="709" w:hanging="709"/>
        <w:rPr>
          <w:rFonts w:cs="Arial"/>
        </w:rPr>
      </w:pPr>
    </w:p>
    <w:p w:rsidR="00FA7F83" w:rsidRDefault="00B72482" w:rsidP="00FA7F83">
      <w:pPr>
        <w:ind w:left="709"/>
        <w:rPr>
          <w:rFonts w:cs="Arial"/>
        </w:rPr>
      </w:pPr>
      <w:r w:rsidRPr="00B4127C">
        <w:rPr>
          <w:rFonts w:cs="Arial"/>
        </w:rPr>
        <w:t>As per the July 2017 updated DSG funding statement, the r</w:t>
      </w:r>
      <w:r w:rsidR="00FA7F83" w:rsidRPr="00B4127C">
        <w:rPr>
          <w:rFonts w:cs="Arial"/>
        </w:rPr>
        <w:t>evised DSG total funding (</w:t>
      </w:r>
      <w:r w:rsidRPr="00B4127C">
        <w:rPr>
          <w:rFonts w:cs="Arial"/>
        </w:rPr>
        <w:t xml:space="preserve">before </w:t>
      </w:r>
      <w:r w:rsidR="00FA7F83" w:rsidRPr="00B4127C">
        <w:rPr>
          <w:rFonts w:cs="Arial"/>
        </w:rPr>
        <w:t>schools recoupment</w:t>
      </w:r>
      <w:r w:rsidRPr="00B4127C">
        <w:rPr>
          <w:rFonts w:cs="Arial"/>
        </w:rPr>
        <w:t xml:space="preserve"> and high needs deductions</w:t>
      </w:r>
      <w:r w:rsidR="00FA7F83" w:rsidRPr="00B4127C">
        <w:rPr>
          <w:rFonts w:cs="Arial"/>
        </w:rPr>
        <w:t xml:space="preserve">) </w:t>
      </w:r>
      <w:r w:rsidRPr="00B4127C">
        <w:rPr>
          <w:rFonts w:cs="Arial"/>
        </w:rPr>
        <w:t xml:space="preserve">is </w:t>
      </w:r>
      <w:r w:rsidR="00FA7F83" w:rsidRPr="00B4127C">
        <w:rPr>
          <w:rFonts w:cs="Arial"/>
        </w:rPr>
        <w:t>£</w:t>
      </w:r>
      <w:r w:rsidRPr="00B4127C">
        <w:rPr>
          <w:rFonts w:cs="Arial"/>
        </w:rPr>
        <w:t>253,885</w:t>
      </w:r>
      <w:r w:rsidR="00697D75">
        <w:rPr>
          <w:rFonts w:cs="Arial"/>
        </w:rPr>
        <w:t>k</w:t>
      </w:r>
      <w:r w:rsidR="00FA7F83" w:rsidRPr="00B4127C">
        <w:rPr>
          <w:rFonts w:cs="Arial"/>
        </w:rPr>
        <w:t>.  Actual funding after recoupment</w:t>
      </w:r>
      <w:r w:rsidRPr="00B4127C">
        <w:rPr>
          <w:rFonts w:cs="Arial"/>
        </w:rPr>
        <w:t>s and deduction is £210,631</w:t>
      </w:r>
      <w:r w:rsidR="00697D75">
        <w:rPr>
          <w:rFonts w:cs="Arial"/>
        </w:rPr>
        <w:t>k</w:t>
      </w:r>
      <w:r w:rsidRPr="00B4127C">
        <w:rPr>
          <w:rFonts w:cs="Arial"/>
        </w:rPr>
        <w:t>.</w:t>
      </w:r>
      <w:r>
        <w:rPr>
          <w:rFonts w:cs="Arial"/>
        </w:rPr>
        <w:t xml:space="preserve">  </w:t>
      </w:r>
    </w:p>
    <w:p w:rsidR="001E5BD2" w:rsidRDefault="001E5BD2" w:rsidP="00FA7F83">
      <w:pPr>
        <w:ind w:left="709"/>
        <w:rPr>
          <w:rFonts w:cs="Arial"/>
        </w:rPr>
      </w:pPr>
    </w:p>
    <w:p w:rsidR="001E5BD2" w:rsidRDefault="001E5BD2" w:rsidP="001E5BD2">
      <w:pPr>
        <w:ind w:left="709" w:hanging="709"/>
        <w:rPr>
          <w:rFonts w:cs="Arial"/>
        </w:rPr>
      </w:pPr>
    </w:p>
    <w:p w:rsidR="001E5BD2" w:rsidRDefault="001E5BD2" w:rsidP="00FA7F83">
      <w:pPr>
        <w:ind w:left="709"/>
        <w:rPr>
          <w:rFonts w:cs="Arial"/>
        </w:rPr>
      </w:pPr>
    </w:p>
    <w:p w:rsidR="0058185F" w:rsidRDefault="0058185F" w:rsidP="00FA7F83">
      <w:pPr>
        <w:ind w:left="720"/>
        <w:rPr>
          <w:rFonts w:cs="Arial"/>
          <w:b/>
          <w:u w:val="single"/>
        </w:rPr>
      </w:pPr>
    </w:p>
    <w:p w:rsidR="003B7746" w:rsidRPr="00805BB2" w:rsidRDefault="003B7746" w:rsidP="00805BB2">
      <w:pPr>
        <w:pStyle w:val="ListParagraph"/>
        <w:numPr>
          <w:ilvl w:val="0"/>
          <w:numId w:val="2"/>
        </w:numPr>
        <w:rPr>
          <w:rFonts w:cs="Arial"/>
          <w:b/>
        </w:rPr>
      </w:pPr>
      <w:r w:rsidRPr="00805BB2">
        <w:rPr>
          <w:rFonts w:cs="Arial"/>
          <w:b/>
        </w:rPr>
        <w:t xml:space="preserve">National Funding Formula Update </w:t>
      </w:r>
    </w:p>
    <w:p w:rsidR="003B7746" w:rsidRDefault="003B7746" w:rsidP="003B7746">
      <w:pPr>
        <w:pStyle w:val="Default"/>
      </w:pPr>
    </w:p>
    <w:p w:rsidR="003B7746" w:rsidRPr="009709CE" w:rsidRDefault="00805BB2" w:rsidP="00805BB2">
      <w:pPr>
        <w:pStyle w:val="Default"/>
        <w:spacing w:after="160" w:line="259" w:lineRule="auto"/>
        <w:ind w:left="720" w:right="57" w:hanging="720"/>
        <w:rPr>
          <w:color w:val="auto"/>
        </w:rPr>
      </w:pPr>
      <w:r>
        <w:rPr>
          <w:color w:val="auto"/>
        </w:rPr>
        <w:t>5.1</w:t>
      </w:r>
      <w:r>
        <w:rPr>
          <w:color w:val="auto"/>
        </w:rPr>
        <w:tab/>
      </w:r>
      <w:r w:rsidR="003B7746" w:rsidRPr="008138B0">
        <w:rPr>
          <w:color w:val="auto"/>
        </w:rPr>
        <w:t xml:space="preserve">The DfE have confirmed that the national funding formulae for schools, high needs and central school services will be introduced from April 2018. Funding for early years has been allocated through a national funding formula since 2017-18. The schools formula will be “soft” in 2018-19 and 2019-20 whereby local authorities will continue to set local formulae for schools. </w:t>
      </w:r>
      <w:r w:rsidR="003B7746">
        <w:rPr>
          <w:color w:val="auto"/>
        </w:rPr>
        <w:t>The main changes are:</w:t>
      </w:r>
    </w:p>
    <w:p w:rsidR="003B7746" w:rsidRDefault="003B7746" w:rsidP="00F57208">
      <w:pPr>
        <w:pStyle w:val="ListParagraph"/>
        <w:numPr>
          <w:ilvl w:val="0"/>
          <w:numId w:val="24"/>
        </w:numPr>
        <w:suppressAutoHyphens/>
        <w:autoSpaceDN w:val="0"/>
        <w:ind w:left="1134" w:hanging="567"/>
        <w:textAlignment w:val="baseline"/>
        <w:rPr>
          <w:rFonts w:eastAsiaTheme="minorHAnsi" w:cs="Arial"/>
          <w:lang w:eastAsia="en-US"/>
        </w:rPr>
      </w:pPr>
      <w:r w:rsidRPr="00E02982">
        <w:rPr>
          <w:rFonts w:eastAsiaTheme="minorHAnsi" w:cs="Arial"/>
          <w:lang w:eastAsia="en-US"/>
        </w:rPr>
        <w:t>The central school services block (CSSB) has been created. Local authorities will be allocated funding for central school services through the new CSSB. This will comprise funding for ongoing responsibilities and a cash sum for historic commitments</w:t>
      </w:r>
      <w:r>
        <w:rPr>
          <w:rFonts w:eastAsiaTheme="minorHAnsi" w:cs="Arial"/>
          <w:lang w:eastAsia="en-US"/>
        </w:rPr>
        <w:t>;</w:t>
      </w:r>
    </w:p>
    <w:p w:rsidR="003B7746" w:rsidRPr="00805BB2" w:rsidRDefault="003B7746" w:rsidP="00F57208">
      <w:pPr>
        <w:ind w:left="1134" w:hanging="567"/>
        <w:rPr>
          <w:rFonts w:eastAsiaTheme="minorHAnsi" w:cs="Arial"/>
          <w:lang w:eastAsia="en-US"/>
        </w:rPr>
      </w:pPr>
    </w:p>
    <w:p w:rsidR="003B7746" w:rsidRDefault="003B7746" w:rsidP="00F57208">
      <w:pPr>
        <w:pStyle w:val="ListParagraph"/>
        <w:numPr>
          <w:ilvl w:val="0"/>
          <w:numId w:val="24"/>
        </w:numPr>
        <w:suppressAutoHyphens/>
        <w:autoSpaceDN w:val="0"/>
        <w:ind w:left="1134" w:hanging="567"/>
        <w:textAlignment w:val="baseline"/>
        <w:rPr>
          <w:rFonts w:eastAsiaTheme="minorHAnsi" w:cs="Arial"/>
          <w:lang w:eastAsia="en-US"/>
        </w:rPr>
      </w:pPr>
      <w:r w:rsidRPr="00625591">
        <w:rPr>
          <w:rFonts w:eastAsiaTheme="minorHAnsi" w:cs="Arial"/>
          <w:lang w:eastAsia="en-US"/>
        </w:rPr>
        <w:t>The</w:t>
      </w:r>
      <w:r>
        <w:rPr>
          <w:rFonts w:eastAsiaTheme="minorHAnsi" w:cs="Arial"/>
          <w:lang w:eastAsia="en-US"/>
        </w:rPr>
        <w:t xml:space="preserve">re will be a </w:t>
      </w:r>
      <w:r w:rsidRPr="00625591">
        <w:rPr>
          <w:rFonts w:eastAsiaTheme="minorHAnsi" w:cs="Arial"/>
          <w:lang w:eastAsia="en-US"/>
        </w:rPr>
        <w:t xml:space="preserve">funding floor </w:t>
      </w:r>
      <w:r>
        <w:rPr>
          <w:rFonts w:eastAsiaTheme="minorHAnsi" w:cs="Arial"/>
          <w:lang w:eastAsia="en-US"/>
        </w:rPr>
        <w:t xml:space="preserve">which will provide </w:t>
      </w:r>
      <w:r w:rsidRPr="00625591">
        <w:rPr>
          <w:rFonts w:eastAsiaTheme="minorHAnsi" w:cs="Arial"/>
          <w:lang w:eastAsia="en-US"/>
        </w:rPr>
        <w:t xml:space="preserve">an increase of at least 0.5% per pupil in 2018-19 and at least 1% per pupil by 2019-20 in respect of all schools, compared to their baselines. </w:t>
      </w:r>
    </w:p>
    <w:p w:rsidR="003B7746" w:rsidRPr="00625591" w:rsidRDefault="003B7746" w:rsidP="00F57208">
      <w:pPr>
        <w:pStyle w:val="ListParagraph"/>
        <w:ind w:left="1134" w:hanging="567"/>
        <w:rPr>
          <w:rFonts w:eastAsiaTheme="minorHAnsi" w:cs="Arial"/>
          <w:lang w:eastAsia="en-US"/>
        </w:rPr>
      </w:pPr>
    </w:p>
    <w:p w:rsidR="003B7746" w:rsidRPr="00625591" w:rsidRDefault="003B7746" w:rsidP="00F57208">
      <w:pPr>
        <w:pStyle w:val="ListParagraph"/>
        <w:numPr>
          <w:ilvl w:val="0"/>
          <w:numId w:val="24"/>
        </w:numPr>
        <w:suppressAutoHyphens/>
        <w:autoSpaceDN w:val="0"/>
        <w:ind w:left="1134" w:hanging="567"/>
        <w:textAlignment w:val="baseline"/>
        <w:rPr>
          <w:rFonts w:eastAsiaTheme="minorHAnsi" w:cs="Arial"/>
          <w:lang w:eastAsia="en-US"/>
        </w:rPr>
      </w:pPr>
      <w:r>
        <w:rPr>
          <w:rFonts w:eastAsiaTheme="minorHAnsi" w:cs="Arial"/>
          <w:lang w:eastAsia="en-US"/>
        </w:rPr>
        <w:t>There will be a</w:t>
      </w:r>
      <w:r w:rsidRPr="00625591">
        <w:rPr>
          <w:rFonts w:eastAsiaTheme="minorHAnsi" w:cs="Arial"/>
          <w:lang w:eastAsia="en-US"/>
        </w:rPr>
        <w:t xml:space="preserve"> gains cap - 3% per pupil in 2018-19 and a further 3% per pupil in 2019-20, over 2017-18 baselines </w:t>
      </w:r>
    </w:p>
    <w:p w:rsidR="003B7746" w:rsidRPr="00625591" w:rsidRDefault="003B7746" w:rsidP="00F57208">
      <w:pPr>
        <w:ind w:left="1134" w:hanging="567"/>
        <w:rPr>
          <w:rFonts w:ascii="Calibri" w:hAnsi="Calibri"/>
        </w:rPr>
      </w:pPr>
    </w:p>
    <w:p w:rsidR="003B7746" w:rsidRPr="00E02982" w:rsidRDefault="003B7746" w:rsidP="00F57208">
      <w:pPr>
        <w:pStyle w:val="ListParagraph"/>
        <w:numPr>
          <w:ilvl w:val="0"/>
          <w:numId w:val="24"/>
        </w:numPr>
        <w:suppressAutoHyphens/>
        <w:autoSpaceDN w:val="0"/>
        <w:ind w:left="1134" w:hanging="567"/>
        <w:textAlignment w:val="baseline"/>
        <w:rPr>
          <w:rFonts w:eastAsiaTheme="minorHAnsi" w:cs="Arial"/>
          <w:lang w:eastAsia="en-US"/>
        </w:rPr>
      </w:pPr>
      <w:r w:rsidRPr="00E02982">
        <w:rPr>
          <w:rFonts w:eastAsiaTheme="minorHAnsi" w:cs="Arial"/>
          <w:lang w:eastAsia="en-US"/>
        </w:rPr>
        <w:t>Within the high needs block, the Government will provide for at least a 0.5% overall increase in 2018 to 2019 through the high needs national funding formula. The high needs block will be protected against 2017 to 2018 baselines, subject to some adjustments.</w:t>
      </w:r>
    </w:p>
    <w:p w:rsidR="003B7746" w:rsidRPr="00E02982" w:rsidRDefault="003B7746" w:rsidP="00F57208">
      <w:pPr>
        <w:pStyle w:val="ListParagraph"/>
        <w:ind w:left="1134" w:hanging="567"/>
        <w:rPr>
          <w:rFonts w:eastAsiaTheme="minorHAnsi" w:cs="Arial"/>
          <w:lang w:eastAsia="en-US"/>
        </w:rPr>
      </w:pPr>
    </w:p>
    <w:p w:rsidR="003B7746" w:rsidRPr="008E720A" w:rsidRDefault="003B7746" w:rsidP="00F57208">
      <w:pPr>
        <w:pStyle w:val="ListParagraph"/>
        <w:numPr>
          <w:ilvl w:val="0"/>
          <w:numId w:val="24"/>
        </w:numPr>
        <w:suppressAutoHyphens/>
        <w:autoSpaceDN w:val="0"/>
        <w:ind w:left="1134" w:hanging="567"/>
        <w:textAlignment w:val="baseline"/>
        <w:rPr>
          <w:rFonts w:eastAsiaTheme="minorHAnsi" w:cs="Arial"/>
          <w:lang w:eastAsia="en-US"/>
        </w:rPr>
      </w:pPr>
      <w:r w:rsidRPr="008E720A">
        <w:rPr>
          <w:rFonts w:eastAsiaTheme="minorHAnsi" w:cs="Arial"/>
          <w:lang w:eastAsia="en-US"/>
        </w:rPr>
        <w:t xml:space="preserve">From 2018/19, The Schools block will be ring-fenced from 2018 to 2019, but local authorities will be able to transfer up to 0.5% of their schools block funding out with the agreement of their schools forum. Transfers over 0.5% and those </w:t>
      </w:r>
      <w:r w:rsidR="00F57208">
        <w:rPr>
          <w:rFonts w:eastAsiaTheme="minorHAnsi" w:cs="Arial"/>
          <w:lang w:eastAsia="en-US"/>
        </w:rPr>
        <w:t xml:space="preserve">not supported </w:t>
      </w:r>
      <w:r w:rsidRPr="008E720A">
        <w:rPr>
          <w:rFonts w:eastAsiaTheme="minorHAnsi" w:cs="Arial"/>
          <w:lang w:eastAsia="en-US"/>
        </w:rPr>
        <w:t xml:space="preserve">by the Schools Forum will require the approval of the Secretary of State.  </w:t>
      </w:r>
    </w:p>
    <w:p w:rsidR="003B7746" w:rsidRDefault="003B7746" w:rsidP="00F57208">
      <w:pPr>
        <w:ind w:left="1134" w:hanging="567"/>
        <w:rPr>
          <w:rFonts w:cs="Arial"/>
        </w:rPr>
      </w:pPr>
    </w:p>
    <w:p w:rsidR="00805BB2" w:rsidRDefault="00805BB2" w:rsidP="003B7746">
      <w:pPr>
        <w:rPr>
          <w:rFonts w:cs="Arial"/>
        </w:rPr>
      </w:pPr>
    </w:p>
    <w:p w:rsidR="003B7746" w:rsidRDefault="003B7746" w:rsidP="00805BB2">
      <w:pPr>
        <w:pStyle w:val="Default"/>
        <w:numPr>
          <w:ilvl w:val="0"/>
          <w:numId w:val="4"/>
        </w:numPr>
        <w:ind w:left="567" w:hanging="567"/>
        <w:rPr>
          <w:b/>
          <w:color w:val="auto"/>
        </w:rPr>
      </w:pPr>
      <w:r w:rsidRPr="009709CE">
        <w:rPr>
          <w:b/>
          <w:color w:val="auto"/>
        </w:rPr>
        <w:t>Provisional NFF schools funding in 2018-19</w:t>
      </w:r>
    </w:p>
    <w:p w:rsidR="003B7746" w:rsidRPr="009709CE" w:rsidRDefault="003B7746" w:rsidP="003B7746">
      <w:pPr>
        <w:pStyle w:val="Default"/>
        <w:ind w:left="567"/>
        <w:rPr>
          <w:b/>
          <w:color w:val="auto"/>
        </w:rPr>
      </w:pPr>
    </w:p>
    <w:p w:rsidR="003B7746" w:rsidRDefault="001A0771" w:rsidP="003B7746">
      <w:pPr>
        <w:spacing w:after="240"/>
        <w:ind w:left="567" w:hanging="567"/>
        <w:rPr>
          <w:rFonts w:cs="Arial"/>
          <w:color w:val="000000"/>
        </w:rPr>
      </w:pPr>
      <w:r>
        <w:rPr>
          <w:rFonts w:cs="Arial"/>
          <w:color w:val="000000"/>
        </w:rPr>
        <w:t>6</w:t>
      </w:r>
      <w:r w:rsidR="003B7746">
        <w:rPr>
          <w:rFonts w:cs="Arial"/>
          <w:color w:val="000000"/>
        </w:rPr>
        <w:t>.1</w:t>
      </w:r>
      <w:r>
        <w:rPr>
          <w:rFonts w:cs="Arial"/>
          <w:color w:val="000000"/>
        </w:rPr>
        <w:t>.1</w:t>
      </w:r>
      <w:r w:rsidR="003B7746">
        <w:rPr>
          <w:rFonts w:cs="Arial"/>
          <w:color w:val="000000"/>
        </w:rPr>
        <w:tab/>
      </w:r>
      <w:r w:rsidR="003B7746" w:rsidRPr="00072E7B">
        <w:rPr>
          <w:rFonts w:cs="Arial"/>
          <w:color w:val="000000"/>
        </w:rPr>
        <w:t xml:space="preserve">Table </w:t>
      </w:r>
      <w:r w:rsidR="00072E7B" w:rsidRPr="00072E7B">
        <w:rPr>
          <w:rFonts w:cs="Arial"/>
          <w:color w:val="000000"/>
        </w:rPr>
        <w:t>4</w:t>
      </w:r>
      <w:r w:rsidR="003B7746">
        <w:rPr>
          <w:rFonts w:cs="Arial"/>
          <w:color w:val="000000"/>
        </w:rPr>
        <w:t xml:space="preserve"> shows the allocation for Barking and Dagenham and provides the percentage change in funding when compared to the baselines for 2017-18. This shows the funding for 2018-19, indicative funding for 2019-20 and the illustrative funding if the NFF had been implemented in full. </w:t>
      </w:r>
    </w:p>
    <w:p w:rsidR="003B7746" w:rsidRDefault="001A0771" w:rsidP="003B7746">
      <w:pPr>
        <w:spacing w:after="240"/>
        <w:ind w:left="567" w:hanging="567"/>
        <w:rPr>
          <w:rFonts w:cs="Arial"/>
          <w:color w:val="000000"/>
        </w:rPr>
      </w:pPr>
      <w:r>
        <w:rPr>
          <w:rFonts w:cs="Arial"/>
          <w:color w:val="000000"/>
        </w:rPr>
        <w:t>6</w:t>
      </w:r>
      <w:r w:rsidR="003B7746">
        <w:rPr>
          <w:rFonts w:cs="Arial"/>
          <w:color w:val="000000"/>
        </w:rPr>
        <w:t>.</w:t>
      </w:r>
      <w:r>
        <w:rPr>
          <w:rFonts w:cs="Arial"/>
          <w:color w:val="000000"/>
        </w:rPr>
        <w:t>1.</w:t>
      </w:r>
      <w:r w:rsidR="003B7746">
        <w:rPr>
          <w:rFonts w:cs="Arial"/>
          <w:color w:val="000000"/>
        </w:rPr>
        <w:t>2</w:t>
      </w:r>
      <w:r w:rsidR="003B7746">
        <w:rPr>
          <w:rFonts w:cs="Arial"/>
          <w:color w:val="000000"/>
        </w:rPr>
        <w:tab/>
        <w:t xml:space="preserve">The </w:t>
      </w:r>
      <w:r w:rsidR="003B7746" w:rsidRPr="003041A2">
        <w:rPr>
          <w:rFonts w:cs="Arial"/>
          <w:color w:val="000000"/>
        </w:rPr>
        <w:t>provisional NFF 2018-19 schools block allocations for each LA</w:t>
      </w:r>
      <w:r w:rsidR="003B7746">
        <w:rPr>
          <w:rFonts w:cs="Arial"/>
          <w:color w:val="000000"/>
        </w:rPr>
        <w:t xml:space="preserve"> is based </w:t>
      </w:r>
      <w:r w:rsidR="003B7746" w:rsidRPr="003041A2">
        <w:rPr>
          <w:rFonts w:cs="Arial"/>
          <w:color w:val="000000"/>
        </w:rPr>
        <w:t>on 2017-18 pupil numbers</w:t>
      </w:r>
      <w:r w:rsidR="003B7746">
        <w:rPr>
          <w:rFonts w:cs="Arial"/>
          <w:color w:val="000000"/>
        </w:rPr>
        <w:t xml:space="preserve"> (October 2016 census)</w:t>
      </w:r>
      <w:r w:rsidR="003B7746" w:rsidRPr="003041A2">
        <w:rPr>
          <w:rFonts w:cs="Arial"/>
          <w:color w:val="000000"/>
        </w:rPr>
        <w:t>. Actual 2018-19 allocations</w:t>
      </w:r>
      <w:r w:rsidR="003B7746">
        <w:rPr>
          <w:rFonts w:cs="Arial"/>
          <w:color w:val="000000"/>
        </w:rPr>
        <w:t>, will be announced in December,</w:t>
      </w:r>
      <w:r w:rsidR="003B7746" w:rsidRPr="003041A2">
        <w:rPr>
          <w:rFonts w:cs="Arial"/>
          <w:color w:val="000000"/>
        </w:rPr>
        <w:t xml:space="preserve"> will be based on updated pupil numbers</w:t>
      </w:r>
      <w:r w:rsidR="003B7746">
        <w:rPr>
          <w:rFonts w:cs="Arial"/>
          <w:color w:val="000000"/>
        </w:rPr>
        <w:t xml:space="preserve"> from the October 2017 census</w:t>
      </w:r>
      <w:r w:rsidR="003B7746" w:rsidRPr="003041A2">
        <w:rPr>
          <w:rFonts w:cs="Arial"/>
          <w:color w:val="000000"/>
        </w:rPr>
        <w:t xml:space="preserve">. </w:t>
      </w:r>
    </w:p>
    <w:p w:rsidR="003B7746" w:rsidRDefault="001A0771" w:rsidP="003B7746">
      <w:pPr>
        <w:spacing w:after="240"/>
        <w:ind w:left="567" w:hanging="567"/>
        <w:rPr>
          <w:rFonts w:cs="Arial"/>
          <w:color w:val="000000"/>
        </w:rPr>
      </w:pPr>
      <w:r>
        <w:rPr>
          <w:rFonts w:cs="Arial"/>
          <w:color w:val="000000"/>
        </w:rPr>
        <w:t>6.1.3</w:t>
      </w:r>
      <w:r w:rsidR="003B7746">
        <w:rPr>
          <w:rFonts w:cs="Arial"/>
          <w:color w:val="000000"/>
        </w:rPr>
        <w:tab/>
      </w:r>
      <w:r w:rsidR="003B7746" w:rsidRPr="003041A2">
        <w:rPr>
          <w:rFonts w:cs="Arial"/>
          <w:color w:val="000000"/>
        </w:rPr>
        <w:t>Actual allocations for future years will reflect updated pupil characteristics and pupil numbers and will be subject to future spending review decisions.</w:t>
      </w:r>
    </w:p>
    <w:p w:rsidR="003B7746" w:rsidRDefault="003B7746" w:rsidP="003B7746">
      <w:pPr>
        <w:ind w:left="567"/>
        <w:rPr>
          <w:rFonts w:cs="Arial"/>
        </w:rPr>
      </w:pPr>
      <w:r w:rsidRPr="00C942B2">
        <w:rPr>
          <w:rFonts w:cs="Arial"/>
          <w:b/>
        </w:rPr>
        <w:t>The Central School Service Block</w:t>
      </w:r>
      <w:r>
        <w:rPr>
          <w:rFonts w:cs="Arial"/>
        </w:rPr>
        <w:t xml:space="preserve"> is </w:t>
      </w:r>
      <w:r w:rsidRPr="00E02982">
        <w:rPr>
          <w:rFonts w:cs="Arial"/>
        </w:rPr>
        <w:t>funding for ongoing responsibilities and a cash sum for historic commitments</w:t>
      </w:r>
      <w:r>
        <w:rPr>
          <w:rFonts w:cs="Arial"/>
        </w:rPr>
        <w:t>. The percentage increase is only applied for ongoing responsibilities as the expectation is that historic commitments will reduce over time.</w:t>
      </w:r>
    </w:p>
    <w:p w:rsidR="003B7746" w:rsidRDefault="003B7746" w:rsidP="003B7746">
      <w:pPr>
        <w:ind w:left="567"/>
        <w:rPr>
          <w:rFonts w:cs="Arial"/>
        </w:rPr>
      </w:pPr>
    </w:p>
    <w:p w:rsidR="003B7746" w:rsidRDefault="003B7746" w:rsidP="003B7746">
      <w:pPr>
        <w:ind w:left="567"/>
        <w:rPr>
          <w:rFonts w:cs="Arial"/>
        </w:rPr>
      </w:pPr>
      <w:r>
        <w:rPr>
          <w:rFonts w:cs="Arial"/>
        </w:rPr>
        <w:lastRenderedPageBreak/>
        <w:t xml:space="preserve">The aggregated </w:t>
      </w:r>
      <w:r w:rsidRPr="00B777FE">
        <w:rPr>
          <w:rFonts w:cs="Arial"/>
          <w:b/>
        </w:rPr>
        <w:t>Schools Block</w:t>
      </w:r>
      <w:r>
        <w:rPr>
          <w:rFonts w:cs="Arial"/>
          <w:b/>
        </w:rPr>
        <w:t xml:space="preserve"> </w:t>
      </w:r>
      <w:r w:rsidRPr="00B777FE">
        <w:rPr>
          <w:rFonts w:cs="Arial"/>
        </w:rPr>
        <w:t>will</w:t>
      </w:r>
      <w:r>
        <w:rPr>
          <w:rFonts w:cs="Arial"/>
        </w:rPr>
        <w:t xml:space="preserve"> provisionally see a 1.4% increase in 2018-19 and an increase of 2.5% in 2019-20 when compared to the baseline of 2017-18. The DfE have not provided the school level detail that makes up the aggregated total.</w:t>
      </w:r>
    </w:p>
    <w:p w:rsidR="003B7746" w:rsidRPr="003041A2" w:rsidRDefault="003B7746" w:rsidP="003B7746">
      <w:pPr>
        <w:ind w:left="567"/>
        <w:rPr>
          <w:rFonts w:cs="Arial"/>
        </w:rPr>
      </w:pPr>
    </w:p>
    <w:p w:rsidR="003B7746" w:rsidRDefault="003B7746" w:rsidP="003B7746">
      <w:pPr>
        <w:ind w:left="567"/>
        <w:rPr>
          <w:rFonts w:cs="Arial"/>
          <w:color w:val="000000"/>
        </w:rPr>
      </w:pPr>
      <w:r>
        <w:rPr>
          <w:rFonts w:cs="Arial"/>
          <w:color w:val="000000"/>
        </w:rPr>
        <w:t>T</w:t>
      </w:r>
      <w:r w:rsidRPr="00AA3406">
        <w:rPr>
          <w:rFonts w:cs="Arial"/>
          <w:color w:val="000000"/>
        </w:rPr>
        <w:t xml:space="preserve">he </w:t>
      </w:r>
      <w:r w:rsidRPr="00282BF5">
        <w:rPr>
          <w:rFonts w:cs="Arial"/>
          <w:b/>
          <w:color w:val="000000"/>
        </w:rPr>
        <w:t>High Needs Block</w:t>
      </w:r>
      <w:r>
        <w:rPr>
          <w:rFonts w:cs="Arial"/>
          <w:color w:val="000000"/>
        </w:rPr>
        <w:t xml:space="preserve"> will see a provisional increase of 5.3% in 2018-19, rising to 8.28% in 2019-20 and 19.75 % if the NFF had been implemented in full. These percentage increases are on the baseline for 2017-18.</w:t>
      </w:r>
      <w:r w:rsidRPr="00AA3406">
        <w:rPr>
          <w:rFonts w:cs="Arial"/>
          <w:color w:val="000000"/>
        </w:rPr>
        <w:t xml:space="preserve"> </w:t>
      </w:r>
    </w:p>
    <w:p w:rsidR="003B7746" w:rsidRPr="00AA3406" w:rsidRDefault="003B7746" w:rsidP="003B7746">
      <w:pPr>
        <w:ind w:left="567"/>
        <w:rPr>
          <w:rFonts w:cs="Arial"/>
          <w:color w:val="000000"/>
        </w:rPr>
      </w:pPr>
    </w:p>
    <w:p w:rsidR="001A0771" w:rsidRPr="001A0771" w:rsidRDefault="001A0771" w:rsidP="003B7746">
      <w:pPr>
        <w:ind w:left="567" w:hanging="567"/>
        <w:rPr>
          <w:rFonts w:cs="Arial"/>
          <w:b/>
          <w:color w:val="000000"/>
        </w:rPr>
      </w:pPr>
      <w:r w:rsidRPr="001A0771">
        <w:rPr>
          <w:rFonts w:cs="Arial"/>
          <w:b/>
          <w:color w:val="000000"/>
        </w:rPr>
        <w:t>7</w:t>
      </w:r>
      <w:r w:rsidR="003B7746" w:rsidRPr="001A0771">
        <w:rPr>
          <w:rFonts w:cs="Arial"/>
          <w:b/>
          <w:color w:val="000000"/>
        </w:rPr>
        <w:tab/>
      </w:r>
      <w:r w:rsidRPr="001A0771">
        <w:rPr>
          <w:rFonts w:cs="Arial"/>
          <w:b/>
          <w:color w:val="000000"/>
        </w:rPr>
        <w:t>Formula Allocation for Barking and Dagenham</w:t>
      </w:r>
    </w:p>
    <w:p w:rsidR="001A0771" w:rsidRDefault="001A0771" w:rsidP="003B7746">
      <w:pPr>
        <w:ind w:left="567" w:hanging="567"/>
        <w:rPr>
          <w:rFonts w:cs="Arial"/>
          <w:color w:val="000000"/>
        </w:rPr>
      </w:pPr>
    </w:p>
    <w:p w:rsidR="003B7746" w:rsidRDefault="001A0771" w:rsidP="003B7746">
      <w:pPr>
        <w:ind w:left="567" w:hanging="567"/>
        <w:rPr>
          <w:rFonts w:cs="Arial"/>
          <w:color w:val="000000"/>
        </w:rPr>
      </w:pPr>
      <w:r>
        <w:rPr>
          <w:rFonts w:cs="Arial"/>
          <w:color w:val="000000"/>
        </w:rPr>
        <w:t>7.1</w:t>
      </w:r>
      <w:r>
        <w:rPr>
          <w:rFonts w:cs="Arial"/>
          <w:color w:val="000000"/>
        </w:rPr>
        <w:tab/>
      </w:r>
      <w:r w:rsidR="003B7746">
        <w:rPr>
          <w:rFonts w:cs="Arial"/>
          <w:color w:val="000000"/>
        </w:rPr>
        <w:t>Barking and Dagenham will see a greater increase than the 3% gains cap for High Needs. This is due to the formula</w:t>
      </w:r>
      <w:r w:rsidR="003B7746" w:rsidRPr="007E05F6">
        <w:rPr>
          <w:rFonts w:cs="Arial"/>
          <w:color w:val="000000"/>
        </w:rPr>
        <w:t xml:space="preserve"> </w:t>
      </w:r>
      <w:r w:rsidR="003B7746">
        <w:rPr>
          <w:rFonts w:cs="Arial"/>
          <w:color w:val="000000"/>
        </w:rPr>
        <w:t>calculating</w:t>
      </w:r>
      <w:r w:rsidR="003B7746" w:rsidRPr="000F2AF6">
        <w:rPr>
          <w:rFonts w:cs="Arial"/>
          <w:color w:val="000000"/>
        </w:rPr>
        <w:t xml:space="preserve"> all the elements of the national funding formula, apart from the basic entitlement factor and import/export adjustment</w:t>
      </w:r>
      <w:r w:rsidR="003B7746">
        <w:rPr>
          <w:rFonts w:cs="Arial"/>
          <w:color w:val="000000"/>
        </w:rPr>
        <w:t xml:space="preserve"> in the gains cap. The baseline for applying the funding floor and gains is based on £24,965,242 as opposed to £26,530,440. The basic entitlement factor is based on October 2016 and these</w:t>
      </w:r>
      <w:r w:rsidR="003B7746" w:rsidRPr="000F2AF6">
        <w:rPr>
          <w:rFonts w:cs="Arial"/>
          <w:color w:val="000000"/>
        </w:rPr>
        <w:t xml:space="preserve"> numbers will be updated from the October 2017 school census</w:t>
      </w:r>
      <w:r w:rsidR="003B7746">
        <w:rPr>
          <w:rFonts w:cs="Arial"/>
          <w:color w:val="000000"/>
        </w:rPr>
        <w:t>.</w:t>
      </w:r>
    </w:p>
    <w:p w:rsidR="003B7746" w:rsidRDefault="003B7746" w:rsidP="003B7746">
      <w:pPr>
        <w:ind w:left="567" w:hanging="567"/>
        <w:rPr>
          <w:rFonts w:cs="Arial"/>
          <w:color w:val="000000"/>
        </w:rPr>
      </w:pPr>
    </w:p>
    <w:p w:rsidR="003B7746" w:rsidRDefault="003B7746" w:rsidP="003B7746">
      <w:pPr>
        <w:rPr>
          <w:rFonts w:cs="Arial"/>
          <w:b/>
          <w:color w:val="000000"/>
        </w:rPr>
      </w:pPr>
      <w:r w:rsidRPr="007E05F6">
        <w:rPr>
          <w:rFonts w:cs="Arial"/>
          <w:b/>
          <w:color w:val="000000"/>
        </w:rPr>
        <w:t xml:space="preserve">Table </w:t>
      </w:r>
      <w:r w:rsidR="00860668">
        <w:rPr>
          <w:rFonts w:cs="Arial"/>
          <w:b/>
          <w:color w:val="000000"/>
        </w:rPr>
        <w:t>4</w:t>
      </w:r>
      <w:r w:rsidRPr="007E05F6">
        <w:rPr>
          <w:rFonts w:cs="Arial"/>
          <w:b/>
          <w:color w:val="000000"/>
        </w:rPr>
        <w:t>: National Funding Formula – Barking and Dagenham</w:t>
      </w:r>
    </w:p>
    <w:p w:rsidR="003B7746" w:rsidRPr="007E05F6" w:rsidRDefault="003B7746" w:rsidP="003B7746">
      <w:pPr>
        <w:rPr>
          <w:rFonts w:cs="Arial"/>
          <w:b/>
          <w:color w:val="000000"/>
        </w:rPr>
      </w:pPr>
      <w:r w:rsidRPr="00D56F38">
        <w:rPr>
          <w:noProof/>
        </w:rPr>
        <w:drawing>
          <wp:inline distT="0" distB="0" distL="0" distR="0" wp14:anchorId="51008B1F" wp14:editId="1CE5F3EA">
            <wp:extent cx="6551930" cy="291886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1930" cy="2918869"/>
                    </a:xfrm>
                    <a:prstGeom prst="rect">
                      <a:avLst/>
                    </a:prstGeom>
                    <a:noFill/>
                    <a:ln>
                      <a:noFill/>
                    </a:ln>
                  </pic:spPr>
                </pic:pic>
              </a:graphicData>
            </a:graphic>
          </wp:inline>
        </w:drawing>
      </w:r>
    </w:p>
    <w:p w:rsidR="001942EC" w:rsidRDefault="001942EC" w:rsidP="0083246D">
      <w:pPr>
        <w:rPr>
          <w:rFonts w:cs="Arial"/>
          <w:b/>
        </w:rPr>
      </w:pPr>
    </w:p>
    <w:p w:rsidR="003B7746" w:rsidRPr="003B7746" w:rsidRDefault="003B7746" w:rsidP="003B7746">
      <w:pPr>
        <w:rPr>
          <w:rFonts w:cs="Arial"/>
          <w:b/>
          <w:u w:val="single"/>
        </w:rPr>
      </w:pPr>
    </w:p>
    <w:p w:rsidR="003B7746" w:rsidRPr="001A0771" w:rsidRDefault="001A0771" w:rsidP="003B7746">
      <w:pPr>
        <w:rPr>
          <w:rFonts w:cs="Arial"/>
          <w:b/>
        </w:rPr>
      </w:pPr>
      <w:r w:rsidRPr="001A0771">
        <w:rPr>
          <w:rFonts w:cs="Arial"/>
          <w:b/>
        </w:rPr>
        <w:t>7.2</w:t>
      </w:r>
      <w:r>
        <w:rPr>
          <w:rFonts w:cs="Arial"/>
          <w:b/>
        </w:rPr>
        <w:tab/>
        <w:t>Central School Services Block</w:t>
      </w:r>
    </w:p>
    <w:p w:rsidR="003B7746" w:rsidRPr="003B7746" w:rsidRDefault="003B7746" w:rsidP="003B7746">
      <w:pPr>
        <w:rPr>
          <w:rFonts w:cs="Arial"/>
          <w:b/>
          <w:u w:val="single"/>
        </w:rPr>
      </w:pPr>
    </w:p>
    <w:p w:rsidR="00C9070B" w:rsidRDefault="00E411B9" w:rsidP="00C9070B">
      <w:pPr>
        <w:ind w:left="720" w:hanging="720"/>
        <w:rPr>
          <w:rFonts w:cs="Arial"/>
          <w:lang w:val="en-US"/>
        </w:rPr>
      </w:pPr>
      <w:r w:rsidRPr="00E411B9">
        <w:t>7.2.1</w:t>
      </w:r>
      <w:r>
        <w:rPr>
          <w:b/>
        </w:rPr>
        <w:tab/>
      </w:r>
      <w:r w:rsidRPr="00E411B9">
        <w:rPr>
          <w:rFonts w:eastAsiaTheme="minorHAnsi" w:cs="Arial"/>
          <w:lang w:eastAsia="en-US"/>
        </w:rPr>
        <w:t>The central school services block (CSSB) has been created. Local authorities will be allocated funding for central school services through the new CSSB. This will comprise funding for ongoing responsibilities and a cash sum for historic commitments</w:t>
      </w:r>
      <w:r>
        <w:rPr>
          <w:rFonts w:eastAsiaTheme="minorHAnsi" w:cs="Arial"/>
          <w:lang w:eastAsia="en-US"/>
        </w:rPr>
        <w:t xml:space="preserve">. The detailed breakdown of the allocation can be found in </w:t>
      </w:r>
      <w:r w:rsidR="0027449F" w:rsidRPr="00072E7B">
        <w:rPr>
          <w:rFonts w:eastAsiaTheme="minorHAnsi" w:cs="Arial"/>
          <w:b/>
          <w:lang w:eastAsia="en-US"/>
        </w:rPr>
        <w:t>Appendix C</w:t>
      </w:r>
      <w:r w:rsidR="00073027">
        <w:rPr>
          <w:rFonts w:eastAsiaTheme="minorHAnsi" w:cs="Arial"/>
          <w:lang w:eastAsia="en-US"/>
        </w:rPr>
        <w:t xml:space="preserve">. </w:t>
      </w:r>
      <w:r>
        <w:rPr>
          <w:rFonts w:eastAsiaTheme="minorHAnsi" w:cs="Arial"/>
          <w:lang w:eastAsia="en-US"/>
        </w:rPr>
        <w:t>This comprises of historic commitments and ongoing responsibilities.</w:t>
      </w:r>
      <w:r w:rsidR="00C9070B">
        <w:rPr>
          <w:rFonts w:eastAsiaTheme="minorHAnsi" w:cs="Arial"/>
          <w:lang w:eastAsia="en-US"/>
        </w:rPr>
        <w:t xml:space="preserve"> </w:t>
      </w:r>
      <w:r w:rsidR="001A6D91">
        <w:rPr>
          <w:rFonts w:eastAsiaTheme="minorHAnsi" w:cs="Arial"/>
          <w:lang w:eastAsia="en-US"/>
        </w:rPr>
        <w:t>The latter also includes what was previously ESG retained duties which supported</w:t>
      </w:r>
      <w:r w:rsidR="00C9070B">
        <w:rPr>
          <w:rFonts w:eastAsiaTheme="minorHAnsi" w:cs="Arial"/>
          <w:lang w:eastAsia="en-US"/>
        </w:rPr>
        <w:t xml:space="preserve"> </w:t>
      </w:r>
      <w:r w:rsidR="00C9070B" w:rsidRPr="00D02486">
        <w:rPr>
          <w:rFonts w:cs="Arial"/>
          <w:lang w:val="en-US"/>
        </w:rPr>
        <w:t>the on-going statutory duties of the local authority for all pupils in their local area.</w:t>
      </w:r>
      <w:r w:rsidR="00C9070B">
        <w:rPr>
          <w:rFonts w:cs="Arial"/>
          <w:lang w:val="en-US"/>
        </w:rPr>
        <w:t xml:space="preserve"> </w:t>
      </w:r>
      <w:r w:rsidR="00073027">
        <w:rPr>
          <w:rFonts w:cs="Arial"/>
          <w:lang w:val="en-US"/>
        </w:rPr>
        <w:t xml:space="preserve">As previously reported to Schools Forum the local authority no longer receives ESG which amounted to £3.6m in 2016-17. </w:t>
      </w:r>
      <w:r w:rsidR="00C9070B">
        <w:rPr>
          <w:rFonts w:cs="Arial"/>
          <w:lang w:val="en-US"/>
        </w:rPr>
        <w:t xml:space="preserve">In summary </w:t>
      </w:r>
      <w:r w:rsidR="00507CC3">
        <w:rPr>
          <w:rFonts w:cs="Arial"/>
          <w:lang w:val="en-US"/>
        </w:rPr>
        <w:t>the CSSB is shown</w:t>
      </w:r>
      <w:r w:rsidR="0007226F">
        <w:rPr>
          <w:rFonts w:cs="Arial"/>
          <w:lang w:val="en-US"/>
        </w:rPr>
        <w:t xml:space="preserve"> in Table 5 below.</w:t>
      </w:r>
    </w:p>
    <w:p w:rsidR="00073027" w:rsidRDefault="00073027" w:rsidP="00C9070B">
      <w:pPr>
        <w:ind w:left="720" w:hanging="720"/>
        <w:rPr>
          <w:rFonts w:cs="Arial"/>
          <w:lang w:val="en-US"/>
        </w:rPr>
      </w:pPr>
    </w:p>
    <w:p w:rsidR="0007226F" w:rsidRDefault="0007226F" w:rsidP="00C9070B">
      <w:pPr>
        <w:ind w:left="720" w:hanging="720"/>
        <w:rPr>
          <w:rFonts w:cs="Arial"/>
          <w:lang w:val="en-US"/>
        </w:rPr>
      </w:pPr>
    </w:p>
    <w:p w:rsidR="00073027" w:rsidRDefault="00073027" w:rsidP="00C9070B">
      <w:pPr>
        <w:ind w:left="720" w:hanging="720"/>
        <w:rPr>
          <w:rFonts w:cs="Arial"/>
          <w:lang w:val="en-US"/>
        </w:rPr>
      </w:pPr>
    </w:p>
    <w:p w:rsidR="0007226F" w:rsidRPr="0007226F" w:rsidRDefault="0007226F" w:rsidP="0007226F">
      <w:pPr>
        <w:ind w:left="1440" w:hanging="720"/>
        <w:rPr>
          <w:rFonts w:cs="Arial"/>
          <w:b/>
          <w:lang w:val="en-US"/>
        </w:rPr>
      </w:pPr>
      <w:r w:rsidRPr="0007226F">
        <w:rPr>
          <w:rFonts w:cs="Arial"/>
          <w:b/>
          <w:lang w:val="en-US"/>
        </w:rPr>
        <w:lastRenderedPageBreak/>
        <w:t xml:space="preserve">Table 5: 2018-19 Provisional CSSB </w:t>
      </w:r>
    </w:p>
    <w:p w:rsidR="00C9070B" w:rsidRDefault="001A6D91" w:rsidP="00C9070B">
      <w:pPr>
        <w:ind w:left="720" w:hanging="720"/>
        <w:rPr>
          <w:rFonts w:cs="Arial"/>
          <w:lang w:val="en-US"/>
        </w:rPr>
      </w:pPr>
      <w:r>
        <w:rPr>
          <w:rFonts w:cs="Arial"/>
          <w:lang w:val="en-US"/>
        </w:rPr>
        <w:tab/>
      </w:r>
    </w:p>
    <w:p w:rsidR="001A6D91" w:rsidRDefault="001A6D91" w:rsidP="00C9070B">
      <w:pPr>
        <w:ind w:left="720" w:hanging="720"/>
        <w:rPr>
          <w:rFonts w:cs="Arial"/>
          <w:lang w:val="en-US"/>
        </w:rPr>
      </w:pPr>
      <w:r>
        <w:rPr>
          <w:rFonts w:cs="Arial"/>
          <w:lang w:val="en-US"/>
        </w:rPr>
        <w:tab/>
      </w:r>
      <w:r w:rsidRPr="001A6D91">
        <w:rPr>
          <w:noProof/>
        </w:rPr>
        <w:drawing>
          <wp:inline distT="0" distB="0" distL="0" distR="0">
            <wp:extent cx="4527550" cy="1187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7550" cy="1187450"/>
                    </a:xfrm>
                    <a:prstGeom prst="rect">
                      <a:avLst/>
                    </a:prstGeom>
                    <a:noFill/>
                    <a:ln>
                      <a:noFill/>
                    </a:ln>
                  </pic:spPr>
                </pic:pic>
              </a:graphicData>
            </a:graphic>
          </wp:inline>
        </w:drawing>
      </w:r>
    </w:p>
    <w:p w:rsidR="00C9070B" w:rsidRDefault="00C9070B" w:rsidP="00C9070B">
      <w:pPr>
        <w:ind w:left="720" w:hanging="720"/>
        <w:rPr>
          <w:rFonts w:cs="Arial"/>
          <w:lang w:val="en-US"/>
        </w:rPr>
      </w:pPr>
    </w:p>
    <w:p w:rsidR="00385F09" w:rsidRPr="00507CC3" w:rsidRDefault="00C9070B" w:rsidP="00385F09">
      <w:pPr>
        <w:pStyle w:val="ListParagraph"/>
        <w:pBdr>
          <w:top w:val="single" w:sz="4" w:space="1" w:color="000000" w:themeColor="text1"/>
          <w:left w:val="single" w:sz="4" w:space="14" w:color="000000" w:themeColor="text1"/>
          <w:bottom w:val="single" w:sz="4" w:space="1" w:color="000000" w:themeColor="text1"/>
          <w:right w:val="single" w:sz="4" w:space="4" w:color="000000" w:themeColor="text1"/>
        </w:pBdr>
        <w:ind w:left="1080"/>
        <w:rPr>
          <w:rFonts w:cs="Arial"/>
        </w:rPr>
      </w:pPr>
      <w:r w:rsidRPr="00D02486">
        <w:rPr>
          <w:rFonts w:cs="Arial"/>
          <w:lang w:val="en-US"/>
        </w:rPr>
        <w:t> </w:t>
      </w:r>
      <w:bookmarkStart w:id="3" w:name="_Hlk495262770"/>
      <w:r w:rsidR="00385F09">
        <w:rPr>
          <w:b/>
          <w:i/>
        </w:rPr>
        <w:t>(</w:t>
      </w:r>
      <w:r w:rsidR="00385F09" w:rsidRPr="00507CC3">
        <w:rPr>
          <w:b/>
          <w:i/>
        </w:rPr>
        <w:t>i</w:t>
      </w:r>
      <w:r w:rsidR="00385F09">
        <w:rPr>
          <w:b/>
          <w:i/>
        </w:rPr>
        <w:t>v</w:t>
      </w:r>
      <w:r w:rsidR="00385F09" w:rsidRPr="00507CC3">
        <w:rPr>
          <w:b/>
          <w:i/>
        </w:rPr>
        <w:t>)</w:t>
      </w:r>
      <w:r w:rsidR="00385F09" w:rsidRPr="00697D75">
        <w:t xml:space="preserve"> </w:t>
      </w:r>
      <w:r w:rsidR="00385F09" w:rsidRPr="00507CC3">
        <w:rPr>
          <w:b/>
          <w:i/>
        </w:rPr>
        <w:t xml:space="preserve">To </w:t>
      </w:r>
      <w:r w:rsidR="00385F09">
        <w:rPr>
          <w:b/>
          <w:i/>
        </w:rPr>
        <w:t>approve the funding of historic and ongoing functions on a line by line basis for 2018-19.</w:t>
      </w:r>
    </w:p>
    <w:bookmarkEnd w:id="3"/>
    <w:p w:rsidR="00C9070B" w:rsidRDefault="00C9070B" w:rsidP="00C9070B">
      <w:pPr>
        <w:ind w:left="720" w:hanging="720"/>
        <w:rPr>
          <w:rFonts w:cs="Arial"/>
          <w:lang w:val="en-US"/>
        </w:rPr>
      </w:pPr>
    </w:p>
    <w:p w:rsidR="00385F09" w:rsidRDefault="00385F09" w:rsidP="00C9070B">
      <w:pPr>
        <w:ind w:left="720" w:hanging="720"/>
        <w:rPr>
          <w:rFonts w:cs="Arial"/>
          <w:lang w:val="en-US"/>
        </w:rPr>
      </w:pPr>
    </w:p>
    <w:p w:rsidR="00385F09" w:rsidRDefault="00385F09" w:rsidP="00C9070B">
      <w:pPr>
        <w:ind w:left="720" w:hanging="720"/>
        <w:rPr>
          <w:rFonts w:cs="Arial"/>
          <w:lang w:val="en-US"/>
        </w:rPr>
      </w:pPr>
    </w:p>
    <w:p w:rsidR="001A0943" w:rsidRPr="001A0771" w:rsidRDefault="001A0943" w:rsidP="001A0943">
      <w:pPr>
        <w:rPr>
          <w:rFonts w:cs="Arial"/>
          <w:b/>
        </w:rPr>
      </w:pPr>
      <w:r>
        <w:rPr>
          <w:rFonts w:cs="Arial"/>
          <w:b/>
        </w:rPr>
        <w:t>7.3</w:t>
      </w:r>
      <w:r>
        <w:rPr>
          <w:rFonts w:cs="Arial"/>
          <w:b/>
        </w:rPr>
        <w:tab/>
        <w:t>High Needs Block</w:t>
      </w:r>
    </w:p>
    <w:p w:rsidR="001A0943" w:rsidRDefault="001A0943" w:rsidP="009064D1">
      <w:pPr>
        <w:ind w:left="720" w:hanging="720"/>
      </w:pPr>
    </w:p>
    <w:p w:rsidR="00097906" w:rsidRDefault="000477DA" w:rsidP="000477DA">
      <w:pPr>
        <w:spacing w:after="240"/>
        <w:ind w:left="720" w:hanging="720"/>
        <w:rPr>
          <w:rFonts w:cs="Arial"/>
          <w:color w:val="000000"/>
        </w:rPr>
      </w:pPr>
      <w:r>
        <w:rPr>
          <w:rFonts w:cs="Arial"/>
          <w:color w:val="000000"/>
        </w:rPr>
        <w:t>7.3.1</w:t>
      </w:r>
      <w:r>
        <w:rPr>
          <w:rFonts w:cs="Arial"/>
          <w:color w:val="000000"/>
        </w:rPr>
        <w:tab/>
      </w:r>
      <w:r w:rsidR="001E6002">
        <w:rPr>
          <w:rFonts w:cs="Arial"/>
          <w:color w:val="000000"/>
        </w:rPr>
        <w:t>T</w:t>
      </w:r>
      <w:r w:rsidR="001E6002" w:rsidRPr="00AA3406">
        <w:rPr>
          <w:rFonts w:cs="Arial"/>
          <w:color w:val="000000"/>
        </w:rPr>
        <w:t>he</w:t>
      </w:r>
      <w:r w:rsidR="00BA7B7A">
        <w:rPr>
          <w:rFonts w:cs="Arial"/>
          <w:color w:val="000000"/>
        </w:rPr>
        <w:t xml:space="preserve">re is a baseline adjustment between the High Needs Block and the Schools Block </w:t>
      </w:r>
      <w:r w:rsidR="00097906">
        <w:rPr>
          <w:rFonts w:cs="Arial"/>
          <w:color w:val="000000"/>
        </w:rPr>
        <w:t xml:space="preserve">as the initial £4,000 of place funding in ARPs will now be funded through the Schools Block.  For LBBD this transfer is £1.593m.   </w:t>
      </w:r>
    </w:p>
    <w:p w:rsidR="001E6002" w:rsidRDefault="00097906" w:rsidP="000477DA">
      <w:pPr>
        <w:spacing w:after="240"/>
        <w:ind w:left="720" w:hanging="720"/>
        <w:rPr>
          <w:rFonts w:cs="Arial"/>
          <w:color w:val="000000"/>
        </w:rPr>
      </w:pPr>
      <w:r>
        <w:rPr>
          <w:rFonts w:cs="Arial"/>
          <w:color w:val="000000"/>
        </w:rPr>
        <w:t>7.3.2</w:t>
      </w:r>
      <w:r>
        <w:rPr>
          <w:rFonts w:cs="Arial"/>
          <w:color w:val="000000"/>
        </w:rPr>
        <w:tab/>
        <w:t xml:space="preserve">The newly baselined </w:t>
      </w:r>
      <w:r w:rsidR="001E6002" w:rsidRPr="00282BF5">
        <w:rPr>
          <w:rFonts w:cs="Arial"/>
          <w:b/>
          <w:color w:val="000000"/>
        </w:rPr>
        <w:t>High Needs Block</w:t>
      </w:r>
      <w:r w:rsidR="001E6002">
        <w:rPr>
          <w:rFonts w:cs="Arial"/>
          <w:color w:val="000000"/>
        </w:rPr>
        <w:t xml:space="preserve"> will see a provisional increase of 5.3% in 2018-19, rising to 8.28% in 2019-20 and 19.75 % if the NFF had been implemented in full. These percentage increases are on the baseline for 2017-18.</w:t>
      </w:r>
      <w:r w:rsidR="001E6002" w:rsidRPr="00AA3406">
        <w:rPr>
          <w:rFonts w:cs="Arial"/>
          <w:color w:val="000000"/>
        </w:rPr>
        <w:t xml:space="preserve"> </w:t>
      </w:r>
    </w:p>
    <w:p w:rsidR="001E6002" w:rsidRDefault="000477DA" w:rsidP="00097906">
      <w:pPr>
        <w:spacing w:after="240"/>
        <w:ind w:left="720" w:hanging="720"/>
        <w:rPr>
          <w:rFonts w:cs="Arial"/>
          <w:color w:val="000000"/>
        </w:rPr>
      </w:pPr>
      <w:r>
        <w:rPr>
          <w:rFonts w:cs="Arial"/>
          <w:color w:val="000000"/>
        </w:rPr>
        <w:t>7.3.</w:t>
      </w:r>
      <w:r w:rsidR="00097906">
        <w:rPr>
          <w:rFonts w:cs="Arial"/>
          <w:color w:val="000000"/>
        </w:rPr>
        <w:t>3</w:t>
      </w:r>
      <w:r>
        <w:rPr>
          <w:rFonts w:cs="Arial"/>
          <w:color w:val="000000"/>
        </w:rPr>
        <w:tab/>
      </w:r>
      <w:r w:rsidR="001E6002">
        <w:rPr>
          <w:rFonts w:cs="Arial"/>
          <w:color w:val="000000"/>
        </w:rPr>
        <w:t>Barking and Dagenham will see a greater increase than the 3% gains cap for High Needs. The gains cap is designed to smooth out increases and decreases that arise as a result of the implementation of the formula.  However, elements of the funding related to population growth and import/export adjustments are not</w:t>
      </w:r>
      <w:r w:rsidR="00097906">
        <w:rPr>
          <w:rFonts w:cs="Arial"/>
          <w:color w:val="000000"/>
        </w:rPr>
        <w:t xml:space="preserve"> subject to the cap.  </w:t>
      </w:r>
      <w:r w:rsidR="001E6002">
        <w:rPr>
          <w:rFonts w:cs="Arial"/>
          <w:color w:val="000000"/>
        </w:rPr>
        <w:t xml:space="preserve">This is better than expected – however in practice </w:t>
      </w:r>
      <w:r>
        <w:rPr>
          <w:rFonts w:cs="Arial"/>
          <w:color w:val="000000"/>
        </w:rPr>
        <w:t xml:space="preserve">this is </w:t>
      </w:r>
      <w:r w:rsidR="001E6002">
        <w:rPr>
          <w:rFonts w:cs="Arial"/>
          <w:color w:val="000000"/>
        </w:rPr>
        <w:t xml:space="preserve">not sufficient to cover the full level of pressures in the High Needs block.  </w:t>
      </w:r>
    </w:p>
    <w:p w:rsidR="000477DA" w:rsidRDefault="000477DA" w:rsidP="000477DA">
      <w:pPr>
        <w:ind w:left="720" w:hanging="720"/>
        <w:rPr>
          <w:rFonts w:cs="Arial"/>
        </w:rPr>
      </w:pPr>
      <w:r>
        <w:rPr>
          <w:rFonts w:cs="Arial"/>
        </w:rPr>
        <w:t>7.3.4</w:t>
      </w:r>
      <w:r>
        <w:rPr>
          <w:rFonts w:cs="Arial"/>
        </w:rPr>
        <w:tab/>
        <w:t>The HNB working sub group met on 5</w:t>
      </w:r>
      <w:r>
        <w:rPr>
          <w:rFonts w:cs="Arial"/>
          <w:vertAlign w:val="superscript"/>
        </w:rPr>
        <w:t>th</w:t>
      </w:r>
      <w:r>
        <w:rPr>
          <w:rFonts w:cs="Arial"/>
        </w:rPr>
        <w:t xml:space="preserve"> October and areas discussed and reviewed were the projected outturn for 2017/18 and imminent pressures, including the new planned schools and an update on the Local Authority’s high cost placements work.  The health strands and ongoing partnership work.  The published Governments response on the HNB School Funding Reform and an update on ARP place numbers and funding including a presentation of Alternative Provision (AP).  A brief verbal update will be provided at the meeting.</w:t>
      </w:r>
    </w:p>
    <w:p w:rsidR="000477DA" w:rsidRDefault="000477DA" w:rsidP="000477DA">
      <w:pPr>
        <w:ind w:left="720" w:hanging="720"/>
        <w:rPr>
          <w:rFonts w:cs="Arial"/>
        </w:rPr>
      </w:pPr>
    </w:p>
    <w:p w:rsidR="004F3626" w:rsidRDefault="000477DA" w:rsidP="008E720A">
      <w:pPr>
        <w:spacing w:after="240"/>
        <w:ind w:left="720" w:hanging="720"/>
        <w:rPr>
          <w:rFonts w:cs="Arial"/>
          <w:color w:val="000000"/>
        </w:rPr>
      </w:pPr>
      <w:r>
        <w:rPr>
          <w:rFonts w:cs="Arial"/>
          <w:color w:val="000000"/>
        </w:rPr>
        <w:t>7.3.5</w:t>
      </w:r>
      <w:r>
        <w:rPr>
          <w:rFonts w:cs="Arial"/>
          <w:color w:val="000000"/>
        </w:rPr>
        <w:tab/>
        <w:t xml:space="preserve">The provisional outturn for 2017-18 is forecast to be </w:t>
      </w:r>
      <w:r w:rsidRPr="008E720A">
        <w:rPr>
          <w:rFonts w:cs="Arial"/>
          <w:b/>
          <w:color w:val="000000"/>
        </w:rPr>
        <w:t>£26.6m</w:t>
      </w:r>
      <w:r>
        <w:rPr>
          <w:rFonts w:cs="Arial"/>
          <w:color w:val="000000"/>
        </w:rPr>
        <w:t xml:space="preserve">, leading to a further call on reserves of £300k. </w:t>
      </w:r>
      <w:r w:rsidR="00097906">
        <w:rPr>
          <w:rFonts w:cs="Arial"/>
          <w:color w:val="000000"/>
        </w:rPr>
        <w:t xml:space="preserve"> However this includes a one off accounting adjustment of £400k so the underlying base expenditure is </w:t>
      </w:r>
      <w:r w:rsidR="00097906" w:rsidRPr="00A30305">
        <w:rPr>
          <w:rFonts w:cs="Arial"/>
          <w:b/>
          <w:color w:val="000000"/>
        </w:rPr>
        <w:t>£27</w:t>
      </w:r>
      <w:r w:rsidR="00A30305" w:rsidRPr="00A30305">
        <w:rPr>
          <w:rFonts w:cs="Arial"/>
          <w:b/>
          <w:color w:val="000000"/>
        </w:rPr>
        <w:t>.0</w:t>
      </w:r>
      <w:r w:rsidR="00097906" w:rsidRPr="00A30305">
        <w:rPr>
          <w:rFonts w:cs="Arial"/>
          <w:b/>
          <w:color w:val="000000"/>
        </w:rPr>
        <w:t>m.</w:t>
      </w:r>
      <w:r w:rsidR="00097906">
        <w:rPr>
          <w:rFonts w:cs="Arial"/>
          <w:color w:val="000000"/>
        </w:rPr>
        <w:t xml:space="preserve">  </w:t>
      </w:r>
    </w:p>
    <w:p w:rsidR="009C699B" w:rsidRPr="008E720A" w:rsidRDefault="004F3626" w:rsidP="009C699B">
      <w:pPr>
        <w:spacing w:after="240"/>
        <w:ind w:left="720" w:hanging="720"/>
        <w:rPr>
          <w:rFonts w:cs="Arial"/>
          <w:color w:val="000000"/>
        </w:rPr>
      </w:pPr>
      <w:r>
        <w:rPr>
          <w:rFonts w:cs="Arial"/>
          <w:color w:val="000000"/>
        </w:rPr>
        <w:t>7.3.6</w:t>
      </w:r>
      <w:r>
        <w:rPr>
          <w:rFonts w:cs="Arial"/>
          <w:color w:val="000000"/>
        </w:rPr>
        <w:tab/>
      </w:r>
      <w:r w:rsidR="000477DA" w:rsidRPr="00097906">
        <w:rPr>
          <w:rFonts w:cs="Arial"/>
          <w:color w:val="000000"/>
        </w:rPr>
        <w:t xml:space="preserve">Modelling of the position for 2018-19 suggests a budget requirement for the High Needs of </w:t>
      </w:r>
      <w:r w:rsidR="000477DA" w:rsidRPr="00097906">
        <w:rPr>
          <w:rFonts w:cs="Arial"/>
          <w:b/>
          <w:color w:val="000000"/>
        </w:rPr>
        <w:t>£</w:t>
      </w:r>
      <w:r w:rsidR="00787F1A">
        <w:rPr>
          <w:rFonts w:cs="Arial"/>
          <w:b/>
          <w:color w:val="000000"/>
        </w:rPr>
        <w:t>29.</w:t>
      </w:r>
      <w:r w:rsidR="006D72B9">
        <w:rPr>
          <w:rFonts w:cs="Arial"/>
          <w:b/>
          <w:color w:val="000000"/>
        </w:rPr>
        <w:t>156</w:t>
      </w:r>
      <w:r w:rsidR="00787F1A">
        <w:rPr>
          <w:rFonts w:cs="Arial"/>
          <w:b/>
          <w:color w:val="000000"/>
        </w:rPr>
        <w:t>m</w:t>
      </w:r>
      <w:r w:rsidR="000477DA" w:rsidRPr="00097906">
        <w:rPr>
          <w:rFonts w:cs="Arial"/>
          <w:color w:val="000000"/>
        </w:rPr>
        <w:t xml:space="preserve">. </w:t>
      </w:r>
      <w:r w:rsidR="00097906">
        <w:rPr>
          <w:rFonts w:cs="Arial"/>
          <w:color w:val="000000"/>
        </w:rPr>
        <w:t xml:space="preserve"> </w:t>
      </w:r>
      <w:r w:rsidR="00787F1A">
        <w:rPr>
          <w:rFonts w:cs="Arial"/>
          <w:color w:val="000000"/>
        </w:rPr>
        <w:t>This has been adjusted for the changes to ARP funding and includes £3.12m for academies.  The high level estimate of next y</w:t>
      </w:r>
      <w:r w:rsidR="006D72B9">
        <w:rPr>
          <w:rFonts w:cs="Arial"/>
          <w:color w:val="000000"/>
        </w:rPr>
        <w:t xml:space="preserve">ear’s figures has been made.  The spend on ARPs has increased offset by a matching reduction in Out of Borough placements.  All other spend has been assumed to be the same as in 2017/18 but </w:t>
      </w:r>
      <w:r w:rsidR="00787F1A">
        <w:rPr>
          <w:rFonts w:cs="Arial"/>
          <w:color w:val="000000"/>
        </w:rPr>
        <w:t>a 1% contingency has been added</w:t>
      </w:r>
      <w:r w:rsidR="006D72B9">
        <w:rPr>
          <w:rFonts w:cs="Arial"/>
          <w:color w:val="000000"/>
        </w:rPr>
        <w:t xml:space="preserve"> to allow for some growth in demand</w:t>
      </w:r>
      <w:r w:rsidR="00787F1A">
        <w:rPr>
          <w:rFonts w:cs="Arial"/>
          <w:color w:val="000000"/>
        </w:rPr>
        <w:t xml:space="preserve">.  </w:t>
      </w:r>
      <w:r w:rsidR="006D72B9">
        <w:rPr>
          <w:rFonts w:cs="Arial"/>
          <w:color w:val="000000"/>
        </w:rPr>
        <w:t xml:space="preserve">In practice this is likely to be a low estimate and will require considerable management action to contain at this level.  </w:t>
      </w:r>
      <w:r w:rsidR="00787F1A">
        <w:rPr>
          <w:rFonts w:cs="Arial"/>
          <w:color w:val="000000"/>
        </w:rPr>
        <w:t>Th</w:t>
      </w:r>
      <w:r w:rsidR="006D72B9">
        <w:rPr>
          <w:rFonts w:cs="Arial"/>
          <w:color w:val="000000"/>
        </w:rPr>
        <w:t>ese estimates</w:t>
      </w:r>
      <w:r w:rsidR="00787F1A">
        <w:rPr>
          <w:rFonts w:cs="Arial"/>
          <w:color w:val="000000"/>
        </w:rPr>
        <w:t xml:space="preserve"> would result in a pressure of </w:t>
      </w:r>
      <w:r w:rsidR="00787F1A" w:rsidRPr="00A30305">
        <w:rPr>
          <w:rFonts w:cs="Arial"/>
          <w:b/>
          <w:color w:val="000000"/>
        </w:rPr>
        <w:t>£1.</w:t>
      </w:r>
      <w:r w:rsidR="006D72B9" w:rsidRPr="00A30305">
        <w:rPr>
          <w:rFonts w:cs="Arial"/>
          <w:b/>
          <w:color w:val="000000"/>
        </w:rPr>
        <w:t>221</w:t>
      </w:r>
      <w:r w:rsidR="00787F1A" w:rsidRPr="00A30305">
        <w:rPr>
          <w:rFonts w:cs="Arial"/>
          <w:b/>
          <w:color w:val="000000"/>
        </w:rPr>
        <w:t>m.</w:t>
      </w:r>
      <w:r w:rsidR="00787F1A">
        <w:rPr>
          <w:rFonts w:cs="Arial"/>
          <w:color w:val="000000"/>
        </w:rPr>
        <w:t xml:space="preserve">  </w:t>
      </w:r>
    </w:p>
    <w:p w:rsidR="008E720A" w:rsidRPr="008E720A" w:rsidRDefault="008E720A" w:rsidP="008E720A">
      <w:pPr>
        <w:suppressAutoHyphens/>
        <w:autoSpaceDN w:val="0"/>
        <w:ind w:left="720" w:hanging="720"/>
        <w:textAlignment w:val="baseline"/>
        <w:rPr>
          <w:rFonts w:eastAsiaTheme="minorHAnsi" w:cs="Arial"/>
          <w:lang w:eastAsia="en-US"/>
        </w:rPr>
      </w:pPr>
      <w:r w:rsidRPr="008E720A">
        <w:rPr>
          <w:rFonts w:cs="Arial"/>
          <w:color w:val="000000"/>
        </w:rPr>
        <w:lastRenderedPageBreak/>
        <w:t>7</w:t>
      </w:r>
      <w:r w:rsidR="000477DA" w:rsidRPr="008E720A">
        <w:rPr>
          <w:rFonts w:cs="Arial"/>
          <w:color w:val="000000"/>
        </w:rPr>
        <w:t>.3.</w:t>
      </w:r>
      <w:r w:rsidR="009C699B">
        <w:rPr>
          <w:rFonts w:cs="Arial"/>
          <w:color w:val="000000"/>
        </w:rPr>
        <w:t>7</w:t>
      </w:r>
      <w:r w:rsidRPr="008E720A">
        <w:rPr>
          <w:rFonts w:cs="Arial"/>
          <w:color w:val="000000"/>
        </w:rPr>
        <w:tab/>
      </w:r>
      <w:r>
        <w:rPr>
          <w:rFonts w:cs="Arial"/>
          <w:color w:val="000000"/>
        </w:rPr>
        <w:t xml:space="preserve">As detailed above, from </w:t>
      </w:r>
      <w:r w:rsidRPr="008E720A">
        <w:rPr>
          <w:rFonts w:eastAsiaTheme="minorHAnsi" w:cs="Arial"/>
          <w:lang w:eastAsia="en-US"/>
        </w:rPr>
        <w:t xml:space="preserve">2018/19, </w:t>
      </w:r>
      <w:r>
        <w:rPr>
          <w:rFonts w:eastAsiaTheme="minorHAnsi" w:cs="Arial"/>
          <w:lang w:eastAsia="en-US"/>
        </w:rPr>
        <w:t>t</w:t>
      </w:r>
      <w:r w:rsidRPr="008E720A">
        <w:rPr>
          <w:rFonts w:eastAsiaTheme="minorHAnsi" w:cs="Arial"/>
          <w:lang w:eastAsia="en-US"/>
        </w:rPr>
        <w:t>he Schools block will be ring-fenced</w:t>
      </w:r>
      <w:r>
        <w:rPr>
          <w:rFonts w:eastAsiaTheme="minorHAnsi" w:cs="Arial"/>
          <w:lang w:eastAsia="en-US"/>
        </w:rPr>
        <w:t>,</w:t>
      </w:r>
      <w:r w:rsidRPr="008E720A">
        <w:rPr>
          <w:rFonts w:eastAsiaTheme="minorHAnsi" w:cs="Arial"/>
          <w:lang w:eastAsia="en-US"/>
        </w:rPr>
        <w:t xml:space="preserve"> but local authorities will be able to transfer up to 0.5% of their schools block funding out with the agreement of their schools forum. Transfers over 0.5% and those opposed by the Schools Forum will require the approval of the Secretary of State.</w:t>
      </w:r>
      <w:r w:rsidR="009C699B">
        <w:rPr>
          <w:rFonts w:eastAsiaTheme="minorHAnsi" w:cs="Arial"/>
          <w:lang w:eastAsia="en-US"/>
        </w:rPr>
        <w:t xml:space="preserve"> </w:t>
      </w:r>
    </w:p>
    <w:p w:rsidR="000477DA" w:rsidRDefault="000477DA" w:rsidP="000477DA">
      <w:pPr>
        <w:spacing w:after="240"/>
        <w:ind w:left="720" w:hanging="720"/>
        <w:rPr>
          <w:rFonts w:cs="Arial"/>
          <w:color w:val="000000"/>
        </w:rPr>
      </w:pPr>
    </w:p>
    <w:p w:rsidR="009C699B" w:rsidRDefault="009C699B" w:rsidP="000477DA">
      <w:pPr>
        <w:spacing w:after="240"/>
        <w:ind w:left="720" w:hanging="720"/>
        <w:rPr>
          <w:rFonts w:cs="Arial"/>
          <w:color w:val="000000"/>
        </w:rPr>
      </w:pPr>
      <w:r>
        <w:rPr>
          <w:rFonts w:cs="Arial"/>
          <w:color w:val="000000"/>
        </w:rPr>
        <w:t xml:space="preserve">7.3.8 These movements are summarised in </w:t>
      </w:r>
      <w:r w:rsidR="0007226F">
        <w:rPr>
          <w:rFonts w:cs="Arial"/>
          <w:color w:val="000000"/>
        </w:rPr>
        <w:t>Table 6</w:t>
      </w:r>
      <w:r>
        <w:rPr>
          <w:rFonts w:cs="Arial"/>
          <w:color w:val="000000"/>
        </w:rPr>
        <w:t>.</w:t>
      </w:r>
    </w:p>
    <w:p w:rsidR="0007226F" w:rsidRPr="0007226F" w:rsidRDefault="0007226F" w:rsidP="0007226F">
      <w:pPr>
        <w:rPr>
          <w:rFonts w:cs="Arial"/>
          <w:b/>
          <w:bCs/>
          <w:color w:val="000000"/>
        </w:rPr>
      </w:pPr>
      <w:r>
        <w:rPr>
          <w:rFonts w:cs="Arial"/>
          <w:b/>
          <w:bCs/>
          <w:color w:val="000000"/>
        </w:rPr>
        <w:t xml:space="preserve">Table 6: </w:t>
      </w:r>
      <w:r w:rsidRPr="0007226F">
        <w:rPr>
          <w:rFonts w:cs="Arial"/>
          <w:b/>
          <w:bCs/>
          <w:color w:val="000000"/>
        </w:rPr>
        <w:t>High Needs Budget and Forecast 2017-18 and 2018-19</w:t>
      </w:r>
    </w:p>
    <w:p w:rsidR="00152F17" w:rsidRDefault="00152F17" w:rsidP="000477DA">
      <w:pPr>
        <w:spacing w:after="240"/>
        <w:ind w:left="720" w:hanging="720"/>
        <w:rPr>
          <w:rFonts w:cs="Arial"/>
          <w:color w:val="000000"/>
        </w:rPr>
      </w:pPr>
      <w:r w:rsidRPr="00152F17">
        <w:rPr>
          <w:noProof/>
        </w:rPr>
        <w:drawing>
          <wp:inline distT="0" distB="0" distL="0" distR="0">
            <wp:extent cx="6122035" cy="3452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3452489"/>
                    </a:xfrm>
                    <a:prstGeom prst="rect">
                      <a:avLst/>
                    </a:prstGeom>
                    <a:noFill/>
                    <a:ln>
                      <a:noFill/>
                    </a:ln>
                  </pic:spPr>
                </pic:pic>
              </a:graphicData>
            </a:graphic>
          </wp:inline>
        </w:drawing>
      </w:r>
    </w:p>
    <w:p w:rsidR="008E720A" w:rsidRPr="00507CC3" w:rsidRDefault="008E720A" w:rsidP="008E720A">
      <w:pPr>
        <w:pStyle w:val="ListParagraph"/>
        <w:pBdr>
          <w:top w:val="single" w:sz="4" w:space="1" w:color="000000" w:themeColor="text1"/>
          <w:left w:val="single" w:sz="4" w:space="14" w:color="000000" w:themeColor="text1"/>
          <w:bottom w:val="single" w:sz="4" w:space="1" w:color="000000" w:themeColor="text1"/>
          <w:right w:val="single" w:sz="4" w:space="4" w:color="000000" w:themeColor="text1"/>
        </w:pBdr>
        <w:ind w:left="1080"/>
        <w:rPr>
          <w:rFonts w:cs="Arial"/>
        </w:rPr>
      </w:pPr>
      <w:r>
        <w:rPr>
          <w:b/>
          <w:i/>
        </w:rPr>
        <w:t>(v</w:t>
      </w:r>
      <w:r w:rsidRPr="00507CC3">
        <w:rPr>
          <w:b/>
          <w:i/>
        </w:rPr>
        <w:t>)</w:t>
      </w:r>
      <w:r w:rsidRPr="00697D75">
        <w:t xml:space="preserve"> </w:t>
      </w:r>
      <w:r>
        <w:rPr>
          <w:b/>
          <w:i/>
        </w:rPr>
        <w:t>Decision - t</w:t>
      </w:r>
      <w:r w:rsidRPr="00507CC3">
        <w:rPr>
          <w:b/>
          <w:i/>
        </w:rPr>
        <w:t xml:space="preserve">o </w:t>
      </w:r>
      <w:r>
        <w:rPr>
          <w:b/>
          <w:i/>
        </w:rPr>
        <w:t xml:space="preserve">approve the transfer of 0.5% </w:t>
      </w:r>
      <w:r w:rsidR="009C699B">
        <w:rPr>
          <w:b/>
          <w:i/>
        </w:rPr>
        <w:t>or £1.197m</w:t>
      </w:r>
      <w:r w:rsidR="00152F17">
        <w:rPr>
          <w:b/>
          <w:i/>
        </w:rPr>
        <w:t xml:space="preserve"> </w:t>
      </w:r>
      <w:r>
        <w:rPr>
          <w:b/>
          <w:i/>
        </w:rPr>
        <w:t>from the Schools Block to the High Needs Block.</w:t>
      </w:r>
    </w:p>
    <w:p w:rsidR="008E720A" w:rsidRDefault="008E720A" w:rsidP="000477DA">
      <w:pPr>
        <w:spacing w:after="240"/>
        <w:ind w:left="720" w:hanging="720"/>
        <w:rPr>
          <w:rFonts w:cs="Arial"/>
          <w:color w:val="000000"/>
        </w:rPr>
      </w:pPr>
    </w:p>
    <w:p w:rsidR="000477DA" w:rsidRPr="00914DBE" w:rsidRDefault="003243E7" w:rsidP="000477DA">
      <w:pPr>
        <w:spacing w:after="240"/>
        <w:ind w:left="720" w:hanging="720"/>
        <w:rPr>
          <w:rFonts w:cs="Arial"/>
          <w:b/>
          <w:color w:val="000000"/>
        </w:rPr>
      </w:pPr>
      <w:r w:rsidRPr="00914DBE">
        <w:rPr>
          <w:rFonts w:cs="Arial"/>
          <w:b/>
          <w:color w:val="000000"/>
        </w:rPr>
        <w:t>7.4</w:t>
      </w:r>
      <w:r w:rsidRPr="00914DBE">
        <w:rPr>
          <w:rFonts w:cs="Arial"/>
          <w:b/>
          <w:color w:val="000000"/>
        </w:rPr>
        <w:tab/>
        <w:t>Schools Block</w:t>
      </w:r>
    </w:p>
    <w:p w:rsidR="00392010" w:rsidRPr="00914DBE" w:rsidRDefault="00392010" w:rsidP="00392010">
      <w:pPr>
        <w:ind w:left="720" w:hanging="720"/>
      </w:pPr>
      <w:r w:rsidRPr="00914DBE">
        <w:t xml:space="preserve">7.4.1 </w:t>
      </w:r>
      <w:r w:rsidRPr="00914DBE">
        <w:tab/>
      </w:r>
      <w:r w:rsidR="003412DD" w:rsidRPr="00914DBE">
        <w:t xml:space="preserve">The provisional schools block funding for 2018/19 is £207,965K, based on the October </w:t>
      </w:r>
      <w:r w:rsidR="00803CE1" w:rsidRPr="00914DBE">
        <w:t>2016 census.</w:t>
      </w:r>
      <w:r w:rsidRPr="00914DBE">
        <w:t xml:space="preserve">  The actual funding will be based on October 2017 census.</w:t>
      </w:r>
      <w:r w:rsidR="00803CE1" w:rsidRPr="00914DBE">
        <w:t xml:space="preserve">  </w:t>
      </w:r>
      <w:r w:rsidRPr="00914DBE">
        <w:t xml:space="preserve">In calculating the </w:t>
      </w:r>
      <w:r w:rsidR="00343A72" w:rsidRPr="00914DBE">
        <w:t xml:space="preserve">provisional </w:t>
      </w:r>
      <w:r w:rsidRPr="00914DBE">
        <w:t xml:space="preserve">Individual Schools Budgets </w:t>
      </w:r>
      <w:r w:rsidR="00343A72" w:rsidRPr="00914DBE">
        <w:t xml:space="preserve">(ISB) </w:t>
      </w:r>
      <w:r w:rsidRPr="00914DBE">
        <w:t xml:space="preserve">for 2018/19, the </w:t>
      </w:r>
      <w:r w:rsidR="00C92812" w:rsidRPr="00914DBE">
        <w:t>following provisions have been made; £3,719K to meet growth</w:t>
      </w:r>
      <w:r w:rsidRPr="00914DBE">
        <w:t xml:space="preserve"> that is not reflected in the October census</w:t>
      </w:r>
      <w:r w:rsidR="00222621" w:rsidRPr="00914DBE">
        <w:t>,</w:t>
      </w:r>
      <w:r w:rsidR="00C92812" w:rsidRPr="00914DBE">
        <w:t xml:space="preserve"> £1,197 for HN pressures, £250K for Business Rates, and £84K for PFI uplift. </w:t>
      </w:r>
      <w:r w:rsidR="00343A72" w:rsidRPr="00914DBE">
        <w:t xml:space="preserve"> These provisions are currently under review, and any reductions in these estimates will be added to the budget for formula factor. </w:t>
      </w:r>
      <w:r w:rsidR="00C92812" w:rsidRPr="00914DBE">
        <w:t>The balance of funding available through the formula factor is £202,715K</w:t>
      </w:r>
    </w:p>
    <w:p w:rsidR="00392010" w:rsidRPr="00914DBE" w:rsidRDefault="00392010" w:rsidP="00392010">
      <w:pPr>
        <w:ind w:left="720" w:hanging="720"/>
      </w:pPr>
    </w:p>
    <w:p w:rsidR="00F57245" w:rsidRDefault="00392010" w:rsidP="009064D1">
      <w:pPr>
        <w:ind w:left="720" w:hanging="720"/>
      </w:pPr>
      <w:r w:rsidRPr="00914DBE">
        <w:t>7.4.2</w:t>
      </w:r>
      <w:r w:rsidRPr="00914DBE">
        <w:tab/>
        <w:t xml:space="preserve">The </w:t>
      </w:r>
      <w:r w:rsidR="00803CE1" w:rsidRPr="00914DBE">
        <w:t xml:space="preserve">funding allocations </w:t>
      </w:r>
      <w:r w:rsidRPr="00914DBE">
        <w:t xml:space="preserve">modelled </w:t>
      </w:r>
      <w:r w:rsidR="00803CE1" w:rsidRPr="00914DBE">
        <w:t xml:space="preserve">on the National Funding Formula (NFF) </w:t>
      </w:r>
      <w:r w:rsidRPr="00914DBE">
        <w:t xml:space="preserve">rates </w:t>
      </w:r>
      <w:r w:rsidR="00803CE1" w:rsidRPr="00914DBE">
        <w:t>uprated for the Area Cost Ad</w:t>
      </w:r>
      <w:r w:rsidRPr="00914DBE">
        <w:t xml:space="preserve">justment (ACA) </w:t>
      </w:r>
      <w:r w:rsidR="00803CE1" w:rsidRPr="00914DBE">
        <w:t xml:space="preserve">yielded a </w:t>
      </w:r>
      <w:r w:rsidR="00BE6BBD" w:rsidRPr="00914DBE">
        <w:t>primary secondary ratio of 1:1.43, compared to 1:1.30</w:t>
      </w:r>
      <w:r w:rsidR="00222621" w:rsidRPr="00914DBE">
        <w:t xml:space="preserve"> in 2017/18</w:t>
      </w:r>
      <w:r w:rsidR="00BE6BBD" w:rsidRPr="00914DBE">
        <w:t xml:space="preserve">, </w:t>
      </w:r>
      <w:r w:rsidR="00222621" w:rsidRPr="00914DBE">
        <w:t xml:space="preserve">representing a shift in funding away from the primary phase. </w:t>
      </w:r>
      <w:r w:rsidR="00F57245">
        <w:t>Three options are being modelled for consultation with Schools. These include:</w:t>
      </w:r>
    </w:p>
    <w:p w:rsidR="00F57245" w:rsidRDefault="00F57245" w:rsidP="009064D1">
      <w:pPr>
        <w:ind w:left="720" w:hanging="720"/>
      </w:pPr>
    </w:p>
    <w:p w:rsidR="00F57245" w:rsidRDefault="00F57245" w:rsidP="00F57245">
      <w:pPr>
        <w:pStyle w:val="ListParagraph"/>
        <w:numPr>
          <w:ilvl w:val="0"/>
          <w:numId w:val="34"/>
        </w:numPr>
      </w:pPr>
      <w:r>
        <w:t>Maintain a ratio of 1:1:30;</w:t>
      </w:r>
    </w:p>
    <w:p w:rsidR="00F57245" w:rsidRDefault="00F57245" w:rsidP="00F57245">
      <w:pPr>
        <w:pStyle w:val="ListParagraph"/>
        <w:numPr>
          <w:ilvl w:val="0"/>
          <w:numId w:val="34"/>
        </w:numPr>
      </w:pPr>
      <w:r>
        <w:lastRenderedPageBreak/>
        <w:t>Phase in the transition to the National Funding Formula to achieve a ratio of 1:1:3</w:t>
      </w:r>
      <w:r w:rsidR="009E306A">
        <w:t>4</w:t>
      </w:r>
      <w:r>
        <w:t>; and</w:t>
      </w:r>
    </w:p>
    <w:p w:rsidR="00F57245" w:rsidRDefault="00F57245" w:rsidP="00F57245">
      <w:pPr>
        <w:pStyle w:val="ListParagraph"/>
        <w:numPr>
          <w:ilvl w:val="0"/>
          <w:numId w:val="34"/>
        </w:numPr>
      </w:pPr>
      <w:r>
        <w:t xml:space="preserve">Full transition to the National Funding Formula. </w:t>
      </w:r>
    </w:p>
    <w:p w:rsidR="00F57245" w:rsidRDefault="00F57245" w:rsidP="00F57245">
      <w:pPr>
        <w:pStyle w:val="ListParagraph"/>
        <w:ind w:left="1080"/>
      </w:pPr>
    </w:p>
    <w:p w:rsidR="00AC18E9" w:rsidRDefault="007E3890" w:rsidP="007E3890">
      <w:pPr>
        <w:pStyle w:val="ListParagraph"/>
        <w:ind w:hanging="720"/>
      </w:pPr>
      <w:r>
        <w:t>7.4.3</w:t>
      </w:r>
      <w:r>
        <w:tab/>
      </w:r>
      <w:r w:rsidR="00F57245">
        <w:t>The outcome of the consultation will be reported to a special schools fo</w:t>
      </w:r>
      <w:r w:rsidR="00AC18E9">
        <w:t>rum to be scheduled in November.</w:t>
      </w:r>
    </w:p>
    <w:p w:rsidR="00AC18E9" w:rsidRDefault="00AC18E9" w:rsidP="00F57245">
      <w:pPr>
        <w:pStyle w:val="ListParagraph"/>
        <w:ind w:left="1080"/>
      </w:pPr>
    </w:p>
    <w:p w:rsidR="00006E58" w:rsidRPr="003243E7" w:rsidRDefault="00006E58" w:rsidP="00006E58">
      <w:pPr>
        <w:ind w:left="1418" w:hanging="713"/>
        <w:jc w:val="both"/>
        <w:rPr>
          <w:highlight w:val="yellow"/>
        </w:rPr>
      </w:pPr>
    </w:p>
    <w:p w:rsidR="00006E58" w:rsidRPr="00914DBE" w:rsidRDefault="00006E58" w:rsidP="00006E58">
      <w:pPr>
        <w:pBdr>
          <w:top w:val="single" w:sz="4" w:space="1" w:color="auto"/>
          <w:left w:val="single" w:sz="4" w:space="4" w:color="auto"/>
          <w:bottom w:val="single" w:sz="4" w:space="1" w:color="auto"/>
          <w:right w:val="single" w:sz="4" w:space="4" w:color="auto"/>
        </w:pBdr>
        <w:ind w:left="1418" w:hanging="713"/>
        <w:jc w:val="both"/>
        <w:rPr>
          <w:b/>
        </w:rPr>
      </w:pPr>
      <w:r w:rsidRPr="00914DBE">
        <w:rPr>
          <w:rFonts w:cs="Arial"/>
          <w:b/>
          <w:i/>
        </w:rPr>
        <w:t>(</w:t>
      </w:r>
      <w:r w:rsidR="00B713FB" w:rsidRPr="00914DBE">
        <w:rPr>
          <w:rFonts w:cs="Arial"/>
          <w:b/>
          <w:i/>
        </w:rPr>
        <w:t>v</w:t>
      </w:r>
      <w:r w:rsidR="00385F09">
        <w:rPr>
          <w:rFonts w:cs="Arial"/>
          <w:b/>
          <w:i/>
        </w:rPr>
        <w:t>i</w:t>
      </w:r>
      <w:r w:rsidRPr="00914DBE">
        <w:rPr>
          <w:rFonts w:cs="Arial"/>
          <w:b/>
          <w:i/>
        </w:rPr>
        <w:t>)</w:t>
      </w:r>
      <w:r w:rsidRPr="00914DBE">
        <w:rPr>
          <w:rFonts w:cs="Arial"/>
          <w:b/>
          <w:i/>
        </w:rPr>
        <w:tab/>
        <w:t xml:space="preserve">Decision required – </w:t>
      </w:r>
      <w:r w:rsidR="00C51BDA">
        <w:rPr>
          <w:rFonts w:cs="Arial"/>
          <w:b/>
          <w:i/>
        </w:rPr>
        <w:t xml:space="preserve">A special </w:t>
      </w:r>
      <w:r w:rsidRPr="00914DBE">
        <w:rPr>
          <w:rFonts w:cs="Arial"/>
          <w:b/>
          <w:i/>
        </w:rPr>
        <w:t xml:space="preserve">Schools Forum </w:t>
      </w:r>
      <w:r w:rsidR="00C51BDA">
        <w:rPr>
          <w:rFonts w:cs="Arial"/>
          <w:b/>
          <w:i/>
        </w:rPr>
        <w:t>be scheduled in Novemb</w:t>
      </w:r>
      <w:r w:rsidR="007E3890">
        <w:rPr>
          <w:rFonts w:cs="Arial"/>
          <w:b/>
          <w:i/>
        </w:rPr>
        <w:t>e</w:t>
      </w:r>
      <w:r w:rsidR="00C51BDA">
        <w:rPr>
          <w:rFonts w:cs="Arial"/>
          <w:b/>
          <w:i/>
        </w:rPr>
        <w:t xml:space="preserve">r to agree </w:t>
      </w:r>
      <w:r w:rsidR="00914DBE" w:rsidRPr="00914DBE">
        <w:rPr>
          <w:rFonts w:cs="Arial"/>
          <w:b/>
          <w:i/>
        </w:rPr>
        <w:t>the model proposed</w:t>
      </w:r>
      <w:r w:rsidR="00C51BDA">
        <w:rPr>
          <w:rFonts w:cs="Arial"/>
          <w:b/>
          <w:i/>
        </w:rPr>
        <w:t xml:space="preserve"> </w:t>
      </w:r>
      <w:r w:rsidR="00152F17">
        <w:rPr>
          <w:rFonts w:cs="Arial"/>
          <w:b/>
          <w:i/>
        </w:rPr>
        <w:t xml:space="preserve">resulting </w:t>
      </w:r>
      <w:r w:rsidR="00C51BDA">
        <w:rPr>
          <w:rFonts w:cs="Arial"/>
          <w:b/>
          <w:i/>
        </w:rPr>
        <w:t xml:space="preserve">from </w:t>
      </w:r>
      <w:r w:rsidR="00152F17">
        <w:rPr>
          <w:rFonts w:cs="Arial"/>
          <w:b/>
          <w:i/>
        </w:rPr>
        <w:t xml:space="preserve">the </w:t>
      </w:r>
      <w:r w:rsidR="00C51BDA">
        <w:rPr>
          <w:rFonts w:cs="Arial"/>
          <w:b/>
          <w:i/>
        </w:rPr>
        <w:t>consultation with schools.</w:t>
      </w:r>
    </w:p>
    <w:p w:rsidR="000E36F3" w:rsidRPr="004A0844" w:rsidRDefault="000E36F3" w:rsidP="004A0844">
      <w:pPr>
        <w:jc w:val="both"/>
        <w:rPr>
          <w:rFonts w:cs="Arial"/>
        </w:rPr>
      </w:pPr>
    </w:p>
    <w:p w:rsidR="004A0844" w:rsidRDefault="004A0844" w:rsidP="00350AF9">
      <w:pPr>
        <w:jc w:val="both"/>
        <w:rPr>
          <w:rFonts w:cs="Arial"/>
        </w:rPr>
      </w:pPr>
    </w:p>
    <w:p w:rsidR="004A0844" w:rsidRDefault="004A0844" w:rsidP="00101DD7">
      <w:pPr>
        <w:pStyle w:val="ListParagraph"/>
        <w:numPr>
          <w:ilvl w:val="0"/>
          <w:numId w:val="33"/>
        </w:numPr>
        <w:rPr>
          <w:b/>
          <w:u w:val="single"/>
        </w:rPr>
      </w:pPr>
      <w:r>
        <w:rPr>
          <w:b/>
          <w:u w:val="single"/>
        </w:rPr>
        <w:t>Schools Facing Financial Difficulty Update</w:t>
      </w:r>
    </w:p>
    <w:p w:rsidR="004A0844" w:rsidRDefault="004A0844" w:rsidP="004A0844">
      <w:pPr>
        <w:rPr>
          <w:b/>
          <w:u w:val="single"/>
        </w:rPr>
      </w:pPr>
    </w:p>
    <w:p w:rsidR="004A0844" w:rsidRPr="003E0325" w:rsidRDefault="004A0844" w:rsidP="004A0844">
      <w:pPr>
        <w:ind w:left="709" w:hanging="709"/>
        <w:jc w:val="both"/>
        <w:rPr>
          <w:rFonts w:cs="Arial"/>
          <w:highlight w:val="yellow"/>
        </w:rPr>
      </w:pPr>
      <w:r>
        <w:rPr>
          <w:rFonts w:cs="Arial"/>
        </w:rPr>
        <w:t>8.1</w:t>
      </w:r>
      <w:r>
        <w:rPr>
          <w:rFonts w:cs="Arial"/>
        </w:rPr>
        <w:tab/>
      </w:r>
      <w:r w:rsidRPr="00B152B4">
        <w:rPr>
          <w:rFonts w:cs="Arial"/>
        </w:rPr>
        <w:t>No formal requests have been made</w:t>
      </w:r>
      <w:r>
        <w:rPr>
          <w:rFonts w:cs="Arial"/>
        </w:rPr>
        <w:t xml:space="preserve"> to date</w:t>
      </w:r>
      <w:r w:rsidRPr="00B152B4">
        <w:rPr>
          <w:rFonts w:cs="Arial"/>
        </w:rPr>
        <w:t xml:space="preserve">. Appendix </w:t>
      </w:r>
      <w:r>
        <w:rPr>
          <w:rFonts w:cs="Arial"/>
        </w:rPr>
        <w:t>D(i) and D(ii)</w:t>
      </w:r>
      <w:r w:rsidRPr="00B152B4">
        <w:rPr>
          <w:rFonts w:cs="Arial"/>
        </w:rPr>
        <w:t xml:space="preserve"> provides the support provided and repayments made.</w:t>
      </w:r>
    </w:p>
    <w:p w:rsidR="004A0844" w:rsidRPr="003E0325" w:rsidRDefault="004A0844" w:rsidP="004A0844">
      <w:pPr>
        <w:ind w:left="709" w:hanging="709"/>
        <w:jc w:val="both"/>
        <w:rPr>
          <w:rFonts w:cs="Arial"/>
          <w:highlight w:val="yellow"/>
        </w:rPr>
      </w:pPr>
    </w:p>
    <w:p w:rsidR="004A0844" w:rsidRDefault="004A0844" w:rsidP="004A0844">
      <w:pPr>
        <w:ind w:left="720" w:hanging="720"/>
      </w:pPr>
      <w:r>
        <w:t>5</w:t>
      </w:r>
      <w:r w:rsidRPr="00B152B4">
        <w:t>.2</w:t>
      </w:r>
      <w:r w:rsidRPr="00B152B4">
        <w:tab/>
        <w:t xml:space="preserve">The </w:t>
      </w:r>
      <w:r>
        <w:t>surplus carried forward at the end of 2016-17 amounted to £1</w:t>
      </w:r>
      <w:r w:rsidR="007963F6">
        <w:t>47</w:t>
      </w:r>
      <w:r>
        <w:t>k. Repayments are due from 5 schools during 2017-18 which will bring the balance at year end to £</w:t>
      </w:r>
      <w:r w:rsidR="007963F6">
        <w:t>590</w:t>
      </w:r>
      <w:r>
        <w:t>k, assuming no further requests are made.</w:t>
      </w:r>
    </w:p>
    <w:p w:rsidR="004A0844" w:rsidRDefault="004A0844" w:rsidP="004A0844">
      <w:pPr>
        <w:rPr>
          <w:b/>
          <w:u w:val="single"/>
        </w:rPr>
      </w:pPr>
    </w:p>
    <w:p w:rsidR="004A0844" w:rsidRPr="004A0844" w:rsidRDefault="004A0844" w:rsidP="004A0844">
      <w:pPr>
        <w:rPr>
          <w:b/>
          <w:u w:val="single"/>
        </w:rPr>
      </w:pPr>
    </w:p>
    <w:p w:rsidR="004A0844" w:rsidRPr="007963F6" w:rsidRDefault="004A0844" w:rsidP="004A0844">
      <w:pPr>
        <w:pStyle w:val="ListParagraph"/>
        <w:numPr>
          <w:ilvl w:val="0"/>
          <w:numId w:val="33"/>
        </w:numPr>
        <w:rPr>
          <w:b/>
          <w:u w:val="single"/>
        </w:rPr>
      </w:pPr>
      <w:r>
        <w:rPr>
          <w:b/>
          <w:u w:val="single"/>
        </w:rPr>
        <w:t>Option</w:t>
      </w:r>
      <w:r w:rsidR="00C52505" w:rsidRPr="00101DD7">
        <w:rPr>
          <w:b/>
          <w:u w:val="single"/>
        </w:rPr>
        <w:t xml:space="preserve"> Appraisal </w:t>
      </w:r>
    </w:p>
    <w:p w:rsidR="00C52505" w:rsidRDefault="00C52505" w:rsidP="001370FE">
      <w:pPr>
        <w:ind w:left="709" w:hanging="709"/>
      </w:pPr>
    </w:p>
    <w:p w:rsidR="00C52505" w:rsidRPr="00F7237E" w:rsidRDefault="00EA0195" w:rsidP="00101DD7">
      <w:pPr>
        <w:pStyle w:val="ListParagraph"/>
        <w:numPr>
          <w:ilvl w:val="1"/>
          <w:numId w:val="33"/>
        </w:numPr>
      </w:pPr>
      <w:r>
        <w:t xml:space="preserve">Not applicable.  </w:t>
      </w:r>
    </w:p>
    <w:p w:rsidR="006B0B04" w:rsidRDefault="006B0B04" w:rsidP="001370FE">
      <w:pPr>
        <w:ind w:left="709" w:hanging="709"/>
        <w:rPr>
          <w:rFonts w:cs="Arial"/>
        </w:rPr>
      </w:pPr>
    </w:p>
    <w:p w:rsidR="000404CF" w:rsidRDefault="000404CF" w:rsidP="001370FE">
      <w:pPr>
        <w:ind w:left="709" w:hanging="709"/>
        <w:rPr>
          <w:rFonts w:cs="Arial"/>
        </w:rPr>
      </w:pPr>
    </w:p>
    <w:p w:rsidR="006E145D" w:rsidRPr="00E86584" w:rsidRDefault="007963F6" w:rsidP="00101DD7">
      <w:pPr>
        <w:autoSpaceDE w:val="0"/>
        <w:autoSpaceDN w:val="0"/>
        <w:adjustRightInd w:val="0"/>
        <w:rPr>
          <w:rFonts w:cs="Arial"/>
          <w:b/>
          <w:u w:val="single"/>
        </w:rPr>
      </w:pPr>
      <w:r>
        <w:rPr>
          <w:rFonts w:cs="Arial"/>
          <w:b/>
          <w:u w:val="single"/>
        </w:rPr>
        <w:t>10</w:t>
      </w:r>
      <w:r w:rsidR="00101DD7">
        <w:rPr>
          <w:rFonts w:cs="Arial"/>
          <w:b/>
          <w:u w:val="single"/>
        </w:rPr>
        <w:t>.</w:t>
      </w:r>
      <w:r w:rsidR="00101DD7">
        <w:rPr>
          <w:rFonts w:cs="Arial"/>
          <w:b/>
          <w:u w:val="single"/>
        </w:rPr>
        <w:tab/>
      </w:r>
      <w:r w:rsidR="006E145D" w:rsidRPr="00E86584">
        <w:rPr>
          <w:rFonts w:cs="Arial"/>
          <w:b/>
          <w:u w:val="single"/>
        </w:rPr>
        <w:t xml:space="preserve">Consultation </w:t>
      </w:r>
    </w:p>
    <w:p w:rsidR="006E145D" w:rsidRDefault="006E145D" w:rsidP="001370FE">
      <w:pPr>
        <w:autoSpaceDE w:val="0"/>
        <w:autoSpaceDN w:val="0"/>
        <w:adjustRightInd w:val="0"/>
        <w:ind w:left="709" w:hanging="709"/>
        <w:rPr>
          <w:rFonts w:cs="Arial"/>
          <w:b/>
        </w:rPr>
      </w:pPr>
    </w:p>
    <w:p w:rsidR="006E145D" w:rsidRPr="007963F6" w:rsidRDefault="00735987" w:rsidP="007963F6">
      <w:pPr>
        <w:pStyle w:val="ListParagraph"/>
        <w:numPr>
          <w:ilvl w:val="1"/>
          <w:numId w:val="35"/>
        </w:numPr>
        <w:autoSpaceDE w:val="0"/>
        <w:autoSpaceDN w:val="0"/>
        <w:adjustRightInd w:val="0"/>
        <w:rPr>
          <w:rFonts w:cs="Arial"/>
        </w:rPr>
      </w:pPr>
      <w:r w:rsidRPr="007963F6">
        <w:rPr>
          <w:rFonts w:cs="Arial"/>
        </w:rPr>
        <w:t>Not applicable.</w:t>
      </w:r>
    </w:p>
    <w:p w:rsidR="006E145D" w:rsidRDefault="006E145D" w:rsidP="001370FE">
      <w:pPr>
        <w:autoSpaceDE w:val="0"/>
        <w:autoSpaceDN w:val="0"/>
        <w:adjustRightInd w:val="0"/>
        <w:ind w:left="709" w:hanging="709"/>
        <w:rPr>
          <w:rFonts w:cs="Arial"/>
        </w:rPr>
      </w:pPr>
    </w:p>
    <w:p w:rsidR="000404CF" w:rsidRPr="006E145D" w:rsidRDefault="000404CF" w:rsidP="00854E34">
      <w:pPr>
        <w:autoSpaceDE w:val="0"/>
        <w:autoSpaceDN w:val="0"/>
        <w:adjustRightInd w:val="0"/>
        <w:rPr>
          <w:rFonts w:cs="Arial"/>
        </w:rPr>
      </w:pPr>
    </w:p>
    <w:p w:rsidR="00627CCF" w:rsidRPr="00FF0EFC" w:rsidRDefault="007963F6" w:rsidP="007963F6">
      <w:pPr>
        <w:autoSpaceDE w:val="0"/>
        <w:autoSpaceDN w:val="0"/>
        <w:adjustRightInd w:val="0"/>
        <w:rPr>
          <w:rFonts w:cs="Arial"/>
          <w:b/>
          <w:u w:val="single"/>
        </w:rPr>
      </w:pPr>
      <w:r>
        <w:rPr>
          <w:rFonts w:cs="Arial"/>
          <w:b/>
          <w:u w:val="single"/>
        </w:rPr>
        <w:t>11.</w:t>
      </w:r>
      <w:r>
        <w:rPr>
          <w:rFonts w:cs="Arial"/>
          <w:b/>
          <w:u w:val="single"/>
        </w:rPr>
        <w:tab/>
      </w:r>
      <w:r w:rsidR="00B448CA" w:rsidRPr="00FF0EFC">
        <w:rPr>
          <w:rFonts w:cs="Arial"/>
          <w:b/>
          <w:u w:val="single"/>
        </w:rPr>
        <w:t>Financial I</w:t>
      </w:r>
      <w:r w:rsidR="006E145D" w:rsidRPr="00FF0EFC">
        <w:rPr>
          <w:rFonts w:cs="Arial"/>
          <w:b/>
          <w:u w:val="single"/>
        </w:rPr>
        <w:t>mplications</w:t>
      </w:r>
      <w:r w:rsidR="00627CCF" w:rsidRPr="00FF0EFC">
        <w:rPr>
          <w:rFonts w:cs="Arial"/>
          <w:b/>
          <w:u w:val="single"/>
        </w:rPr>
        <w:t xml:space="preserve"> </w:t>
      </w:r>
    </w:p>
    <w:p w:rsidR="00B448CA" w:rsidRPr="00B448CA" w:rsidRDefault="00B448CA" w:rsidP="001370FE">
      <w:pPr>
        <w:autoSpaceDE w:val="0"/>
        <w:autoSpaceDN w:val="0"/>
        <w:adjustRightInd w:val="0"/>
        <w:ind w:left="709" w:hanging="709"/>
        <w:rPr>
          <w:rFonts w:cs="Arial"/>
        </w:rPr>
      </w:pPr>
    </w:p>
    <w:p w:rsidR="00B448CA" w:rsidRPr="007963F6" w:rsidRDefault="00A14F53" w:rsidP="007963F6">
      <w:pPr>
        <w:pStyle w:val="ListParagraph"/>
        <w:numPr>
          <w:ilvl w:val="1"/>
          <w:numId w:val="36"/>
        </w:numPr>
        <w:rPr>
          <w:rFonts w:cs="Arial"/>
          <w:color w:val="0000FF"/>
        </w:rPr>
      </w:pPr>
      <w:r w:rsidRPr="007963F6">
        <w:rPr>
          <w:rFonts w:cs="Arial"/>
        </w:rPr>
        <w:t>The School Funding Formula is contained within the Dedicated Schools Grant</w:t>
      </w:r>
    </w:p>
    <w:p w:rsidR="00B448CA" w:rsidRDefault="00B448CA" w:rsidP="00854E34">
      <w:pPr>
        <w:autoSpaceDE w:val="0"/>
        <w:autoSpaceDN w:val="0"/>
        <w:adjustRightInd w:val="0"/>
        <w:rPr>
          <w:rFonts w:cs="Arial"/>
        </w:rPr>
      </w:pPr>
    </w:p>
    <w:p w:rsidR="000404CF" w:rsidRDefault="000404CF" w:rsidP="001370FE">
      <w:pPr>
        <w:autoSpaceDE w:val="0"/>
        <w:autoSpaceDN w:val="0"/>
        <w:adjustRightInd w:val="0"/>
        <w:ind w:left="709" w:hanging="709"/>
        <w:rPr>
          <w:rFonts w:cs="Arial"/>
        </w:rPr>
      </w:pPr>
    </w:p>
    <w:p w:rsidR="00627CCF" w:rsidRPr="00FF0EFC" w:rsidRDefault="007963F6" w:rsidP="007963F6">
      <w:pPr>
        <w:autoSpaceDE w:val="0"/>
        <w:autoSpaceDN w:val="0"/>
        <w:adjustRightInd w:val="0"/>
        <w:rPr>
          <w:rFonts w:cs="Arial"/>
          <w:b/>
          <w:u w:val="single"/>
        </w:rPr>
      </w:pPr>
      <w:r>
        <w:rPr>
          <w:rFonts w:cs="Arial"/>
          <w:b/>
          <w:u w:val="single"/>
        </w:rPr>
        <w:t>12.</w:t>
      </w:r>
      <w:r>
        <w:rPr>
          <w:rFonts w:cs="Arial"/>
          <w:b/>
          <w:u w:val="single"/>
        </w:rPr>
        <w:tab/>
      </w:r>
      <w:r w:rsidR="00B448CA" w:rsidRPr="00FF0EFC">
        <w:rPr>
          <w:rFonts w:cs="Arial"/>
          <w:b/>
          <w:u w:val="single"/>
        </w:rPr>
        <w:t xml:space="preserve">Legal </w:t>
      </w:r>
      <w:r w:rsidR="006E145D" w:rsidRPr="00FF0EFC">
        <w:rPr>
          <w:rFonts w:cs="Arial"/>
          <w:b/>
          <w:u w:val="single"/>
        </w:rPr>
        <w:t xml:space="preserve">Implications </w:t>
      </w:r>
    </w:p>
    <w:p w:rsidR="007C1C4A" w:rsidRDefault="007C1C4A" w:rsidP="001370FE">
      <w:pPr>
        <w:autoSpaceDE w:val="0"/>
        <w:autoSpaceDN w:val="0"/>
        <w:adjustRightInd w:val="0"/>
        <w:ind w:left="709" w:hanging="709"/>
        <w:rPr>
          <w:rFonts w:cs="Arial"/>
          <w:b/>
        </w:rPr>
      </w:pPr>
    </w:p>
    <w:p w:rsidR="00B42641" w:rsidRDefault="00F019EB" w:rsidP="001370FE">
      <w:pPr>
        <w:ind w:left="709" w:hanging="709"/>
        <w:rPr>
          <w:rFonts w:cs="Arial"/>
        </w:rPr>
      </w:pPr>
      <w:r>
        <w:rPr>
          <w:rFonts w:cs="Arial"/>
        </w:rPr>
        <w:t>1</w:t>
      </w:r>
      <w:r w:rsidR="007963F6">
        <w:rPr>
          <w:rFonts w:cs="Arial"/>
        </w:rPr>
        <w:t>2</w:t>
      </w:r>
      <w:r w:rsidR="007C1C4A" w:rsidRPr="00945AC3">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B55F0B">
        <w:rPr>
          <w:rFonts w:cs="Arial"/>
        </w:rPr>
        <w:t>.</w:t>
      </w:r>
      <w:r w:rsidR="00D804FB">
        <w:rPr>
          <w:rFonts w:cs="Arial"/>
        </w:rPr>
        <w:t xml:space="preserve">  </w:t>
      </w:r>
    </w:p>
    <w:p w:rsidR="00726E0D" w:rsidRDefault="00726E0D" w:rsidP="001370FE">
      <w:pPr>
        <w:autoSpaceDE w:val="0"/>
        <w:autoSpaceDN w:val="0"/>
        <w:adjustRightInd w:val="0"/>
        <w:ind w:left="709" w:hanging="709"/>
        <w:rPr>
          <w:rFonts w:cs="Arial"/>
          <w:color w:val="000000"/>
        </w:rPr>
      </w:pPr>
    </w:p>
    <w:p w:rsidR="00854E34" w:rsidRDefault="00854E34" w:rsidP="001370FE">
      <w:pPr>
        <w:autoSpaceDE w:val="0"/>
        <w:autoSpaceDN w:val="0"/>
        <w:adjustRightInd w:val="0"/>
        <w:ind w:left="709" w:hanging="709"/>
        <w:rPr>
          <w:rFonts w:cs="Arial"/>
          <w:color w:val="000000"/>
        </w:rPr>
      </w:pPr>
    </w:p>
    <w:p w:rsidR="003B6610" w:rsidRPr="007963F6" w:rsidRDefault="00B448CA" w:rsidP="007963F6">
      <w:pPr>
        <w:pStyle w:val="ListParagraph"/>
        <w:numPr>
          <w:ilvl w:val="0"/>
          <w:numId w:val="37"/>
        </w:numPr>
        <w:autoSpaceDE w:val="0"/>
        <w:autoSpaceDN w:val="0"/>
        <w:adjustRightInd w:val="0"/>
        <w:rPr>
          <w:rFonts w:cs="Arial"/>
          <w:color w:val="000000"/>
          <w:u w:val="single"/>
        </w:rPr>
      </w:pPr>
      <w:r w:rsidRPr="007963F6">
        <w:rPr>
          <w:rFonts w:cs="Arial"/>
          <w:b/>
        </w:rPr>
        <w:tab/>
      </w:r>
      <w:r w:rsidR="003B6610" w:rsidRPr="007963F6">
        <w:rPr>
          <w:rFonts w:cs="Arial"/>
          <w:b/>
          <w:u w:val="single"/>
        </w:rPr>
        <w:t>Other Implications</w:t>
      </w:r>
    </w:p>
    <w:p w:rsidR="003B6610" w:rsidRDefault="003B6610" w:rsidP="001370FE">
      <w:pPr>
        <w:autoSpaceDE w:val="0"/>
        <w:autoSpaceDN w:val="0"/>
        <w:adjustRightInd w:val="0"/>
        <w:ind w:left="709" w:hanging="709"/>
        <w:rPr>
          <w:rFonts w:cs="Arial"/>
          <w:color w:val="0000FF"/>
        </w:rPr>
      </w:pPr>
    </w:p>
    <w:p w:rsidR="00B448CA" w:rsidRPr="007963F6" w:rsidRDefault="00B448CA" w:rsidP="007963F6">
      <w:pPr>
        <w:numPr>
          <w:ilvl w:val="1"/>
          <w:numId w:val="37"/>
        </w:numPr>
        <w:autoSpaceDE w:val="0"/>
        <w:autoSpaceDN w:val="0"/>
        <w:adjustRightInd w:val="0"/>
        <w:ind w:left="709" w:hanging="709"/>
        <w:rPr>
          <w:rFonts w:cs="Arial"/>
          <w:b/>
        </w:rPr>
      </w:pPr>
      <w:r w:rsidRPr="007963F6">
        <w:rPr>
          <w:rFonts w:cs="Arial"/>
          <w:b/>
        </w:rPr>
        <w:t xml:space="preserve">Risk Management </w:t>
      </w:r>
      <w:r w:rsidR="001102BC" w:rsidRPr="007963F6">
        <w:rPr>
          <w:rFonts w:cs="Arial"/>
          <w:b/>
        </w:rPr>
        <w:t>- None</w:t>
      </w:r>
    </w:p>
    <w:p w:rsidR="000D030E" w:rsidRDefault="000D030E" w:rsidP="001370FE">
      <w:pPr>
        <w:autoSpaceDE w:val="0"/>
        <w:autoSpaceDN w:val="0"/>
        <w:adjustRightInd w:val="0"/>
        <w:ind w:left="709" w:hanging="709"/>
        <w:rPr>
          <w:rFonts w:cs="Arial"/>
        </w:rPr>
      </w:pPr>
    </w:p>
    <w:p w:rsidR="0046701F" w:rsidRDefault="00B448CA" w:rsidP="007963F6">
      <w:pPr>
        <w:numPr>
          <w:ilvl w:val="1"/>
          <w:numId w:val="37"/>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rsidR="0046701F" w:rsidRDefault="0046701F" w:rsidP="0046701F">
      <w:pPr>
        <w:pStyle w:val="ListParagraph"/>
        <w:rPr>
          <w:rFonts w:cs="Arial"/>
        </w:rPr>
      </w:pPr>
    </w:p>
    <w:p w:rsidR="00B448CA" w:rsidRPr="0046701F" w:rsidRDefault="00B448CA" w:rsidP="007963F6">
      <w:pPr>
        <w:numPr>
          <w:ilvl w:val="1"/>
          <w:numId w:val="37"/>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rsidR="00E86584" w:rsidRDefault="00E86584" w:rsidP="001370FE">
      <w:pPr>
        <w:pStyle w:val="ListParagraph"/>
        <w:ind w:left="709" w:hanging="709"/>
        <w:rPr>
          <w:rFonts w:cs="Arial"/>
        </w:rPr>
      </w:pPr>
    </w:p>
    <w:p w:rsidR="00B448CA" w:rsidRDefault="00B448CA" w:rsidP="007963F6">
      <w:pPr>
        <w:numPr>
          <w:ilvl w:val="1"/>
          <w:numId w:val="37"/>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rsidR="00E86584" w:rsidRDefault="00E86584" w:rsidP="001370FE">
      <w:pPr>
        <w:pStyle w:val="ListParagraph"/>
        <w:ind w:left="709" w:hanging="709"/>
        <w:rPr>
          <w:rFonts w:cs="Arial"/>
        </w:rPr>
      </w:pPr>
    </w:p>
    <w:p w:rsidR="00E86584" w:rsidRDefault="00E86584" w:rsidP="007963F6">
      <w:pPr>
        <w:numPr>
          <w:ilvl w:val="1"/>
          <w:numId w:val="37"/>
        </w:numPr>
        <w:autoSpaceDE w:val="0"/>
        <w:autoSpaceDN w:val="0"/>
        <w:adjustRightInd w:val="0"/>
        <w:ind w:left="709" w:hanging="709"/>
        <w:rPr>
          <w:rFonts w:cs="Arial"/>
        </w:rPr>
      </w:pPr>
      <w:r w:rsidRPr="00E86584">
        <w:rPr>
          <w:rFonts w:cs="Arial"/>
          <w:b/>
        </w:rPr>
        <w:t>Safeguarding Children-</w:t>
      </w:r>
      <w:r>
        <w:rPr>
          <w:rFonts w:cs="Arial"/>
        </w:rPr>
        <w:t xml:space="preserve"> None</w:t>
      </w:r>
    </w:p>
    <w:p w:rsidR="00E86584" w:rsidRDefault="00E86584" w:rsidP="001370FE">
      <w:pPr>
        <w:pStyle w:val="ListParagraph"/>
        <w:ind w:left="709" w:hanging="709"/>
        <w:rPr>
          <w:rFonts w:cs="Arial"/>
        </w:rPr>
      </w:pPr>
    </w:p>
    <w:p w:rsidR="00E86584" w:rsidRPr="00E86584" w:rsidRDefault="00E86584" w:rsidP="007963F6">
      <w:pPr>
        <w:numPr>
          <w:ilvl w:val="1"/>
          <w:numId w:val="37"/>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rsidR="00E86584" w:rsidRDefault="00E86584" w:rsidP="001370FE">
      <w:pPr>
        <w:pStyle w:val="ListParagraph"/>
        <w:ind w:left="709" w:hanging="709"/>
        <w:rPr>
          <w:rFonts w:cs="Arial"/>
        </w:rPr>
      </w:pPr>
    </w:p>
    <w:p w:rsidR="00E86584" w:rsidRPr="00E86584" w:rsidRDefault="00E86584" w:rsidP="007963F6">
      <w:pPr>
        <w:numPr>
          <w:ilvl w:val="1"/>
          <w:numId w:val="37"/>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rsidR="00E86584" w:rsidRDefault="00E86584" w:rsidP="001370FE">
      <w:pPr>
        <w:pStyle w:val="ListParagraph"/>
        <w:ind w:left="709" w:hanging="709"/>
        <w:rPr>
          <w:rFonts w:cs="Arial"/>
        </w:rPr>
      </w:pPr>
    </w:p>
    <w:p w:rsidR="00E86584" w:rsidRDefault="001601D1" w:rsidP="007963F6">
      <w:pPr>
        <w:numPr>
          <w:ilvl w:val="1"/>
          <w:numId w:val="37"/>
        </w:numPr>
        <w:autoSpaceDE w:val="0"/>
        <w:autoSpaceDN w:val="0"/>
        <w:adjustRightInd w:val="0"/>
        <w:ind w:left="709" w:hanging="709"/>
        <w:rPr>
          <w:rFonts w:cs="Arial"/>
        </w:rPr>
      </w:pPr>
      <w:r>
        <w:rPr>
          <w:rFonts w:cs="Arial"/>
          <w:b/>
        </w:rPr>
        <w:t>Property / Asset Issues</w:t>
      </w:r>
      <w:r>
        <w:rPr>
          <w:rFonts w:cs="Arial"/>
        </w:rPr>
        <w:t xml:space="preserve"> – None</w:t>
      </w:r>
    </w:p>
    <w:p w:rsidR="000404CF" w:rsidRDefault="000404CF" w:rsidP="001370FE">
      <w:pPr>
        <w:autoSpaceDE w:val="0"/>
        <w:autoSpaceDN w:val="0"/>
        <w:adjustRightInd w:val="0"/>
        <w:ind w:left="709" w:hanging="709"/>
        <w:rPr>
          <w:rFonts w:cs="Arial"/>
          <w:b/>
        </w:rPr>
      </w:pPr>
    </w:p>
    <w:p w:rsidR="009D2E10" w:rsidRDefault="009D2E10" w:rsidP="001370FE">
      <w:pPr>
        <w:autoSpaceDE w:val="0"/>
        <w:autoSpaceDN w:val="0"/>
        <w:adjustRightInd w:val="0"/>
        <w:ind w:left="709" w:hanging="709"/>
        <w:rPr>
          <w:b/>
        </w:rPr>
      </w:pPr>
    </w:p>
    <w:p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rsidR="00EA0621" w:rsidRPr="007432B9" w:rsidRDefault="00EA0621" w:rsidP="001370FE">
      <w:pPr>
        <w:autoSpaceDE w:val="0"/>
        <w:autoSpaceDN w:val="0"/>
        <w:adjustRightInd w:val="0"/>
        <w:ind w:left="709" w:hanging="709"/>
        <w:rPr>
          <w:rFonts w:cs="Arial"/>
          <w:b/>
        </w:rPr>
      </w:pPr>
    </w:p>
    <w:p w:rsidR="00237113" w:rsidRPr="00C673B3" w:rsidRDefault="00612CCC" w:rsidP="001370FE">
      <w:pPr>
        <w:ind w:left="709" w:hanging="709"/>
        <w:rPr>
          <w:rFonts w:cs="Arial"/>
          <w:color w:val="0000FF"/>
        </w:rPr>
      </w:pPr>
      <w:r>
        <w:rPr>
          <w:rFonts w:cs="Arial"/>
          <w:color w:val="000000"/>
        </w:rPr>
        <w:t xml:space="preserve">None. </w:t>
      </w:r>
    </w:p>
    <w:p w:rsidR="000F14B0" w:rsidRDefault="000F14B0" w:rsidP="001370FE">
      <w:pPr>
        <w:autoSpaceDE w:val="0"/>
        <w:autoSpaceDN w:val="0"/>
        <w:adjustRightInd w:val="0"/>
        <w:ind w:left="709" w:hanging="709"/>
        <w:rPr>
          <w:rFonts w:cs="Arial"/>
          <w:b/>
        </w:rPr>
      </w:pPr>
    </w:p>
    <w:p w:rsidR="00E22338" w:rsidRDefault="000F14B0" w:rsidP="003413C8">
      <w:pPr>
        <w:autoSpaceDE w:val="0"/>
        <w:autoSpaceDN w:val="0"/>
        <w:adjustRightInd w:val="0"/>
        <w:rPr>
          <w:b/>
        </w:rPr>
      </w:pPr>
      <w:r>
        <w:rPr>
          <w:rFonts w:cs="Arial"/>
          <w:b/>
        </w:rPr>
        <w:t>List of appendices</w:t>
      </w:r>
      <w:r>
        <w:rPr>
          <w:b/>
        </w:rPr>
        <w:t>:</w:t>
      </w:r>
    </w:p>
    <w:p w:rsidR="008E469C" w:rsidRDefault="008E469C" w:rsidP="003413C8">
      <w:pPr>
        <w:autoSpaceDE w:val="0"/>
        <w:autoSpaceDN w:val="0"/>
        <w:adjustRightInd w:val="0"/>
      </w:pPr>
    </w:p>
    <w:p w:rsidR="00AE26A5" w:rsidRDefault="00AE26A5" w:rsidP="00AD68DE">
      <w:pPr>
        <w:autoSpaceDE w:val="0"/>
        <w:autoSpaceDN w:val="0"/>
        <w:adjustRightInd w:val="0"/>
        <w:rPr>
          <w:rFonts w:cs="Arial"/>
        </w:rPr>
      </w:pPr>
      <w:r w:rsidRPr="00F019EB">
        <w:rPr>
          <w:rFonts w:cs="Arial"/>
        </w:rPr>
        <w:t xml:space="preserve">Appendix </w:t>
      </w:r>
      <w:r>
        <w:rPr>
          <w:rFonts w:cs="Arial"/>
        </w:rPr>
        <w:t>A</w:t>
      </w:r>
      <w:r w:rsidR="00101DD7">
        <w:rPr>
          <w:rFonts w:cs="Arial"/>
        </w:rPr>
        <w:t xml:space="preserve"> (i) and (ii)</w:t>
      </w:r>
      <w:r w:rsidRPr="00F019EB">
        <w:rPr>
          <w:rFonts w:cs="Arial"/>
        </w:rPr>
        <w:t xml:space="preserve"> – </w:t>
      </w:r>
      <w:r w:rsidR="005527CD">
        <w:rPr>
          <w:rFonts w:cs="Arial"/>
        </w:rPr>
        <w:t>School Forum Membership</w:t>
      </w:r>
    </w:p>
    <w:p w:rsidR="00AE26A5" w:rsidRDefault="00AE26A5" w:rsidP="00AD68DE">
      <w:pPr>
        <w:autoSpaceDE w:val="0"/>
        <w:autoSpaceDN w:val="0"/>
        <w:adjustRightInd w:val="0"/>
        <w:rPr>
          <w:rFonts w:cs="Arial"/>
        </w:rPr>
      </w:pPr>
    </w:p>
    <w:p w:rsidR="00AD68DE" w:rsidRPr="00F019EB" w:rsidRDefault="003617A5" w:rsidP="00AD68DE">
      <w:pPr>
        <w:autoSpaceDE w:val="0"/>
        <w:autoSpaceDN w:val="0"/>
        <w:adjustRightInd w:val="0"/>
        <w:rPr>
          <w:rFonts w:cs="Arial"/>
        </w:rPr>
      </w:pPr>
      <w:r w:rsidRPr="00F019EB">
        <w:rPr>
          <w:rFonts w:cs="Arial"/>
        </w:rPr>
        <w:t xml:space="preserve">Appendix </w:t>
      </w:r>
      <w:r w:rsidR="00AE26A5">
        <w:rPr>
          <w:rFonts w:cs="Arial"/>
        </w:rPr>
        <w:t>B</w:t>
      </w:r>
      <w:r w:rsidR="00AD68DE" w:rsidRPr="00F019EB">
        <w:rPr>
          <w:rFonts w:cs="Arial"/>
        </w:rPr>
        <w:t xml:space="preserve"> – </w:t>
      </w:r>
      <w:r w:rsidR="00152F17">
        <w:rPr>
          <w:rFonts w:cs="Arial"/>
        </w:rPr>
        <w:t>School</w:t>
      </w:r>
      <w:r w:rsidR="00101DD7">
        <w:rPr>
          <w:rFonts w:cs="Arial"/>
        </w:rPr>
        <w:t>s Reserve Balances</w:t>
      </w:r>
    </w:p>
    <w:p w:rsidR="003617A5" w:rsidRPr="008317D4" w:rsidRDefault="003617A5" w:rsidP="003617A5">
      <w:pPr>
        <w:rPr>
          <w:rFonts w:cs="Arial"/>
          <w:highlight w:val="yellow"/>
        </w:rPr>
      </w:pPr>
    </w:p>
    <w:p w:rsidR="003617A5" w:rsidRDefault="0067198E" w:rsidP="003617A5">
      <w:pPr>
        <w:rPr>
          <w:rFonts w:cs="Arial"/>
        </w:rPr>
      </w:pPr>
      <w:r w:rsidRPr="00F019EB">
        <w:rPr>
          <w:rFonts w:cs="Arial"/>
        </w:rPr>
        <w:t xml:space="preserve">Appendix </w:t>
      </w:r>
      <w:r w:rsidR="00AE26A5">
        <w:rPr>
          <w:rFonts w:cs="Arial"/>
        </w:rPr>
        <w:t>C</w:t>
      </w:r>
      <w:r w:rsidRPr="00F019EB">
        <w:rPr>
          <w:rFonts w:cs="Arial"/>
        </w:rPr>
        <w:t xml:space="preserve"> –</w:t>
      </w:r>
      <w:r w:rsidR="003617A5" w:rsidRPr="00F019EB">
        <w:rPr>
          <w:rFonts w:cs="Arial"/>
        </w:rPr>
        <w:t xml:space="preserve"> </w:t>
      </w:r>
      <w:r w:rsidR="00101DD7">
        <w:rPr>
          <w:rFonts w:cs="Arial"/>
        </w:rPr>
        <w:t>Central School Services Block 2018 -19</w:t>
      </w:r>
    </w:p>
    <w:p w:rsidR="009C699B" w:rsidRDefault="009C699B" w:rsidP="003617A5">
      <w:pPr>
        <w:rPr>
          <w:rFonts w:cs="Arial"/>
        </w:rPr>
      </w:pPr>
    </w:p>
    <w:p w:rsidR="003617A5" w:rsidRDefault="00AE26A5" w:rsidP="003617A5">
      <w:pPr>
        <w:rPr>
          <w:rFonts w:cs="Arial"/>
        </w:rPr>
      </w:pPr>
      <w:r>
        <w:rPr>
          <w:rFonts w:cs="Arial"/>
          <w:bCs/>
        </w:rPr>
        <w:t>Appendi</w:t>
      </w:r>
      <w:r w:rsidR="006459A5">
        <w:rPr>
          <w:rFonts w:cs="Arial"/>
          <w:bCs/>
        </w:rPr>
        <w:t>ces</w:t>
      </w:r>
      <w:r>
        <w:rPr>
          <w:rFonts w:cs="Arial"/>
          <w:bCs/>
        </w:rPr>
        <w:t xml:space="preserve"> </w:t>
      </w:r>
      <w:r w:rsidR="004A0844">
        <w:rPr>
          <w:rFonts w:cs="Arial"/>
          <w:bCs/>
        </w:rPr>
        <w:t>D</w:t>
      </w:r>
      <w:r w:rsidR="006459A5">
        <w:rPr>
          <w:rFonts w:cs="Arial"/>
          <w:bCs/>
        </w:rPr>
        <w:t xml:space="preserve">(i) and </w:t>
      </w:r>
      <w:r w:rsidR="004A0844">
        <w:rPr>
          <w:rFonts w:cs="Arial"/>
          <w:bCs/>
        </w:rPr>
        <w:t>D</w:t>
      </w:r>
      <w:r w:rsidR="006459A5">
        <w:rPr>
          <w:rFonts w:cs="Arial"/>
          <w:bCs/>
        </w:rPr>
        <w:t>(ii)</w:t>
      </w:r>
      <w:r w:rsidR="003617A5" w:rsidRPr="00F019EB">
        <w:rPr>
          <w:rFonts w:cs="Arial"/>
          <w:bCs/>
        </w:rPr>
        <w:t xml:space="preserve"> </w:t>
      </w:r>
      <w:r w:rsidR="0067198E" w:rsidRPr="00F019EB">
        <w:rPr>
          <w:rFonts w:cs="Arial"/>
          <w:bCs/>
        </w:rPr>
        <w:t>–</w:t>
      </w:r>
      <w:r w:rsidR="003617A5" w:rsidRPr="00F019EB">
        <w:rPr>
          <w:rFonts w:cs="Arial"/>
          <w:bCs/>
        </w:rPr>
        <w:t xml:space="preserve"> </w:t>
      </w:r>
      <w:r w:rsidR="00F019EB" w:rsidRPr="00F019EB">
        <w:rPr>
          <w:rFonts w:cs="Arial"/>
        </w:rPr>
        <w:t>Schools Facing Financial Difficulties Update</w:t>
      </w:r>
    </w:p>
    <w:p w:rsidR="00CE4060" w:rsidRDefault="00CE4060" w:rsidP="003617A5">
      <w:pPr>
        <w:rPr>
          <w:rFonts w:cs="Arial"/>
        </w:rPr>
      </w:pPr>
    </w:p>
    <w:p w:rsidR="00AC424D" w:rsidRPr="008317D4" w:rsidRDefault="00AC424D" w:rsidP="003413C8">
      <w:pPr>
        <w:autoSpaceDE w:val="0"/>
        <w:autoSpaceDN w:val="0"/>
        <w:adjustRightInd w:val="0"/>
        <w:rPr>
          <w:highlight w:val="yellow"/>
        </w:rPr>
      </w:pPr>
    </w:p>
    <w:p w:rsidR="000365CD" w:rsidRDefault="000365CD" w:rsidP="003413C8">
      <w:pPr>
        <w:autoSpaceDE w:val="0"/>
        <w:autoSpaceDN w:val="0"/>
        <w:adjustRightInd w:val="0"/>
      </w:pPr>
    </w:p>
    <w:sectPr w:rsidR="000365CD" w:rsidSect="00CB4043">
      <w:headerReference w:type="even" r:id="rId14"/>
      <w:headerReference w:type="default" r:id="rId15"/>
      <w:footerReference w:type="even" r:id="rId16"/>
      <w:footerReference w:type="default" r:id="rId17"/>
      <w:headerReference w:type="first" r:id="rId18"/>
      <w:footerReference w:type="first" r:id="rId19"/>
      <w:pgSz w:w="11909" w:h="16834" w:code="9"/>
      <w:pgMar w:top="709"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95" w:rsidRDefault="00611495">
      <w:r>
        <w:separator/>
      </w:r>
    </w:p>
  </w:endnote>
  <w:endnote w:type="continuationSeparator" w:id="0">
    <w:p w:rsidR="00611495" w:rsidRDefault="0061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Footer"/>
      <w:jc w:val="center"/>
    </w:pPr>
    <w:r>
      <w:fldChar w:fldCharType="begin"/>
    </w:r>
    <w:r>
      <w:instrText xml:space="preserve"> PAGE   \* MERGEFORMAT </w:instrText>
    </w:r>
    <w:r>
      <w:fldChar w:fldCharType="separate"/>
    </w:r>
    <w:r w:rsidR="007E7399">
      <w:rPr>
        <w:noProof/>
      </w:rPr>
      <w:t>2</w:t>
    </w:r>
    <w:r>
      <w:rPr>
        <w:noProof/>
      </w:rPr>
      <w:fldChar w:fldCharType="end"/>
    </w:r>
  </w:p>
  <w:p w:rsidR="00DB6311" w:rsidRDefault="00DB6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95" w:rsidRDefault="00611495">
      <w:r>
        <w:separator/>
      </w:r>
    </w:p>
  </w:footnote>
  <w:footnote w:type="continuationSeparator" w:id="0">
    <w:p w:rsidR="00611495" w:rsidRDefault="0061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11" w:rsidRDefault="00DB6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D6"/>
    <w:multiLevelType w:val="hybridMultilevel"/>
    <w:tmpl w:val="DAC0ADD0"/>
    <w:lvl w:ilvl="0" w:tplc="8FD8C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5A42"/>
    <w:multiLevelType w:val="multilevel"/>
    <w:tmpl w:val="D7C40CAC"/>
    <w:lvl w:ilvl="0">
      <w:start w:val="1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FD3D56"/>
    <w:multiLevelType w:val="multilevel"/>
    <w:tmpl w:val="B62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74AFF"/>
    <w:multiLevelType w:val="hybridMultilevel"/>
    <w:tmpl w:val="C7D01228"/>
    <w:lvl w:ilvl="0" w:tplc="DBB8BA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C855380"/>
    <w:multiLevelType w:val="multilevel"/>
    <w:tmpl w:val="E996BC2A"/>
    <w:lvl w:ilvl="0">
      <w:start w:val="7"/>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8575DF2"/>
    <w:multiLevelType w:val="hybridMultilevel"/>
    <w:tmpl w:val="230E53F2"/>
    <w:lvl w:ilvl="0" w:tplc="706EB7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A0037"/>
    <w:multiLevelType w:val="multilevel"/>
    <w:tmpl w:val="E800ED6E"/>
    <w:lvl w:ilvl="0">
      <w:start w:val="11"/>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DA42FCC"/>
    <w:multiLevelType w:val="multilevel"/>
    <w:tmpl w:val="D79CFDAA"/>
    <w:styleLink w:val="LFO9"/>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C30A97"/>
    <w:multiLevelType w:val="hybridMultilevel"/>
    <w:tmpl w:val="EEF27F58"/>
    <w:lvl w:ilvl="0" w:tplc="41141124">
      <w:start w:val="10"/>
      <w:numFmt w:val="lowerRoman"/>
      <w:lvlText w:val="(%1)"/>
      <w:lvlJc w:val="left"/>
      <w:pPr>
        <w:ind w:left="1080" w:hanging="72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B302D"/>
    <w:multiLevelType w:val="multilevel"/>
    <w:tmpl w:val="B0AAF1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671CE7"/>
    <w:multiLevelType w:val="multilevel"/>
    <w:tmpl w:val="F23EEB1A"/>
    <w:lvl w:ilvl="0">
      <w:start w:val="1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DF5B50"/>
    <w:multiLevelType w:val="multilevel"/>
    <w:tmpl w:val="62BA1742"/>
    <w:lvl w:ilvl="0">
      <w:start w:val="1"/>
      <w:numFmt w:val="decimal"/>
      <w:lvlText w:val="%1."/>
      <w:lvlJc w:val="left"/>
      <w:pPr>
        <w:ind w:left="1430"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36ED521C"/>
    <w:multiLevelType w:val="hybridMultilevel"/>
    <w:tmpl w:val="1AE4DC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CA4749"/>
    <w:multiLevelType w:val="multilevel"/>
    <w:tmpl w:val="0C883B9A"/>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63C7D"/>
    <w:multiLevelType w:val="multilevel"/>
    <w:tmpl w:val="DCC2A36E"/>
    <w:lvl w:ilvl="0">
      <w:start w:val="10"/>
      <w:numFmt w:val="decimal"/>
      <w:lvlText w:val="%1"/>
      <w:lvlJc w:val="left"/>
      <w:pPr>
        <w:ind w:left="749" w:hanging="465"/>
      </w:pPr>
      <w:rPr>
        <w:rFonts w:hint="default"/>
        <w:b/>
      </w:rPr>
    </w:lvl>
    <w:lvl w:ilvl="1">
      <w:start w:val="1"/>
      <w:numFmt w:val="decimal"/>
      <w:lvlText w:val="%1.%2"/>
      <w:lvlJc w:val="left"/>
      <w:pPr>
        <w:ind w:left="1743" w:hanging="465"/>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78"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558" w:hanging="1440"/>
      </w:pPr>
      <w:rPr>
        <w:rFonts w:hint="default"/>
      </w:rPr>
    </w:lvl>
    <w:lvl w:ilvl="6">
      <w:start w:val="1"/>
      <w:numFmt w:val="decimal"/>
      <w:lvlText w:val="%1.%2.%3.%4.%5.%6.%7"/>
      <w:lvlJc w:val="left"/>
      <w:pPr>
        <w:ind w:left="6268" w:hanging="1440"/>
      </w:pPr>
      <w:rPr>
        <w:rFonts w:hint="default"/>
      </w:rPr>
    </w:lvl>
    <w:lvl w:ilvl="7">
      <w:start w:val="1"/>
      <w:numFmt w:val="decimal"/>
      <w:lvlText w:val="%1.%2.%3.%4.%5.%6.%7.%8"/>
      <w:lvlJc w:val="left"/>
      <w:pPr>
        <w:ind w:left="7338" w:hanging="1800"/>
      </w:pPr>
      <w:rPr>
        <w:rFonts w:hint="default"/>
      </w:rPr>
    </w:lvl>
    <w:lvl w:ilvl="8">
      <w:start w:val="1"/>
      <w:numFmt w:val="decimal"/>
      <w:lvlText w:val="%1.%2.%3.%4.%5.%6.%7.%8.%9"/>
      <w:lvlJc w:val="left"/>
      <w:pPr>
        <w:ind w:left="8048" w:hanging="1800"/>
      </w:pPr>
      <w:rPr>
        <w:rFonts w:hint="default"/>
      </w:rPr>
    </w:lvl>
  </w:abstractNum>
  <w:abstractNum w:abstractNumId="15" w15:restartNumberingAfterBreak="0">
    <w:nsid w:val="3EDD5515"/>
    <w:multiLevelType w:val="hybridMultilevel"/>
    <w:tmpl w:val="B286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67B5C"/>
    <w:multiLevelType w:val="hybridMultilevel"/>
    <w:tmpl w:val="C798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FC7BB8"/>
    <w:multiLevelType w:val="hybridMultilevel"/>
    <w:tmpl w:val="20C813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4022140"/>
    <w:multiLevelType w:val="hybridMultilevel"/>
    <w:tmpl w:val="1272DF48"/>
    <w:lvl w:ilvl="0" w:tplc="69EAC152">
      <w:start w:val="7"/>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5AAB21C8"/>
    <w:multiLevelType w:val="hybridMultilevel"/>
    <w:tmpl w:val="B51A53F4"/>
    <w:lvl w:ilvl="0" w:tplc="A2C621D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3E5F6B"/>
    <w:multiLevelType w:val="hybridMultilevel"/>
    <w:tmpl w:val="EE082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5724F9"/>
    <w:multiLevelType w:val="multilevel"/>
    <w:tmpl w:val="1EA2992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C93387"/>
    <w:multiLevelType w:val="multilevel"/>
    <w:tmpl w:val="2D161302"/>
    <w:lvl w:ilvl="0">
      <w:start w:val="13"/>
      <w:numFmt w:val="decimal"/>
      <w:lvlText w:val="%1."/>
      <w:lvlJc w:val="left"/>
      <w:pPr>
        <w:ind w:left="360" w:hanging="360"/>
      </w:pPr>
      <w:rPr>
        <w:rFonts w:hint="default"/>
        <w:b/>
        <w:color w:val="auto"/>
        <w:u w:val="none"/>
      </w:rPr>
    </w:lvl>
    <w:lvl w:ilvl="1">
      <w:start w:val="1"/>
      <w:numFmt w:val="decimal"/>
      <w:isLgl/>
      <w:lvlText w:val="%1.%2"/>
      <w:lvlJc w:val="left"/>
      <w:pPr>
        <w:ind w:left="1738" w:hanging="460"/>
      </w:pPr>
      <w:rPr>
        <w:rFonts w:hint="default"/>
        <w:b/>
      </w:rPr>
    </w:lvl>
    <w:lvl w:ilvl="2">
      <w:start w:val="1"/>
      <w:numFmt w:val="decimal"/>
      <w:isLgl/>
      <w:lvlText w:val="%1.%2.%3"/>
      <w:lvlJc w:val="left"/>
      <w:pPr>
        <w:ind w:left="3276" w:hanging="720"/>
      </w:pPr>
      <w:rPr>
        <w:rFonts w:hint="default"/>
        <w:b/>
      </w:rPr>
    </w:lvl>
    <w:lvl w:ilvl="3">
      <w:start w:val="1"/>
      <w:numFmt w:val="decimal"/>
      <w:isLgl/>
      <w:lvlText w:val="%1.%2.%3.%4"/>
      <w:lvlJc w:val="left"/>
      <w:pPr>
        <w:ind w:left="4914" w:hanging="1080"/>
      </w:pPr>
      <w:rPr>
        <w:rFonts w:hint="default"/>
        <w:b/>
      </w:rPr>
    </w:lvl>
    <w:lvl w:ilvl="4">
      <w:start w:val="1"/>
      <w:numFmt w:val="decimal"/>
      <w:isLgl/>
      <w:lvlText w:val="%1.%2.%3.%4.%5"/>
      <w:lvlJc w:val="left"/>
      <w:pPr>
        <w:ind w:left="6192" w:hanging="1080"/>
      </w:pPr>
      <w:rPr>
        <w:rFonts w:hint="default"/>
        <w:b/>
      </w:rPr>
    </w:lvl>
    <w:lvl w:ilvl="5">
      <w:start w:val="1"/>
      <w:numFmt w:val="decimal"/>
      <w:isLgl/>
      <w:lvlText w:val="%1.%2.%3.%4.%5.%6"/>
      <w:lvlJc w:val="left"/>
      <w:pPr>
        <w:ind w:left="7830" w:hanging="1440"/>
      </w:pPr>
      <w:rPr>
        <w:rFonts w:hint="default"/>
        <w:b/>
      </w:rPr>
    </w:lvl>
    <w:lvl w:ilvl="6">
      <w:start w:val="1"/>
      <w:numFmt w:val="decimal"/>
      <w:isLgl/>
      <w:lvlText w:val="%1.%2.%3.%4.%5.%6.%7"/>
      <w:lvlJc w:val="left"/>
      <w:pPr>
        <w:ind w:left="9108" w:hanging="1440"/>
      </w:pPr>
      <w:rPr>
        <w:rFonts w:hint="default"/>
        <w:b/>
      </w:rPr>
    </w:lvl>
    <w:lvl w:ilvl="7">
      <w:start w:val="1"/>
      <w:numFmt w:val="decimal"/>
      <w:isLgl/>
      <w:lvlText w:val="%1.%2.%3.%4.%5.%6.%7.%8"/>
      <w:lvlJc w:val="left"/>
      <w:pPr>
        <w:ind w:left="10746" w:hanging="1800"/>
      </w:pPr>
      <w:rPr>
        <w:rFonts w:hint="default"/>
        <w:b/>
      </w:rPr>
    </w:lvl>
    <w:lvl w:ilvl="8">
      <w:start w:val="1"/>
      <w:numFmt w:val="decimal"/>
      <w:isLgl/>
      <w:lvlText w:val="%1.%2.%3.%4.%5.%6.%7.%8.%9"/>
      <w:lvlJc w:val="left"/>
      <w:pPr>
        <w:ind w:left="12024" w:hanging="1800"/>
      </w:pPr>
      <w:rPr>
        <w:rFonts w:hint="default"/>
        <w:b/>
      </w:rPr>
    </w:lvl>
  </w:abstractNum>
  <w:abstractNum w:abstractNumId="25" w15:restartNumberingAfterBreak="0">
    <w:nsid w:val="5FDC3944"/>
    <w:multiLevelType w:val="multilevel"/>
    <w:tmpl w:val="F97458BE"/>
    <w:lvl w:ilvl="0">
      <w:start w:val="5"/>
      <w:numFmt w:val="decimal"/>
      <w:lvlText w:val="%1"/>
      <w:lvlJc w:val="left"/>
      <w:pPr>
        <w:ind w:left="720" w:hanging="360"/>
      </w:pPr>
      <w:rPr>
        <w:rFonts w:hint="default"/>
      </w:rPr>
    </w:lvl>
    <w:lvl w:ilvl="1">
      <w:start w:val="2"/>
      <w:numFmt w:val="decimal"/>
      <w:isLgl/>
      <w:lvlText w:val="%1.%2"/>
      <w:lvlJc w:val="left"/>
      <w:pPr>
        <w:ind w:left="1130" w:hanging="4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64427E8D"/>
    <w:multiLevelType w:val="hybridMultilevel"/>
    <w:tmpl w:val="6062EC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9B2D5A"/>
    <w:multiLevelType w:val="hybridMultilevel"/>
    <w:tmpl w:val="672A3504"/>
    <w:lvl w:ilvl="0" w:tplc="2F60F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B0347B"/>
    <w:multiLevelType w:val="multilevel"/>
    <w:tmpl w:val="AD4E3D7C"/>
    <w:lvl w:ilvl="0">
      <w:start w:val="6"/>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269" w:hanging="1800"/>
      </w:pPr>
      <w:rPr>
        <w:rFonts w:hint="default"/>
      </w:rPr>
    </w:lvl>
  </w:abstractNum>
  <w:abstractNum w:abstractNumId="29" w15:restartNumberingAfterBreak="0">
    <w:nsid w:val="6FA13420"/>
    <w:multiLevelType w:val="multilevel"/>
    <w:tmpl w:val="C4A44C1C"/>
    <w:lvl w:ilvl="0">
      <w:start w:val="11"/>
      <w:numFmt w:val="decimal"/>
      <w:lvlText w:val="%1"/>
      <w:lvlJc w:val="left"/>
      <w:pPr>
        <w:ind w:left="660" w:hanging="660"/>
      </w:pPr>
      <w:rPr>
        <w:rFonts w:hint="default"/>
      </w:rPr>
    </w:lvl>
    <w:lvl w:ilvl="1">
      <w:start w:val="1"/>
      <w:numFmt w:val="decimal"/>
      <w:lvlText w:val="%1.%2"/>
      <w:lvlJc w:val="left"/>
      <w:pPr>
        <w:ind w:left="1370" w:hanging="660"/>
      </w:pPr>
      <w:rPr>
        <w:rFonts w:hint="default"/>
      </w:rPr>
    </w:lvl>
    <w:lvl w:ilvl="2">
      <w:start w:val="2"/>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3026278"/>
    <w:multiLevelType w:val="multilevel"/>
    <w:tmpl w:val="12EAEE2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56E3FCD"/>
    <w:multiLevelType w:val="hybridMultilevel"/>
    <w:tmpl w:val="DAC0ADD0"/>
    <w:lvl w:ilvl="0" w:tplc="8FD8C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F2B9D"/>
    <w:multiLevelType w:val="hybridMultilevel"/>
    <w:tmpl w:val="DAC0ADD0"/>
    <w:lvl w:ilvl="0" w:tplc="8FD8C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05F2C"/>
    <w:multiLevelType w:val="hybridMultilevel"/>
    <w:tmpl w:val="D8A4C9E8"/>
    <w:lvl w:ilvl="0" w:tplc="CA14DF4A">
      <w:start w:val="1"/>
      <w:numFmt w:val="lowerRoman"/>
      <w:lvlText w:val="(%1)"/>
      <w:lvlJc w:val="left"/>
      <w:pPr>
        <w:tabs>
          <w:tab w:val="num" w:pos="1474"/>
        </w:tabs>
        <w:ind w:left="1418"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D54B5"/>
    <w:multiLevelType w:val="multilevel"/>
    <w:tmpl w:val="E3EEE5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97253F"/>
    <w:multiLevelType w:val="hybridMultilevel"/>
    <w:tmpl w:val="1272DF48"/>
    <w:lvl w:ilvl="0" w:tplc="69EAC152">
      <w:start w:val="7"/>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FD27E71"/>
    <w:multiLevelType w:val="multilevel"/>
    <w:tmpl w:val="E43A4A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17"/>
  </w:num>
  <w:num w:numId="3">
    <w:abstractNumId w:val="33"/>
  </w:num>
  <w:num w:numId="4">
    <w:abstractNumId w:val="11"/>
  </w:num>
  <w:num w:numId="5">
    <w:abstractNumId w:val="25"/>
  </w:num>
  <w:num w:numId="6">
    <w:abstractNumId w:val="14"/>
  </w:num>
  <w:num w:numId="7">
    <w:abstractNumId w:val="10"/>
  </w:num>
  <w:num w:numId="8">
    <w:abstractNumId w:val="29"/>
  </w:num>
  <w:num w:numId="9">
    <w:abstractNumId w:val="8"/>
  </w:num>
  <w:num w:numId="10">
    <w:abstractNumId w:val="26"/>
  </w:num>
  <w:num w:numId="11">
    <w:abstractNumId w:val="12"/>
  </w:num>
  <w:num w:numId="12">
    <w:abstractNumId w:val="28"/>
  </w:num>
  <w:num w:numId="13">
    <w:abstractNumId w:val="3"/>
  </w:num>
  <w:num w:numId="14">
    <w:abstractNumId w:val="15"/>
  </w:num>
  <w:num w:numId="15">
    <w:abstractNumId w:val="1"/>
  </w:num>
  <w:num w:numId="16">
    <w:abstractNumId w:val="20"/>
  </w:num>
  <w:num w:numId="17">
    <w:abstractNumId w:val="35"/>
  </w:num>
  <w:num w:numId="18">
    <w:abstractNumId w:val="16"/>
  </w:num>
  <w:num w:numId="19">
    <w:abstractNumId w:val="22"/>
  </w:num>
  <w:num w:numId="20">
    <w:abstractNumId w:val="4"/>
  </w:num>
  <w:num w:numId="21">
    <w:abstractNumId w:val="19"/>
  </w:num>
  <w:num w:numId="22">
    <w:abstractNumId w:val="2"/>
  </w:num>
  <w:num w:numId="23">
    <w:abstractNumId w:val="7"/>
  </w:num>
  <w:num w:numId="24">
    <w:abstractNumId w:val="31"/>
  </w:num>
  <w:num w:numId="25">
    <w:abstractNumId w:val="36"/>
  </w:num>
  <w:num w:numId="26">
    <w:abstractNumId w:val="9"/>
  </w:num>
  <w:num w:numId="27">
    <w:abstractNumId w:val="23"/>
  </w:num>
  <w:num w:numId="28">
    <w:abstractNumId w:val="34"/>
  </w:num>
  <w:num w:numId="29">
    <w:abstractNumId w:val="5"/>
  </w:num>
  <w:num w:numId="30">
    <w:abstractNumId w:val="21"/>
  </w:num>
  <w:num w:numId="31">
    <w:abstractNumId w:val="32"/>
  </w:num>
  <w:num w:numId="32">
    <w:abstractNumId w:val="0"/>
  </w:num>
  <w:num w:numId="33">
    <w:abstractNumId w:val="30"/>
  </w:num>
  <w:num w:numId="34">
    <w:abstractNumId w:val="27"/>
  </w:num>
  <w:num w:numId="35">
    <w:abstractNumId w:val="13"/>
  </w:num>
  <w:num w:numId="36">
    <w:abstractNumId w:val="6"/>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FF"/>
    <w:rsid w:val="00000D42"/>
    <w:rsid w:val="00001B85"/>
    <w:rsid w:val="00005B71"/>
    <w:rsid w:val="00006DA9"/>
    <w:rsid w:val="00006E58"/>
    <w:rsid w:val="00017940"/>
    <w:rsid w:val="00021BED"/>
    <w:rsid w:val="0002449A"/>
    <w:rsid w:val="000249EC"/>
    <w:rsid w:val="0002531C"/>
    <w:rsid w:val="00025EA0"/>
    <w:rsid w:val="00026914"/>
    <w:rsid w:val="000305D9"/>
    <w:rsid w:val="00030BA9"/>
    <w:rsid w:val="000310B7"/>
    <w:rsid w:val="000318AC"/>
    <w:rsid w:val="0003456B"/>
    <w:rsid w:val="00034678"/>
    <w:rsid w:val="00034AAA"/>
    <w:rsid w:val="00036181"/>
    <w:rsid w:val="000365CD"/>
    <w:rsid w:val="000404CF"/>
    <w:rsid w:val="000413B1"/>
    <w:rsid w:val="00042094"/>
    <w:rsid w:val="00043B61"/>
    <w:rsid w:val="000477DA"/>
    <w:rsid w:val="00051F08"/>
    <w:rsid w:val="000543F5"/>
    <w:rsid w:val="00063181"/>
    <w:rsid w:val="00063BBE"/>
    <w:rsid w:val="0007226F"/>
    <w:rsid w:val="00072940"/>
    <w:rsid w:val="00072E7B"/>
    <w:rsid w:val="00073027"/>
    <w:rsid w:val="000731DC"/>
    <w:rsid w:val="00075390"/>
    <w:rsid w:val="00076174"/>
    <w:rsid w:val="000820BD"/>
    <w:rsid w:val="000839E0"/>
    <w:rsid w:val="00084F06"/>
    <w:rsid w:val="0008576E"/>
    <w:rsid w:val="00092F07"/>
    <w:rsid w:val="00094439"/>
    <w:rsid w:val="00095D10"/>
    <w:rsid w:val="000968F4"/>
    <w:rsid w:val="00097034"/>
    <w:rsid w:val="000973FA"/>
    <w:rsid w:val="00097906"/>
    <w:rsid w:val="000A0018"/>
    <w:rsid w:val="000A457C"/>
    <w:rsid w:val="000A5CEC"/>
    <w:rsid w:val="000A66D7"/>
    <w:rsid w:val="000A727E"/>
    <w:rsid w:val="000A78DD"/>
    <w:rsid w:val="000B0001"/>
    <w:rsid w:val="000B028B"/>
    <w:rsid w:val="000B09D5"/>
    <w:rsid w:val="000B7DB1"/>
    <w:rsid w:val="000C2565"/>
    <w:rsid w:val="000C5C0F"/>
    <w:rsid w:val="000C62C5"/>
    <w:rsid w:val="000C7CAA"/>
    <w:rsid w:val="000D030E"/>
    <w:rsid w:val="000D2F6E"/>
    <w:rsid w:val="000D4FEE"/>
    <w:rsid w:val="000D5779"/>
    <w:rsid w:val="000D5787"/>
    <w:rsid w:val="000E20BD"/>
    <w:rsid w:val="000E36F3"/>
    <w:rsid w:val="000E5DAE"/>
    <w:rsid w:val="000E60CD"/>
    <w:rsid w:val="000F0F38"/>
    <w:rsid w:val="000F14B0"/>
    <w:rsid w:val="000F281E"/>
    <w:rsid w:val="00101183"/>
    <w:rsid w:val="001015A7"/>
    <w:rsid w:val="00101DD7"/>
    <w:rsid w:val="00103630"/>
    <w:rsid w:val="001060BA"/>
    <w:rsid w:val="001102BC"/>
    <w:rsid w:val="0011038C"/>
    <w:rsid w:val="00112F3D"/>
    <w:rsid w:val="0011505E"/>
    <w:rsid w:val="001155E5"/>
    <w:rsid w:val="00115B41"/>
    <w:rsid w:val="00117262"/>
    <w:rsid w:val="0012088B"/>
    <w:rsid w:val="00121534"/>
    <w:rsid w:val="0012179E"/>
    <w:rsid w:val="00124287"/>
    <w:rsid w:val="0012795D"/>
    <w:rsid w:val="0013164F"/>
    <w:rsid w:val="00131E66"/>
    <w:rsid w:val="00133834"/>
    <w:rsid w:val="001369E7"/>
    <w:rsid w:val="001370FE"/>
    <w:rsid w:val="00140325"/>
    <w:rsid w:val="00141508"/>
    <w:rsid w:val="00142811"/>
    <w:rsid w:val="00146296"/>
    <w:rsid w:val="00150277"/>
    <w:rsid w:val="00152F17"/>
    <w:rsid w:val="00155026"/>
    <w:rsid w:val="00155F07"/>
    <w:rsid w:val="001601D1"/>
    <w:rsid w:val="00161DD3"/>
    <w:rsid w:val="001623F6"/>
    <w:rsid w:val="00162725"/>
    <w:rsid w:val="00171AE6"/>
    <w:rsid w:val="001728A7"/>
    <w:rsid w:val="00173DC9"/>
    <w:rsid w:val="00176AB6"/>
    <w:rsid w:val="00177074"/>
    <w:rsid w:val="001813F5"/>
    <w:rsid w:val="0018172B"/>
    <w:rsid w:val="00181EE9"/>
    <w:rsid w:val="001874DF"/>
    <w:rsid w:val="00191405"/>
    <w:rsid w:val="00191604"/>
    <w:rsid w:val="00191E7E"/>
    <w:rsid w:val="00191E9D"/>
    <w:rsid w:val="0019228B"/>
    <w:rsid w:val="00193BDC"/>
    <w:rsid w:val="001942EC"/>
    <w:rsid w:val="001978A2"/>
    <w:rsid w:val="001A0194"/>
    <w:rsid w:val="001A0771"/>
    <w:rsid w:val="001A0943"/>
    <w:rsid w:val="001A2041"/>
    <w:rsid w:val="001A2280"/>
    <w:rsid w:val="001A3C41"/>
    <w:rsid w:val="001A668C"/>
    <w:rsid w:val="001A6D91"/>
    <w:rsid w:val="001A7C8F"/>
    <w:rsid w:val="001B0E4B"/>
    <w:rsid w:val="001B12BF"/>
    <w:rsid w:val="001B2F12"/>
    <w:rsid w:val="001B47A6"/>
    <w:rsid w:val="001B56CC"/>
    <w:rsid w:val="001B6318"/>
    <w:rsid w:val="001B6C75"/>
    <w:rsid w:val="001C16B5"/>
    <w:rsid w:val="001C1870"/>
    <w:rsid w:val="001C42BE"/>
    <w:rsid w:val="001C7931"/>
    <w:rsid w:val="001D0341"/>
    <w:rsid w:val="001D06E1"/>
    <w:rsid w:val="001D2EF5"/>
    <w:rsid w:val="001E0514"/>
    <w:rsid w:val="001E0ABC"/>
    <w:rsid w:val="001E0ED9"/>
    <w:rsid w:val="001E5AFB"/>
    <w:rsid w:val="001E5BD2"/>
    <w:rsid w:val="001E6002"/>
    <w:rsid w:val="001E7623"/>
    <w:rsid w:val="001F065B"/>
    <w:rsid w:val="001F0959"/>
    <w:rsid w:val="001F1E59"/>
    <w:rsid w:val="001F208A"/>
    <w:rsid w:val="001F2368"/>
    <w:rsid w:val="001F77B8"/>
    <w:rsid w:val="00202476"/>
    <w:rsid w:val="002024AD"/>
    <w:rsid w:val="00204510"/>
    <w:rsid w:val="00205671"/>
    <w:rsid w:val="00206B8C"/>
    <w:rsid w:val="002159A3"/>
    <w:rsid w:val="0021611D"/>
    <w:rsid w:val="00216360"/>
    <w:rsid w:val="0021756D"/>
    <w:rsid w:val="00217A23"/>
    <w:rsid w:val="002201F0"/>
    <w:rsid w:val="00222621"/>
    <w:rsid w:val="00223F5E"/>
    <w:rsid w:val="00224282"/>
    <w:rsid w:val="00225E0C"/>
    <w:rsid w:val="002265B9"/>
    <w:rsid w:val="00230EA1"/>
    <w:rsid w:val="00237113"/>
    <w:rsid w:val="0024162A"/>
    <w:rsid w:val="00242390"/>
    <w:rsid w:val="00242399"/>
    <w:rsid w:val="00243460"/>
    <w:rsid w:val="002473FC"/>
    <w:rsid w:val="00247A48"/>
    <w:rsid w:val="00250D54"/>
    <w:rsid w:val="00251787"/>
    <w:rsid w:val="0027293D"/>
    <w:rsid w:val="0027449F"/>
    <w:rsid w:val="0027453F"/>
    <w:rsid w:val="00275D76"/>
    <w:rsid w:val="002760FE"/>
    <w:rsid w:val="0027680C"/>
    <w:rsid w:val="00277430"/>
    <w:rsid w:val="002804CF"/>
    <w:rsid w:val="00282131"/>
    <w:rsid w:val="002838B8"/>
    <w:rsid w:val="00283D27"/>
    <w:rsid w:val="0028601B"/>
    <w:rsid w:val="00286495"/>
    <w:rsid w:val="00286CEE"/>
    <w:rsid w:val="00287936"/>
    <w:rsid w:val="002945E9"/>
    <w:rsid w:val="00295067"/>
    <w:rsid w:val="002A037D"/>
    <w:rsid w:val="002A2FA5"/>
    <w:rsid w:val="002A4F18"/>
    <w:rsid w:val="002B11B5"/>
    <w:rsid w:val="002B125D"/>
    <w:rsid w:val="002B1714"/>
    <w:rsid w:val="002B1A9D"/>
    <w:rsid w:val="002B3048"/>
    <w:rsid w:val="002B402B"/>
    <w:rsid w:val="002B4799"/>
    <w:rsid w:val="002C02D2"/>
    <w:rsid w:val="002C084E"/>
    <w:rsid w:val="002C20C7"/>
    <w:rsid w:val="002C31BF"/>
    <w:rsid w:val="002C32ED"/>
    <w:rsid w:val="002C3CBA"/>
    <w:rsid w:val="002D01CD"/>
    <w:rsid w:val="002D440C"/>
    <w:rsid w:val="002D4818"/>
    <w:rsid w:val="002D52F6"/>
    <w:rsid w:val="002D5B3F"/>
    <w:rsid w:val="002D5ECC"/>
    <w:rsid w:val="002D7809"/>
    <w:rsid w:val="002E3116"/>
    <w:rsid w:val="002E3375"/>
    <w:rsid w:val="002E4908"/>
    <w:rsid w:val="002E573C"/>
    <w:rsid w:val="002E6256"/>
    <w:rsid w:val="002F090F"/>
    <w:rsid w:val="002F1DAF"/>
    <w:rsid w:val="002F283D"/>
    <w:rsid w:val="002F3F9A"/>
    <w:rsid w:val="002F6161"/>
    <w:rsid w:val="002F7751"/>
    <w:rsid w:val="002F7DBC"/>
    <w:rsid w:val="00301814"/>
    <w:rsid w:val="003019D7"/>
    <w:rsid w:val="00301D4F"/>
    <w:rsid w:val="00301F76"/>
    <w:rsid w:val="0030267E"/>
    <w:rsid w:val="00303B06"/>
    <w:rsid w:val="00304EE1"/>
    <w:rsid w:val="00304F5B"/>
    <w:rsid w:val="0030558A"/>
    <w:rsid w:val="00305C24"/>
    <w:rsid w:val="00307168"/>
    <w:rsid w:val="0030766D"/>
    <w:rsid w:val="0031073B"/>
    <w:rsid w:val="00310E2C"/>
    <w:rsid w:val="003117FE"/>
    <w:rsid w:val="003121E6"/>
    <w:rsid w:val="003128DF"/>
    <w:rsid w:val="00313462"/>
    <w:rsid w:val="003150DD"/>
    <w:rsid w:val="003161E4"/>
    <w:rsid w:val="00317B0D"/>
    <w:rsid w:val="00320183"/>
    <w:rsid w:val="003243E7"/>
    <w:rsid w:val="00324560"/>
    <w:rsid w:val="00325B4D"/>
    <w:rsid w:val="003264B9"/>
    <w:rsid w:val="00326A4D"/>
    <w:rsid w:val="003319DA"/>
    <w:rsid w:val="00331B0A"/>
    <w:rsid w:val="00332417"/>
    <w:rsid w:val="00334B9F"/>
    <w:rsid w:val="00334C36"/>
    <w:rsid w:val="00336997"/>
    <w:rsid w:val="00340126"/>
    <w:rsid w:val="003412DD"/>
    <w:rsid w:val="003413C8"/>
    <w:rsid w:val="00343A72"/>
    <w:rsid w:val="003462DC"/>
    <w:rsid w:val="00347C09"/>
    <w:rsid w:val="00350AF9"/>
    <w:rsid w:val="00350D4D"/>
    <w:rsid w:val="00351523"/>
    <w:rsid w:val="00352659"/>
    <w:rsid w:val="00353047"/>
    <w:rsid w:val="00355E96"/>
    <w:rsid w:val="00356655"/>
    <w:rsid w:val="003568BF"/>
    <w:rsid w:val="00356AE5"/>
    <w:rsid w:val="003617A5"/>
    <w:rsid w:val="00363E0E"/>
    <w:rsid w:val="00366F10"/>
    <w:rsid w:val="00371F34"/>
    <w:rsid w:val="00371F4D"/>
    <w:rsid w:val="00372863"/>
    <w:rsid w:val="00374C4C"/>
    <w:rsid w:val="00375509"/>
    <w:rsid w:val="0038132C"/>
    <w:rsid w:val="00381481"/>
    <w:rsid w:val="00381F2E"/>
    <w:rsid w:val="00382559"/>
    <w:rsid w:val="00382AB6"/>
    <w:rsid w:val="00382D58"/>
    <w:rsid w:val="00383EA6"/>
    <w:rsid w:val="00385B4A"/>
    <w:rsid w:val="00385F09"/>
    <w:rsid w:val="00385FC8"/>
    <w:rsid w:val="00386093"/>
    <w:rsid w:val="00392010"/>
    <w:rsid w:val="003937BC"/>
    <w:rsid w:val="003959C8"/>
    <w:rsid w:val="003965D7"/>
    <w:rsid w:val="003A2DF7"/>
    <w:rsid w:val="003A42B4"/>
    <w:rsid w:val="003A452B"/>
    <w:rsid w:val="003B2ED6"/>
    <w:rsid w:val="003B6610"/>
    <w:rsid w:val="003B7746"/>
    <w:rsid w:val="003C100F"/>
    <w:rsid w:val="003C3C1E"/>
    <w:rsid w:val="003C789D"/>
    <w:rsid w:val="003C7A27"/>
    <w:rsid w:val="003D03A6"/>
    <w:rsid w:val="003D0435"/>
    <w:rsid w:val="003D10E0"/>
    <w:rsid w:val="003D1295"/>
    <w:rsid w:val="003D2040"/>
    <w:rsid w:val="003D4230"/>
    <w:rsid w:val="003D4384"/>
    <w:rsid w:val="003D5F82"/>
    <w:rsid w:val="003D5FC7"/>
    <w:rsid w:val="003E1E18"/>
    <w:rsid w:val="003E4848"/>
    <w:rsid w:val="003E4E2F"/>
    <w:rsid w:val="003E5069"/>
    <w:rsid w:val="003E65A9"/>
    <w:rsid w:val="003F016C"/>
    <w:rsid w:val="003F17AC"/>
    <w:rsid w:val="003F2A45"/>
    <w:rsid w:val="00400FBA"/>
    <w:rsid w:val="00402C6B"/>
    <w:rsid w:val="00403751"/>
    <w:rsid w:val="00403D20"/>
    <w:rsid w:val="00405AD1"/>
    <w:rsid w:val="00407E26"/>
    <w:rsid w:val="0041533E"/>
    <w:rsid w:val="00416034"/>
    <w:rsid w:val="00416CD5"/>
    <w:rsid w:val="00417F62"/>
    <w:rsid w:val="00422023"/>
    <w:rsid w:val="0042253F"/>
    <w:rsid w:val="0042290E"/>
    <w:rsid w:val="00423313"/>
    <w:rsid w:val="00424A8E"/>
    <w:rsid w:val="00426024"/>
    <w:rsid w:val="0042770A"/>
    <w:rsid w:val="00431891"/>
    <w:rsid w:val="00432DCB"/>
    <w:rsid w:val="00433B2F"/>
    <w:rsid w:val="00435B81"/>
    <w:rsid w:val="00435B99"/>
    <w:rsid w:val="004377BE"/>
    <w:rsid w:val="0044005E"/>
    <w:rsid w:val="00440B4E"/>
    <w:rsid w:val="00443BBE"/>
    <w:rsid w:val="00444D6B"/>
    <w:rsid w:val="00446A1D"/>
    <w:rsid w:val="00450580"/>
    <w:rsid w:val="00452879"/>
    <w:rsid w:val="00452DE4"/>
    <w:rsid w:val="00453CF0"/>
    <w:rsid w:val="004600DC"/>
    <w:rsid w:val="00460710"/>
    <w:rsid w:val="004616F0"/>
    <w:rsid w:val="00461800"/>
    <w:rsid w:val="00462371"/>
    <w:rsid w:val="0046469B"/>
    <w:rsid w:val="00465DD5"/>
    <w:rsid w:val="0046701F"/>
    <w:rsid w:val="004755AB"/>
    <w:rsid w:val="004779AE"/>
    <w:rsid w:val="0048238A"/>
    <w:rsid w:val="00482983"/>
    <w:rsid w:val="0048497C"/>
    <w:rsid w:val="00485634"/>
    <w:rsid w:val="00485C15"/>
    <w:rsid w:val="00485CE3"/>
    <w:rsid w:val="00486F3B"/>
    <w:rsid w:val="0048703E"/>
    <w:rsid w:val="00490902"/>
    <w:rsid w:val="004912CD"/>
    <w:rsid w:val="0049251A"/>
    <w:rsid w:val="0049375F"/>
    <w:rsid w:val="00495974"/>
    <w:rsid w:val="00496936"/>
    <w:rsid w:val="00496CE0"/>
    <w:rsid w:val="004A0844"/>
    <w:rsid w:val="004A0E44"/>
    <w:rsid w:val="004A60EF"/>
    <w:rsid w:val="004A6E84"/>
    <w:rsid w:val="004B22B2"/>
    <w:rsid w:val="004B4B98"/>
    <w:rsid w:val="004B4ED8"/>
    <w:rsid w:val="004B58A3"/>
    <w:rsid w:val="004B6611"/>
    <w:rsid w:val="004C0318"/>
    <w:rsid w:val="004C12EF"/>
    <w:rsid w:val="004C3C19"/>
    <w:rsid w:val="004C5BB6"/>
    <w:rsid w:val="004C6549"/>
    <w:rsid w:val="004C6C24"/>
    <w:rsid w:val="004D070C"/>
    <w:rsid w:val="004D4124"/>
    <w:rsid w:val="004D5CC1"/>
    <w:rsid w:val="004D684F"/>
    <w:rsid w:val="004E13F1"/>
    <w:rsid w:val="004E1DC9"/>
    <w:rsid w:val="004E1F59"/>
    <w:rsid w:val="004E522A"/>
    <w:rsid w:val="004E76F0"/>
    <w:rsid w:val="004E7797"/>
    <w:rsid w:val="004F046F"/>
    <w:rsid w:val="004F0A81"/>
    <w:rsid w:val="004F1202"/>
    <w:rsid w:val="004F1D44"/>
    <w:rsid w:val="004F35C0"/>
    <w:rsid w:val="004F3626"/>
    <w:rsid w:val="004F4AE8"/>
    <w:rsid w:val="004F51BC"/>
    <w:rsid w:val="004F787C"/>
    <w:rsid w:val="0050034D"/>
    <w:rsid w:val="00500455"/>
    <w:rsid w:val="00500654"/>
    <w:rsid w:val="00505A21"/>
    <w:rsid w:val="00507CC3"/>
    <w:rsid w:val="005106A1"/>
    <w:rsid w:val="00511257"/>
    <w:rsid w:val="005118CD"/>
    <w:rsid w:val="00512532"/>
    <w:rsid w:val="00512EB7"/>
    <w:rsid w:val="005134F7"/>
    <w:rsid w:val="00520A46"/>
    <w:rsid w:val="005332A4"/>
    <w:rsid w:val="00533C1B"/>
    <w:rsid w:val="00535111"/>
    <w:rsid w:val="00536079"/>
    <w:rsid w:val="00537540"/>
    <w:rsid w:val="005449FD"/>
    <w:rsid w:val="0054527D"/>
    <w:rsid w:val="00546E2E"/>
    <w:rsid w:val="00551AFD"/>
    <w:rsid w:val="005527CD"/>
    <w:rsid w:val="00552D3A"/>
    <w:rsid w:val="00553269"/>
    <w:rsid w:val="00553490"/>
    <w:rsid w:val="005537FC"/>
    <w:rsid w:val="005550B8"/>
    <w:rsid w:val="005552C1"/>
    <w:rsid w:val="005569A7"/>
    <w:rsid w:val="00561FB0"/>
    <w:rsid w:val="005632E9"/>
    <w:rsid w:val="00564761"/>
    <w:rsid w:val="00565DAD"/>
    <w:rsid w:val="00566529"/>
    <w:rsid w:val="00572B2D"/>
    <w:rsid w:val="00574B59"/>
    <w:rsid w:val="005762A4"/>
    <w:rsid w:val="00576A95"/>
    <w:rsid w:val="00580528"/>
    <w:rsid w:val="0058185F"/>
    <w:rsid w:val="00581C3A"/>
    <w:rsid w:val="00583A52"/>
    <w:rsid w:val="005866D8"/>
    <w:rsid w:val="00590394"/>
    <w:rsid w:val="005907EA"/>
    <w:rsid w:val="00591B58"/>
    <w:rsid w:val="00592E78"/>
    <w:rsid w:val="00593399"/>
    <w:rsid w:val="00595A47"/>
    <w:rsid w:val="00597503"/>
    <w:rsid w:val="005977AD"/>
    <w:rsid w:val="005A1456"/>
    <w:rsid w:val="005A28A2"/>
    <w:rsid w:val="005A3D27"/>
    <w:rsid w:val="005A4067"/>
    <w:rsid w:val="005A63DE"/>
    <w:rsid w:val="005A6563"/>
    <w:rsid w:val="005B2190"/>
    <w:rsid w:val="005B26C6"/>
    <w:rsid w:val="005B4ABA"/>
    <w:rsid w:val="005B6F43"/>
    <w:rsid w:val="005B7BE4"/>
    <w:rsid w:val="005C0866"/>
    <w:rsid w:val="005C2590"/>
    <w:rsid w:val="005C28C4"/>
    <w:rsid w:val="005C5086"/>
    <w:rsid w:val="005C5657"/>
    <w:rsid w:val="005C61A8"/>
    <w:rsid w:val="005C6A45"/>
    <w:rsid w:val="005D01FA"/>
    <w:rsid w:val="005D0FDD"/>
    <w:rsid w:val="005D114F"/>
    <w:rsid w:val="005D260F"/>
    <w:rsid w:val="005D5894"/>
    <w:rsid w:val="005E0CE6"/>
    <w:rsid w:val="005E31C1"/>
    <w:rsid w:val="005E44F0"/>
    <w:rsid w:val="005E484C"/>
    <w:rsid w:val="005E66E5"/>
    <w:rsid w:val="005E678B"/>
    <w:rsid w:val="005E6E42"/>
    <w:rsid w:val="005E7931"/>
    <w:rsid w:val="005F32C6"/>
    <w:rsid w:val="005F3A5D"/>
    <w:rsid w:val="005F3FCA"/>
    <w:rsid w:val="00603788"/>
    <w:rsid w:val="006061A4"/>
    <w:rsid w:val="00606B3D"/>
    <w:rsid w:val="006103DD"/>
    <w:rsid w:val="00611495"/>
    <w:rsid w:val="00611933"/>
    <w:rsid w:val="00612CCC"/>
    <w:rsid w:val="00613D34"/>
    <w:rsid w:val="00615266"/>
    <w:rsid w:val="00615657"/>
    <w:rsid w:val="006160BE"/>
    <w:rsid w:val="00620DA9"/>
    <w:rsid w:val="006214BE"/>
    <w:rsid w:val="00621839"/>
    <w:rsid w:val="006262A7"/>
    <w:rsid w:val="00627CCF"/>
    <w:rsid w:val="00627FDA"/>
    <w:rsid w:val="00630D8C"/>
    <w:rsid w:val="00632A37"/>
    <w:rsid w:val="006346A9"/>
    <w:rsid w:val="00634AB9"/>
    <w:rsid w:val="00635A1D"/>
    <w:rsid w:val="00636C7D"/>
    <w:rsid w:val="006379BD"/>
    <w:rsid w:val="00640782"/>
    <w:rsid w:val="006409F3"/>
    <w:rsid w:val="00640AD2"/>
    <w:rsid w:val="0064310A"/>
    <w:rsid w:val="00643B8E"/>
    <w:rsid w:val="006451FF"/>
    <w:rsid w:val="006459A5"/>
    <w:rsid w:val="0064692D"/>
    <w:rsid w:val="006552ED"/>
    <w:rsid w:val="00655A81"/>
    <w:rsid w:val="00657B37"/>
    <w:rsid w:val="00665700"/>
    <w:rsid w:val="006700DE"/>
    <w:rsid w:val="00670318"/>
    <w:rsid w:val="0067097F"/>
    <w:rsid w:val="00670DE2"/>
    <w:rsid w:val="0067198E"/>
    <w:rsid w:val="006748E1"/>
    <w:rsid w:val="00676049"/>
    <w:rsid w:val="0068024D"/>
    <w:rsid w:val="006820DE"/>
    <w:rsid w:val="00683FFC"/>
    <w:rsid w:val="00684803"/>
    <w:rsid w:val="00696E24"/>
    <w:rsid w:val="00697D75"/>
    <w:rsid w:val="00697F66"/>
    <w:rsid w:val="006A0305"/>
    <w:rsid w:val="006A0B13"/>
    <w:rsid w:val="006A5EED"/>
    <w:rsid w:val="006A64D0"/>
    <w:rsid w:val="006A6570"/>
    <w:rsid w:val="006A7794"/>
    <w:rsid w:val="006B05B0"/>
    <w:rsid w:val="006B0B04"/>
    <w:rsid w:val="006B1A52"/>
    <w:rsid w:val="006B37BA"/>
    <w:rsid w:val="006B3C35"/>
    <w:rsid w:val="006B71BB"/>
    <w:rsid w:val="006B72BD"/>
    <w:rsid w:val="006B740F"/>
    <w:rsid w:val="006B7410"/>
    <w:rsid w:val="006C0169"/>
    <w:rsid w:val="006C0A36"/>
    <w:rsid w:val="006C1374"/>
    <w:rsid w:val="006C4EC0"/>
    <w:rsid w:val="006D2D69"/>
    <w:rsid w:val="006D72B9"/>
    <w:rsid w:val="006D7737"/>
    <w:rsid w:val="006E145D"/>
    <w:rsid w:val="006E417A"/>
    <w:rsid w:val="006E572A"/>
    <w:rsid w:val="006E7F49"/>
    <w:rsid w:val="006F01B7"/>
    <w:rsid w:val="006F41F0"/>
    <w:rsid w:val="006F44AA"/>
    <w:rsid w:val="006F76FC"/>
    <w:rsid w:val="006F7EDF"/>
    <w:rsid w:val="00700097"/>
    <w:rsid w:val="00706238"/>
    <w:rsid w:val="00706C8C"/>
    <w:rsid w:val="00707E16"/>
    <w:rsid w:val="00711800"/>
    <w:rsid w:val="00711A8C"/>
    <w:rsid w:val="00712D1D"/>
    <w:rsid w:val="007135DB"/>
    <w:rsid w:val="00713E86"/>
    <w:rsid w:val="00714137"/>
    <w:rsid w:val="00715737"/>
    <w:rsid w:val="00715BF8"/>
    <w:rsid w:val="00717191"/>
    <w:rsid w:val="007217F5"/>
    <w:rsid w:val="00724ACC"/>
    <w:rsid w:val="0072520B"/>
    <w:rsid w:val="00726E0D"/>
    <w:rsid w:val="00726EC6"/>
    <w:rsid w:val="00730E90"/>
    <w:rsid w:val="00730FF6"/>
    <w:rsid w:val="00735987"/>
    <w:rsid w:val="00736115"/>
    <w:rsid w:val="007406AE"/>
    <w:rsid w:val="007432B9"/>
    <w:rsid w:val="00745B53"/>
    <w:rsid w:val="00754505"/>
    <w:rsid w:val="00755239"/>
    <w:rsid w:val="00760A30"/>
    <w:rsid w:val="00761B82"/>
    <w:rsid w:val="007630AC"/>
    <w:rsid w:val="00765B07"/>
    <w:rsid w:val="007746A6"/>
    <w:rsid w:val="00775AC8"/>
    <w:rsid w:val="0078393E"/>
    <w:rsid w:val="0078397E"/>
    <w:rsid w:val="00787F1A"/>
    <w:rsid w:val="00787F66"/>
    <w:rsid w:val="00793000"/>
    <w:rsid w:val="0079403B"/>
    <w:rsid w:val="007963F6"/>
    <w:rsid w:val="00797789"/>
    <w:rsid w:val="007A01A7"/>
    <w:rsid w:val="007A7AB9"/>
    <w:rsid w:val="007B1EC8"/>
    <w:rsid w:val="007B2DAA"/>
    <w:rsid w:val="007B2FA2"/>
    <w:rsid w:val="007C1C4A"/>
    <w:rsid w:val="007C4716"/>
    <w:rsid w:val="007C4EBD"/>
    <w:rsid w:val="007C522B"/>
    <w:rsid w:val="007C52DB"/>
    <w:rsid w:val="007C6E2A"/>
    <w:rsid w:val="007C7C89"/>
    <w:rsid w:val="007D191D"/>
    <w:rsid w:val="007D1D4F"/>
    <w:rsid w:val="007D4837"/>
    <w:rsid w:val="007E0FC3"/>
    <w:rsid w:val="007E1B40"/>
    <w:rsid w:val="007E2269"/>
    <w:rsid w:val="007E3890"/>
    <w:rsid w:val="007E3F6B"/>
    <w:rsid w:val="007E5FCF"/>
    <w:rsid w:val="007E6D93"/>
    <w:rsid w:val="007E7399"/>
    <w:rsid w:val="007F399E"/>
    <w:rsid w:val="007F5C00"/>
    <w:rsid w:val="007F5D65"/>
    <w:rsid w:val="007F6274"/>
    <w:rsid w:val="0080018B"/>
    <w:rsid w:val="0080182B"/>
    <w:rsid w:val="0080182E"/>
    <w:rsid w:val="00803957"/>
    <w:rsid w:val="00803C87"/>
    <w:rsid w:val="00803CE1"/>
    <w:rsid w:val="00805BB2"/>
    <w:rsid w:val="00811BF7"/>
    <w:rsid w:val="008145BE"/>
    <w:rsid w:val="00814A19"/>
    <w:rsid w:val="00816B1E"/>
    <w:rsid w:val="00821F2F"/>
    <w:rsid w:val="008223EC"/>
    <w:rsid w:val="00822AFE"/>
    <w:rsid w:val="00823D81"/>
    <w:rsid w:val="00823F57"/>
    <w:rsid w:val="008317D4"/>
    <w:rsid w:val="0083246D"/>
    <w:rsid w:val="0083323F"/>
    <w:rsid w:val="00833455"/>
    <w:rsid w:val="008346CB"/>
    <w:rsid w:val="00834DD7"/>
    <w:rsid w:val="00835248"/>
    <w:rsid w:val="0083710B"/>
    <w:rsid w:val="00841BEF"/>
    <w:rsid w:val="008438AB"/>
    <w:rsid w:val="00844AF4"/>
    <w:rsid w:val="00844CDF"/>
    <w:rsid w:val="00846887"/>
    <w:rsid w:val="00846C1F"/>
    <w:rsid w:val="00847C71"/>
    <w:rsid w:val="008544A7"/>
    <w:rsid w:val="00854A71"/>
    <w:rsid w:val="00854E34"/>
    <w:rsid w:val="008560FD"/>
    <w:rsid w:val="0085640A"/>
    <w:rsid w:val="00860668"/>
    <w:rsid w:val="00860849"/>
    <w:rsid w:val="00860AB4"/>
    <w:rsid w:val="008620F0"/>
    <w:rsid w:val="00863E46"/>
    <w:rsid w:val="00864EB4"/>
    <w:rsid w:val="00867DA3"/>
    <w:rsid w:val="00867DFD"/>
    <w:rsid w:val="008722FD"/>
    <w:rsid w:val="008726BA"/>
    <w:rsid w:val="00872934"/>
    <w:rsid w:val="00872A89"/>
    <w:rsid w:val="00874F75"/>
    <w:rsid w:val="00883D99"/>
    <w:rsid w:val="00884C6D"/>
    <w:rsid w:val="00885C79"/>
    <w:rsid w:val="008879DC"/>
    <w:rsid w:val="0089034A"/>
    <w:rsid w:val="00894AEB"/>
    <w:rsid w:val="008A01E9"/>
    <w:rsid w:val="008A0261"/>
    <w:rsid w:val="008B27BC"/>
    <w:rsid w:val="008B6726"/>
    <w:rsid w:val="008B685D"/>
    <w:rsid w:val="008B6EAA"/>
    <w:rsid w:val="008C286C"/>
    <w:rsid w:val="008C3BAD"/>
    <w:rsid w:val="008C6330"/>
    <w:rsid w:val="008C6A23"/>
    <w:rsid w:val="008D116F"/>
    <w:rsid w:val="008D1BF0"/>
    <w:rsid w:val="008D74B2"/>
    <w:rsid w:val="008D758C"/>
    <w:rsid w:val="008E469C"/>
    <w:rsid w:val="008E476E"/>
    <w:rsid w:val="008E4A86"/>
    <w:rsid w:val="008E6916"/>
    <w:rsid w:val="008E720A"/>
    <w:rsid w:val="008E74DE"/>
    <w:rsid w:val="008F3692"/>
    <w:rsid w:val="008F4408"/>
    <w:rsid w:val="008F55DF"/>
    <w:rsid w:val="008F6DDC"/>
    <w:rsid w:val="00902A8B"/>
    <w:rsid w:val="00903299"/>
    <w:rsid w:val="009064D1"/>
    <w:rsid w:val="0090769D"/>
    <w:rsid w:val="00907FB1"/>
    <w:rsid w:val="00911490"/>
    <w:rsid w:val="00913AA2"/>
    <w:rsid w:val="00914DBE"/>
    <w:rsid w:val="00915D54"/>
    <w:rsid w:val="00915F9F"/>
    <w:rsid w:val="009175E9"/>
    <w:rsid w:val="009178A6"/>
    <w:rsid w:val="00920BF3"/>
    <w:rsid w:val="009218C9"/>
    <w:rsid w:val="00921EF1"/>
    <w:rsid w:val="0092336E"/>
    <w:rsid w:val="0092357D"/>
    <w:rsid w:val="009258FA"/>
    <w:rsid w:val="009312AD"/>
    <w:rsid w:val="00931397"/>
    <w:rsid w:val="009429FC"/>
    <w:rsid w:val="00944FB8"/>
    <w:rsid w:val="0094757B"/>
    <w:rsid w:val="00950927"/>
    <w:rsid w:val="00950A09"/>
    <w:rsid w:val="009533B2"/>
    <w:rsid w:val="00955426"/>
    <w:rsid w:val="00957FDD"/>
    <w:rsid w:val="0096391E"/>
    <w:rsid w:val="00964810"/>
    <w:rsid w:val="00964C81"/>
    <w:rsid w:val="00966322"/>
    <w:rsid w:val="00967976"/>
    <w:rsid w:val="00971EA4"/>
    <w:rsid w:val="0097205D"/>
    <w:rsid w:val="00972A9A"/>
    <w:rsid w:val="0097508C"/>
    <w:rsid w:val="009771A2"/>
    <w:rsid w:val="00977CAA"/>
    <w:rsid w:val="00981154"/>
    <w:rsid w:val="00981AAB"/>
    <w:rsid w:val="00983684"/>
    <w:rsid w:val="00985B31"/>
    <w:rsid w:val="00986934"/>
    <w:rsid w:val="0099116C"/>
    <w:rsid w:val="00991CBA"/>
    <w:rsid w:val="0099281E"/>
    <w:rsid w:val="009951D4"/>
    <w:rsid w:val="009A0F2F"/>
    <w:rsid w:val="009A2996"/>
    <w:rsid w:val="009A29EA"/>
    <w:rsid w:val="009A2F9D"/>
    <w:rsid w:val="009A39AF"/>
    <w:rsid w:val="009A6844"/>
    <w:rsid w:val="009A6F59"/>
    <w:rsid w:val="009B7CB8"/>
    <w:rsid w:val="009C160E"/>
    <w:rsid w:val="009C2ABB"/>
    <w:rsid w:val="009C3662"/>
    <w:rsid w:val="009C63B9"/>
    <w:rsid w:val="009C699B"/>
    <w:rsid w:val="009C6BE0"/>
    <w:rsid w:val="009C7191"/>
    <w:rsid w:val="009C7411"/>
    <w:rsid w:val="009D01A2"/>
    <w:rsid w:val="009D01E7"/>
    <w:rsid w:val="009D2E10"/>
    <w:rsid w:val="009D32F1"/>
    <w:rsid w:val="009D35F0"/>
    <w:rsid w:val="009D3F68"/>
    <w:rsid w:val="009D6F85"/>
    <w:rsid w:val="009E306A"/>
    <w:rsid w:val="009E3B9A"/>
    <w:rsid w:val="009F17AF"/>
    <w:rsid w:val="009F5FB7"/>
    <w:rsid w:val="009F690B"/>
    <w:rsid w:val="009F7682"/>
    <w:rsid w:val="00A013D4"/>
    <w:rsid w:val="00A01C7A"/>
    <w:rsid w:val="00A03FD8"/>
    <w:rsid w:val="00A042EB"/>
    <w:rsid w:val="00A05866"/>
    <w:rsid w:val="00A07621"/>
    <w:rsid w:val="00A11201"/>
    <w:rsid w:val="00A128D9"/>
    <w:rsid w:val="00A14EFE"/>
    <w:rsid w:val="00A14F53"/>
    <w:rsid w:val="00A15ED8"/>
    <w:rsid w:val="00A17A36"/>
    <w:rsid w:val="00A2057E"/>
    <w:rsid w:val="00A20A0F"/>
    <w:rsid w:val="00A20CCE"/>
    <w:rsid w:val="00A20E98"/>
    <w:rsid w:val="00A21020"/>
    <w:rsid w:val="00A23A35"/>
    <w:rsid w:val="00A257AD"/>
    <w:rsid w:val="00A30305"/>
    <w:rsid w:val="00A30DD0"/>
    <w:rsid w:val="00A32625"/>
    <w:rsid w:val="00A32862"/>
    <w:rsid w:val="00A330D1"/>
    <w:rsid w:val="00A366C1"/>
    <w:rsid w:val="00A41659"/>
    <w:rsid w:val="00A4199E"/>
    <w:rsid w:val="00A44C74"/>
    <w:rsid w:val="00A46ADF"/>
    <w:rsid w:val="00A50A03"/>
    <w:rsid w:val="00A523D4"/>
    <w:rsid w:val="00A524F3"/>
    <w:rsid w:val="00A54075"/>
    <w:rsid w:val="00A5542E"/>
    <w:rsid w:val="00A55653"/>
    <w:rsid w:val="00A56993"/>
    <w:rsid w:val="00A606B0"/>
    <w:rsid w:val="00A60DC4"/>
    <w:rsid w:val="00A63E92"/>
    <w:rsid w:val="00A666D6"/>
    <w:rsid w:val="00A66F83"/>
    <w:rsid w:val="00A7029D"/>
    <w:rsid w:val="00A710A1"/>
    <w:rsid w:val="00A74786"/>
    <w:rsid w:val="00A76575"/>
    <w:rsid w:val="00A76665"/>
    <w:rsid w:val="00A77E50"/>
    <w:rsid w:val="00A80FAE"/>
    <w:rsid w:val="00A83921"/>
    <w:rsid w:val="00A90662"/>
    <w:rsid w:val="00A908B2"/>
    <w:rsid w:val="00A911CD"/>
    <w:rsid w:val="00A912C1"/>
    <w:rsid w:val="00A93074"/>
    <w:rsid w:val="00A9465D"/>
    <w:rsid w:val="00A960E5"/>
    <w:rsid w:val="00A96780"/>
    <w:rsid w:val="00A9785E"/>
    <w:rsid w:val="00AA02DE"/>
    <w:rsid w:val="00AA635B"/>
    <w:rsid w:val="00AA64AA"/>
    <w:rsid w:val="00AB2EBD"/>
    <w:rsid w:val="00AB618A"/>
    <w:rsid w:val="00AB65E9"/>
    <w:rsid w:val="00AB70C6"/>
    <w:rsid w:val="00AC00E2"/>
    <w:rsid w:val="00AC1248"/>
    <w:rsid w:val="00AC184C"/>
    <w:rsid w:val="00AC18E9"/>
    <w:rsid w:val="00AC1F91"/>
    <w:rsid w:val="00AC3488"/>
    <w:rsid w:val="00AC3BCF"/>
    <w:rsid w:val="00AC424D"/>
    <w:rsid w:val="00AC4C81"/>
    <w:rsid w:val="00AC69C8"/>
    <w:rsid w:val="00AC7779"/>
    <w:rsid w:val="00AD22A5"/>
    <w:rsid w:val="00AD5249"/>
    <w:rsid w:val="00AD5CE7"/>
    <w:rsid w:val="00AD68DE"/>
    <w:rsid w:val="00AE00D4"/>
    <w:rsid w:val="00AE0253"/>
    <w:rsid w:val="00AE0304"/>
    <w:rsid w:val="00AE0D16"/>
    <w:rsid w:val="00AE26A5"/>
    <w:rsid w:val="00AE2BE1"/>
    <w:rsid w:val="00AE41C3"/>
    <w:rsid w:val="00AF06CC"/>
    <w:rsid w:val="00AF1805"/>
    <w:rsid w:val="00AF2C45"/>
    <w:rsid w:val="00AF4B25"/>
    <w:rsid w:val="00AF4E72"/>
    <w:rsid w:val="00AF4ED0"/>
    <w:rsid w:val="00AF5AD9"/>
    <w:rsid w:val="00AF6019"/>
    <w:rsid w:val="00B013DC"/>
    <w:rsid w:val="00B02B68"/>
    <w:rsid w:val="00B03D8E"/>
    <w:rsid w:val="00B04A31"/>
    <w:rsid w:val="00B10579"/>
    <w:rsid w:val="00B11170"/>
    <w:rsid w:val="00B11463"/>
    <w:rsid w:val="00B1148A"/>
    <w:rsid w:val="00B12106"/>
    <w:rsid w:val="00B158AC"/>
    <w:rsid w:val="00B163A3"/>
    <w:rsid w:val="00B22292"/>
    <w:rsid w:val="00B23147"/>
    <w:rsid w:val="00B23EB0"/>
    <w:rsid w:val="00B24942"/>
    <w:rsid w:val="00B25174"/>
    <w:rsid w:val="00B254E4"/>
    <w:rsid w:val="00B25538"/>
    <w:rsid w:val="00B263DF"/>
    <w:rsid w:val="00B26504"/>
    <w:rsid w:val="00B30890"/>
    <w:rsid w:val="00B3242A"/>
    <w:rsid w:val="00B33B45"/>
    <w:rsid w:val="00B34DD2"/>
    <w:rsid w:val="00B350AE"/>
    <w:rsid w:val="00B3521D"/>
    <w:rsid w:val="00B37669"/>
    <w:rsid w:val="00B4127C"/>
    <w:rsid w:val="00B42543"/>
    <w:rsid w:val="00B42641"/>
    <w:rsid w:val="00B42DC7"/>
    <w:rsid w:val="00B4428B"/>
    <w:rsid w:val="00B448CA"/>
    <w:rsid w:val="00B4537E"/>
    <w:rsid w:val="00B478F1"/>
    <w:rsid w:val="00B5118C"/>
    <w:rsid w:val="00B52BD3"/>
    <w:rsid w:val="00B53989"/>
    <w:rsid w:val="00B5442A"/>
    <w:rsid w:val="00B5535B"/>
    <w:rsid w:val="00B557DE"/>
    <w:rsid w:val="00B55F0B"/>
    <w:rsid w:val="00B6030E"/>
    <w:rsid w:val="00B604CA"/>
    <w:rsid w:val="00B61EFE"/>
    <w:rsid w:val="00B65033"/>
    <w:rsid w:val="00B713FB"/>
    <w:rsid w:val="00B72482"/>
    <w:rsid w:val="00B72B76"/>
    <w:rsid w:val="00B82BD2"/>
    <w:rsid w:val="00B83005"/>
    <w:rsid w:val="00B8345C"/>
    <w:rsid w:val="00B83A84"/>
    <w:rsid w:val="00B83CCF"/>
    <w:rsid w:val="00B86559"/>
    <w:rsid w:val="00B86F58"/>
    <w:rsid w:val="00B9210F"/>
    <w:rsid w:val="00B973CF"/>
    <w:rsid w:val="00BA4EAD"/>
    <w:rsid w:val="00BA7275"/>
    <w:rsid w:val="00BA7B7A"/>
    <w:rsid w:val="00BB5D58"/>
    <w:rsid w:val="00BB732C"/>
    <w:rsid w:val="00BB7BD9"/>
    <w:rsid w:val="00BC15B0"/>
    <w:rsid w:val="00BC1B19"/>
    <w:rsid w:val="00BC2B55"/>
    <w:rsid w:val="00BC2EF2"/>
    <w:rsid w:val="00BC30E7"/>
    <w:rsid w:val="00BC3396"/>
    <w:rsid w:val="00BC4CA5"/>
    <w:rsid w:val="00BC6407"/>
    <w:rsid w:val="00BC67A5"/>
    <w:rsid w:val="00BC6F0C"/>
    <w:rsid w:val="00BC76F9"/>
    <w:rsid w:val="00BC7CF0"/>
    <w:rsid w:val="00BD0696"/>
    <w:rsid w:val="00BD2675"/>
    <w:rsid w:val="00BD3004"/>
    <w:rsid w:val="00BD39E8"/>
    <w:rsid w:val="00BD6301"/>
    <w:rsid w:val="00BD693E"/>
    <w:rsid w:val="00BD7F43"/>
    <w:rsid w:val="00BE1B7B"/>
    <w:rsid w:val="00BE2183"/>
    <w:rsid w:val="00BE28BF"/>
    <w:rsid w:val="00BE3A21"/>
    <w:rsid w:val="00BE3C41"/>
    <w:rsid w:val="00BE4EB4"/>
    <w:rsid w:val="00BE6BBD"/>
    <w:rsid w:val="00BF04FB"/>
    <w:rsid w:val="00BF13E7"/>
    <w:rsid w:val="00BF2686"/>
    <w:rsid w:val="00BF4322"/>
    <w:rsid w:val="00BF5772"/>
    <w:rsid w:val="00BF5F9E"/>
    <w:rsid w:val="00BF7AB3"/>
    <w:rsid w:val="00C0069D"/>
    <w:rsid w:val="00C00802"/>
    <w:rsid w:val="00C00BBC"/>
    <w:rsid w:val="00C0186A"/>
    <w:rsid w:val="00C022F4"/>
    <w:rsid w:val="00C02CDC"/>
    <w:rsid w:val="00C03615"/>
    <w:rsid w:val="00C061A5"/>
    <w:rsid w:val="00C07D48"/>
    <w:rsid w:val="00C10648"/>
    <w:rsid w:val="00C145D5"/>
    <w:rsid w:val="00C1546B"/>
    <w:rsid w:val="00C1577C"/>
    <w:rsid w:val="00C15F58"/>
    <w:rsid w:val="00C211E1"/>
    <w:rsid w:val="00C21DB7"/>
    <w:rsid w:val="00C2299E"/>
    <w:rsid w:val="00C23E35"/>
    <w:rsid w:val="00C2405C"/>
    <w:rsid w:val="00C25031"/>
    <w:rsid w:val="00C260F4"/>
    <w:rsid w:val="00C271BC"/>
    <w:rsid w:val="00C2743B"/>
    <w:rsid w:val="00C2762D"/>
    <w:rsid w:val="00C303BB"/>
    <w:rsid w:val="00C34597"/>
    <w:rsid w:val="00C34630"/>
    <w:rsid w:val="00C40654"/>
    <w:rsid w:val="00C432D9"/>
    <w:rsid w:val="00C439B7"/>
    <w:rsid w:val="00C43EE1"/>
    <w:rsid w:val="00C449E2"/>
    <w:rsid w:val="00C479D3"/>
    <w:rsid w:val="00C51BDA"/>
    <w:rsid w:val="00C52505"/>
    <w:rsid w:val="00C53450"/>
    <w:rsid w:val="00C56F8D"/>
    <w:rsid w:val="00C64697"/>
    <w:rsid w:val="00C651FD"/>
    <w:rsid w:val="00C66218"/>
    <w:rsid w:val="00C6714F"/>
    <w:rsid w:val="00C673B3"/>
    <w:rsid w:val="00C767ED"/>
    <w:rsid w:val="00C76878"/>
    <w:rsid w:val="00C76AC3"/>
    <w:rsid w:val="00C81661"/>
    <w:rsid w:val="00C81E82"/>
    <w:rsid w:val="00C81F36"/>
    <w:rsid w:val="00C86D98"/>
    <w:rsid w:val="00C86F27"/>
    <w:rsid w:val="00C87326"/>
    <w:rsid w:val="00C9070B"/>
    <w:rsid w:val="00C90ED8"/>
    <w:rsid w:val="00C912D9"/>
    <w:rsid w:val="00C92812"/>
    <w:rsid w:val="00C96A66"/>
    <w:rsid w:val="00C975BA"/>
    <w:rsid w:val="00CA09D8"/>
    <w:rsid w:val="00CA162E"/>
    <w:rsid w:val="00CA1B17"/>
    <w:rsid w:val="00CA22C4"/>
    <w:rsid w:val="00CA4EBF"/>
    <w:rsid w:val="00CA5AA0"/>
    <w:rsid w:val="00CA5E3F"/>
    <w:rsid w:val="00CA6EE9"/>
    <w:rsid w:val="00CB0374"/>
    <w:rsid w:val="00CB0BA1"/>
    <w:rsid w:val="00CB4043"/>
    <w:rsid w:val="00CB6A02"/>
    <w:rsid w:val="00CC0876"/>
    <w:rsid w:val="00CC0F7F"/>
    <w:rsid w:val="00CC1E43"/>
    <w:rsid w:val="00CC212E"/>
    <w:rsid w:val="00CC2FB4"/>
    <w:rsid w:val="00CC318C"/>
    <w:rsid w:val="00CC3FB0"/>
    <w:rsid w:val="00CC672D"/>
    <w:rsid w:val="00CC6F2A"/>
    <w:rsid w:val="00CC78DD"/>
    <w:rsid w:val="00CC7DE5"/>
    <w:rsid w:val="00CD02C8"/>
    <w:rsid w:val="00CD317C"/>
    <w:rsid w:val="00CD3245"/>
    <w:rsid w:val="00CD4712"/>
    <w:rsid w:val="00CD4A58"/>
    <w:rsid w:val="00CE138C"/>
    <w:rsid w:val="00CE2496"/>
    <w:rsid w:val="00CE2E77"/>
    <w:rsid w:val="00CE4060"/>
    <w:rsid w:val="00CE409B"/>
    <w:rsid w:val="00CE5060"/>
    <w:rsid w:val="00CF0343"/>
    <w:rsid w:val="00CF0B70"/>
    <w:rsid w:val="00CF414D"/>
    <w:rsid w:val="00CF44C3"/>
    <w:rsid w:val="00CF5FC4"/>
    <w:rsid w:val="00CF61B3"/>
    <w:rsid w:val="00D0225F"/>
    <w:rsid w:val="00D02A1A"/>
    <w:rsid w:val="00D04223"/>
    <w:rsid w:val="00D04B2B"/>
    <w:rsid w:val="00D05AB1"/>
    <w:rsid w:val="00D070E4"/>
    <w:rsid w:val="00D11287"/>
    <w:rsid w:val="00D11320"/>
    <w:rsid w:val="00D122ED"/>
    <w:rsid w:val="00D130AA"/>
    <w:rsid w:val="00D141A5"/>
    <w:rsid w:val="00D14829"/>
    <w:rsid w:val="00D16C68"/>
    <w:rsid w:val="00D17978"/>
    <w:rsid w:val="00D17CC5"/>
    <w:rsid w:val="00D22DC9"/>
    <w:rsid w:val="00D22DF4"/>
    <w:rsid w:val="00D23F25"/>
    <w:rsid w:val="00D24D98"/>
    <w:rsid w:val="00D26499"/>
    <w:rsid w:val="00D2737F"/>
    <w:rsid w:val="00D2746C"/>
    <w:rsid w:val="00D27ADF"/>
    <w:rsid w:val="00D31002"/>
    <w:rsid w:val="00D35314"/>
    <w:rsid w:val="00D36365"/>
    <w:rsid w:val="00D3696F"/>
    <w:rsid w:val="00D4273F"/>
    <w:rsid w:val="00D44DEE"/>
    <w:rsid w:val="00D46479"/>
    <w:rsid w:val="00D51510"/>
    <w:rsid w:val="00D5481B"/>
    <w:rsid w:val="00D5549C"/>
    <w:rsid w:val="00D56656"/>
    <w:rsid w:val="00D577A8"/>
    <w:rsid w:val="00D57DB1"/>
    <w:rsid w:val="00D634B8"/>
    <w:rsid w:val="00D65826"/>
    <w:rsid w:val="00D66A4D"/>
    <w:rsid w:val="00D71297"/>
    <w:rsid w:val="00D71A3D"/>
    <w:rsid w:val="00D72470"/>
    <w:rsid w:val="00D72988"/>
    <w:rsid w:val="00D73E09"/>
    <w:rsid w:val="00D804FB"/>
    <w:rsid w:val="00D81486"/>
    <w:rsid w:val="00D8677A"/>
    <w:rsid w:val="00D878C8"/>
    <w:rsid w:val="00D90EBD"/>
    <w:rsid w:val="00D9367C"/>
    <w:rsid w:val="00D9414B"/>
    <w:rsid w:val="00D957B3"/>
    <w:rsid w:val="00DA022F"/>
    <w:rsid w:val="00DA1883"/>
    <w:rsid w:val="00DA20EA"/>
    <w:rsid w:val="00DA391B"/>
    <w:rsid w:val="00DA5023"/>
    <w:rsid w:val="00DA6AB7"/>
    <w:rsid w:val="00DA7B3E"/>
    <w:rsid w:val="00DB0098"/>
    <w:rsid w:val="00DB1FE1"/>
    <w:rsid w:val="00DB3B61"/>
    <w:rsid w:val="00DB4608"/>
    <w:rsid w:val="00DB6311"/>
    <w:rsid w:val="00DB6A6A"/>
    <w:rsid w:val="00DC116F"/>
    <w:rsid w:val="00DC1AC4"/>
    <w:rsid w:val="00DC2429"/>
    <w:rsid w:val="00DC3072"/>
    <w:rsid w:val="00DC3430"/>
    <w:rsid w:val="00DD077C"/>
    <w:rsid w:val="00DD0F2D"/>
    <w:rsid w:val="00DD58EA"/>
    <w:rsid w:val="00DE7936"/>
    <w:rsid w:val="00E05F3C"/>
    <w:rsid w:val="00E07735"/>
    <w:rsid w:val="00E11446"/>
    <w:rsid w:val="00E14417"/>
    <w:rsid w:val="00E1637E"/>
    <w:rsid w:val="00E1689B"/>
    <w:rsid w:val="00E17639"/>
    <w:rsid w:val="00E208D9"/>
    <w:rsid w:val="00E2150D"/>
    <w:rsid w:val="00E22338"/>
    <w:rsid w:val="00E2319C"/>
    <w:rsid w:val="00E24661"/>
    <w:rsid w:val="00E25FF1"/>
    <w:rsid w:val="00E26D36"/>
    <w:rsid w:val="00E272AD"/>
    <w:rsid w:val="00E3395A"/>
    <w:rsid w:val="00E36D00"/>
    <w:rsid w:val="00E411B9"/>
    <w:rsid w:val="00E42523"/>
    <w:rsid w:val="00E45801"/>
    <w:rsid w:val="00E4664F"/>
    <w:rsid w:val="00E52A95"/>
    <w:rsid w:val="00E5435C"/>
    <w:rsid w:val="00E55398"/>
    <w:rsid w:val="00E55CFB"/>
    <w:rsid w:val="00E6252F"/>
    <w:rsid w:val="00E62D5F"/>
    <w:rsid w:val="00E64FFC"/>
    <w:rsid w:val="00E652D9"/>
    <w:rsid w:val="00E6570C"/>
    <w:rsid w:val="00E65C51"/>
    <w:rsid w:val="00E6709C"/>
    <w:rsid w:val="00E678E2"/>
    <w:rsid w:val="00E738E7"/>
    <w:rsid w:val="00E75338"/>
    <w:rsid w:val="00E762FD"/>
    <w:rsid w:val="00E7688F"/>
    <w:rsid w:val="00E81802"/>
    <w:rsid w:val="00E8225D"/>
    <w:rsid w:val="00E82BD7"/>
    <w:rsid w:val="00E839A3"/>
    <w:rsid w:val="00E861DA"/>
    <w:rsid w:val="00E86584"/>
    <w:rsid w:val="00E8717D"/>
    <w:rsid w:val="00E912C9"/>
    <w:rsid w:val="00E92859"/>
    <w:rsid w:val="00E92C0E"/>
    <w:rsid w:val="00E960D0"/>
    <w:rsid w:val="00E96F96"/>
    <w:rsid w:val="00EA0195"/>
    <w:rsid w:val="00EA0621"/>
    <w:rsid w:val="00EA24F0"/>
    <w:rsid w:val="00EA4559"/>
    <w:rsid w:val="00EA6CFF"/>
    <w:rsid w:val="00EA7285"/>
    <w:rsid w:val="00EB0D73"/>
    <w:rsid w:val="00EB18AD"/>
    <w:rsid w:val="00EB357B"/>
    <w:rsid w:val="00EB3B6E"/>
    <w:rsid w:val="00EB4E87"/>
    <w:rsid w:val="00EB60D5"/>
    <w:rsid w:val="00EB7082"/>
    <w:rsid w:val="00EC1F7C"/>
    <w:rsid w:val="00EC2A42"/>
    <w:rsid w:val="00EC485C"/>
    <w:rsid w:val="00EC50E0"/>
    <w:rsid w:val="00EC52B3"/>
    <w:rsid w:val="00EC54D6"/>
    <w:rsid w:val="00EC5D18"/>
    <w:rsid w:val="00EC6068"/>
    <w:rsid w:val="00EC663E"/>
    <w:rsid w:val="00ED00E9"/>
    <w:rsid w:val="00ED4DAD"/>
    <w:rsid w:val="00ED4FFA"/>
    <w:rsid w:val="00ED6C78"/>
    <w:rsid w:val="00ED7F40"/>
    <w:rsid w:val="00EE4B2C"/>
    <w:rsid w:val="00EE6125"/>
    <w:rsid w:val="00EF0766"/>
    <w:rsid w:val="00EF1F23"/>
    <w:rsid w:val="00EF2724"/>
    <w:rsid w:val="00EF7050"/>
    <w:rsid w:val="00EF78C3"/>
    <w:rsid w:val="00EF7D69"/>
    <w:rsid w:val="00F01285"/>
    <w:rsid w:val="00F019EB"/>
    <w:rsid w:val="00F049EC"/>
    <w:rsid w:val="00F05D0B"/>
    <w:rsid w:val="00F06952"/>
    <w:rsid w:val="00F128A9"/>
    <w:rsid w:val="00F13A4A"/>
    <w:rsid w:val="00F145C3"/>
    <w:rsid w:val="00F14DBE"/>
    <w:rsid w:val="00F2146E"/>
    <w:rsid w:val="00F2704D"/>
    <w:rsid w:val="00F27D45"/>
    <w:rsid w:val="00F3125F"/>
    <w:rsid w:val="00F31B31"/>
    <w:rsid w:val="00F32AB7"/>
    <w:rsid w:val="00F34AC6"/>
    <w:rsid w:val="00F4037F"/>
    <w:rsid w:val="00F410AC"/>
    <w:rsid w:val="00F41B2D"/>
    <w:rsid w:val="00F445F5"/>
    <w:rsid w:val="00F45D66"/>
    <w:rsid w:val="00F51EF7"/>
    <w:rsid w:val="00F5658D"/>
    <w:rsid w:val="00F57208"/>
    <w:rsid w:val="00F57245"/>
    <w:rsid w:val="00F62747"/>
    <w:rsid w:val="00F62763"/>
    <w:rsid w:val="00F62E4F"/>
    <w:rsid w:val="00F6322E"/>
    <w:rsid w:val="00F65559"/>
    <w:rsid w:val="00F66686"/>
    <w:rsid w:val="00F6668D"/>
    <w:rsid w:val="00F67D88"/>
    <w:rsid w:val="00F71800"/>
    <w:rsid w:val="00F71926"/>
    <w:rsid w:val="00F71EEB"/>
    <w:rsid w:val="00F7237E"/>
    <w:rsid w:val="00F7272A"/>
    <w:rsid w:val="00F73D7C"/>
    <w:rsid w:val="00F7466B"/>
    <w:rsid w:val="00F750AC"/>
    <w:rsid w:val="00F7759F"/>
    <w:rsid w:val="00F8062E"/>
    <w:rsid w:val="00F80A68"/>
    <w:rsid w:val="00F818EA"/>
    <w:rsid w:val="00F84721"/>
    <w:rsid w:val="00F84D80"/>
    <w:rsid w:val="00F858C8"/>
    <w:rsid w:val="00F878BB"/>
    <w:rsid w:val="00F87B2A"/>
    <w:rsid w:val="00F87CE3"/>
    <w:rsid w:val="00F93087"/>
    <w:rsid w:val="00F93990"/>
    <w:rsid w:val="00F95881"/>
    <w:rsid w:val="00F958A5"/>
    <w:rsid w:val="00F95F52"/>
    <w:rsid w:val="00FA457F"/>
    <w:rsid w:val="00FA4D76"/>
    <w:rsid w:val="00FA4FDB"/>
    <w:rsid w:val="00FA505E"/>
    <w:rsid w:val="00FA7DAA"/>
    <w:rsid w:val="00FA7F83"/>
    <w:rsid w:val="00FB132A"/>
    <w:rsid w:val="00FB511F"/>
    <w:rsid w:val="00FB58F5"/>
    <w:rsid w:val="00FB5DE6"/>
    <w:rsid w:val="00FC401D"/>
    <w:rsid w:val="00FC42DE"/>
    <w:rsid w:val="00FC4F9A"/>
    <w:rsid w:val="00FC58B3"/>
    <w:rsid w:val="00FC6089"/>
    <w:rsid w:val="00FD239A"/>
    <w:rsid w:val="00FD35FE"/>
    <w:rsid w:val="00FD363D"/>
    <w:rsid w:val="00FD49B3"/>
    <w:rsid w:val="00FD7A6E"/>
    <w:rsid w:val="00FE031E"/>
    <w:rsid w:val="00FE0FD8"/>
    <w:rsid w:val="00FE545C"/>
    <w:rsid w:val="00FE647A"/>
    <w:rsid w:val="00FF0302"/>
    <w:rsid w:val="00FF0C12"/>
    <w:rsid w:val="00FF0EFC"/>
    <w:rsid w:val="00FF2ABE"/>
    <w:rsid w:val="00FF3882"/>
    <w:rsid w:val="00FF5830"/>
    <w:rsid w:val="00FF6B9C"/>
    <w:rsid w:val="00FF72D9"/>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D2256B-745F-4507-BB36-5B9EF70D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73D7C"/>
    <w:rPr>
      <w:rFonts w:eastAsiaTheme="minorHAnsi" w:cstheme="minorBidi"/>
      <w:sz w:val="21"/>
      <w:szCs w:val="21"/>
    </w:rPr>
  </w:style>
  <w:style w:type="character" w:customStyle="1" w:styleId="PlainTextChar">
    <w:name w:val="Plain Text Char"/>
    <w:basedOn w:val="DefaultParagraphFont"/>
    <w:link w:val="PlainText"/>
    <w:uiPriority w:val="99"/>
    <w:rsid w:val="00F73D7C"/>
    <w:rPr>
      <w:rFonts w:ascii="Arial" w:eastAsiaTheme="minorHAnsi" w:hAnsi="Arial" w:cstheme="minorBidi"/>
      <w:sz w:val="21"/>
      <w:szCs w:val="21"/>
    </w:rPr>
  </w:style>
  <w:style w:type="paragraph" w:customStyle="1" w:styleId="Subhead">
    <w:name w:val="Subhead"/>
    <w:basedOn w:val="Normal"/>
    <w:link w:val="SubheadChar"/>
    <w:qFormat/>
    <w:rsid w:val="006A5EED"/>
    <w:pPr>
      <w:spacing w:before="240" w:after="120"/>
      <w:ind w:left="720"/>
      <w:contextualSpacing/>
    </w:pPr>
    <w:rPr>
      <w:rFonts w:eastAsia="Calibri"/>
      <w:b/>
      <w:lang w:eastAsia="en-US"/>
    </w:rPr>
  </w:style>
  <w:style w:type="character" w:customStyle="1" w:styleId="SubheadChar">
    <w:name w:val="Subhead Char"/>
    <w:basedOn w:val="DefaultParagraphFont"/>
    <w:link w:val="Subhead"/>
    <w:rsid w:val="006A5EED"/>
    <w:rPr>
      <w:rFonts w:ascii="Arial" w:eastAsia="Calibri" w:hAnsi="Arial"/>
      <w:b/>
      <w:sz w:val="24"/>
      <w:szCs w:val="24"/>
      <w:lang w:eastAsia="en-US"/>
    </w:rPr>
  </w:style>
  <w:style w:type="paragraph" w:styleId="NormalWeb">
    <w:name w:val="Normal (Web)"/>
    <w:basedOn w:val="Normal"/>
    <w:uiPriority w:val="99"/>
    <w:semiHidden/>
    <w:unhideWhenUsed/>
    <w:rsid w:val="00B5442A"/>
    <w:pPr>
      <w:spacing w:after="135"/>
    </w:pPr>
    <w:rPr>
      <w:rFonts w:ascii="Times New Roman" w:hAnsi="Times New Roman"/>
    </w:rPr>
  </w:style>
  <w:style w:type="character" w:styleId="Emphasis">
    <w:name w:val="Emphasis"/>
    <w:basedOn w:val="DefaultParagraphFont"/>
    <w:uiPriority w:val="20"/>
    <w:qFormat/>
    <w:rsid w:val="009C7191"/>
    <w:rPr>
      <w:i/>
      <w:iCs/>
    </w:rPr>
  </w:style>
  <w:style w:type="character" w:styleId="Strong">
    <w:name w:val="Strong"/>
    <w:basedOn w:val="DefaultParagraphFont"/>
    <w:uiPriority w:val="22"/>
    <w:qFormat/>
    <w:rsid w:val="009C7191"/>
    <w:rPr>
      <w:b/>
      <w:bCs/>
    </w:rPr>
  </w:style>
  <w:style w:type="numbering" w:customStyle="1" w:styleId="LFO9">
    <w:name w:val="LFO9"/>
    <w:basedOn w:val="NoList"/>
    <w:rsid w:val="003B774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409">
      <w:bodyDiv w:val="1"/>
      <w:marLeft w:val="0"/>
      <w:marRight w:val="0"/>
      <w:marTop w:val="0"/>
      <w:marBottom w:val="0"/>
      <w:divBdr>
        <w:top w:val="none" w:sz="0" w:space="0" w:color="auto"/>
        <w:left w:val="none" w:sz="0" w:space="0" w:color="auto"/>
        <w:bottom w:val="none" w:sz="0" w:space="0" w:color="auto"/>
        <w:right w:val="none" w:sz="0" w:space="0" w:color="auto"/>
      </w:divBdr>
    </w:div>
    <w:div w:id="48770939">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82212906">
      <w:bodyDiv w:val="1"/>
      <w:marLeft w:val="0"/>
      <w:marRight w:val="0"/>
      <w:marTop w:val="0"/>
      <w:marBottom w:val="0"/>
      <w:divBdr>
        <w:top w:val="none" w:sz="0" w:space="0" w:color="auto"/>
        <w:left w:val="none" w:sz="0" w:space="0" w:color="auto"/>
        <w:bottom w:val="none" w:sz="0" w:space="0" w:color="auto"/>
        <w:right w:val="none" w:sz="0" w:space="0" w:color="auto"/>
      </w:divBdr>
      <w:divsChild>
        <w:div w:id="647512406">
          <w:marLeft w:val="0"/>
          <w:marRight w:val="0"/>
          <w:marTop w:val="0"/>
          <w:marBottom w:val="0"/>
          <w:divBdr>
            <w:top w:val="none" w:sz="0" w:space="0" w:color="auto"/>
            <w:left w:val="none" w:sz="0" w:space="0" w:color="auto"/>
            <w:bottom w:val="none" w:sz="0" w:space="0" w:color="auto"/>
            <w:right w:val="none" w:sz="0" w:space="0" w:color="auto"/>
          </w:divBdr>
          <w:divsChild>
            <w:div w:id="162595531">
              <w:marLeft w:val="0"/>
              <w:marRight w:val="0"/>
              <w:marTop w:val="0"/>
              <w:marBottom w:val="0"/>
              <w:divBdr>
                <w:top w:val="none" w:sz="0" w:space="0" w:color="auto"/>
                <w:left w:val="none" w:sz="0" w:space="0" w:color="auto"/>
                <w:bottom w:val="none" w:sz="0" w:space="0" w:color="auto"/>
                <w:right w:val="none" w:sz="0" w:space="0" w:color="auto"/>
              </w:divBdr>
              <w:divsChild>
                <w:div w:id="750850993">
                  <w:marLeft w:val="0"/>
                  <w:marRight w:val="0"/>
                  <w:marTop w:val="0"/>
                  <w:marBottom w:val="0"/>
                  <w:divBdr>
                    <w:top w:val="none" w:sz="0" w:space="0" w:color="auto"/>
                    <w:left w:val="none" w:sz="0" w:space="0" w:color="auto"/>
                    <w:bottom w:val="none" w:sz="0" w:space="0" w:color="auto"/>
                    <w:right w:val="none" w:sz="0" w:space="0" w:color="auto"/>
                  </w:divBdr>
                  <w:divsChild>
                    <w:div w:id="1801148103">
                      <w:marLeft w:val="0"/>
                      <w:marRight w:val="0"/>
                      <w:marTop w:val="0"/>
                      <w:marBottom w:val="0"/>
                      <w:divBdr>
                        <w:top w:val="none" w:sz="0" w:space="0" w:color="auto"/>
                        <w:left w:val="none" w:sz="0" w:space="0" w:color="auto"/>
                        <w:bottom w:val="none" w:sz="0" w:space="0" w:color="auto"/>
                        <w:right w:val="none" w:sz="0" w:space="0" w:color="auto"/>
                      </w:divBdr>
                      <w:divsChild>
                        <w:div w:id="1637447574">
                          <w:marLeft w:val="0"/>
                          <w:marRight w:val="0"/>
                          <w:marTop w:val="0"/>
                          <w:marBottom w:val="0"/>
                          <w:divBdr>
                            <w:top w:val="none" w:sz="0" w:space="0" w:color="auto"/>
                            <w:left w:val="none" w:sz="0" w:space="0" w:color="auto"/>
                            <w:bottom w:val="none" w:sz="0" w:space="0" w:color="auto"/>
                            <w:right w:val="none" w:sz="0" w:space="0" w:color="auto"/>
                          </w:divBdr>
                          <w:divsChild>
                            <w:div w:id="1889296510">
                              <w:marLeft w:val="-225"/>
                              <w:marRight w:val="-225"/>
                              <w:marTop w:val="0"/>
                              <w:marBottom w:val="0"/>
                              <w:divBdr>
                                <w:top w:val="none" w:sz="0" w:space="0" w:color="auto"/>
                                <w:left w:val="none" w:sz="0" w:space="0" w:color="auto"/>
                                <w:bottom w:val="none" w:sz="0" w:space="0" w:color="auto"/>
                                <w:right w:val="none" w:sz="0" w:space="0" w:color="auto"/>
                              </w:divBdr>
                              <w:divsChild>
                                <w:div w:id="501967338">
                                  <w:marLeft w:val="0"/>
                                  <w:marRight w:val="0"/>
                                  <w:marTop w:val="0"/>
                                  <w:marBottom w:val="0"/>
                                  <w:divBdr>
                                    <w:top w:val="none" w:sz="0" w:space="0" w:color="auto"/>
                                    <w:left w:val="none" w:sz="0" w:space="0" w:color="auto"/>
                                    <w:bottom w:val="none" w:sz="0" w:space="0" w:color="auto"/>
                                    <w:right w:val="none" w:sz="0" w:space="0" w:color="auto"/>
                                  </w:divBdr>
                                  <w:divsChild>
                                    <w:div w:id="221791945">
                                      <w:marLeft w:val="0"/>
                                      <w:marRight w:val="0"/>
                                      <w:marTop w:val="0"/>
                                      <w:marBottom w:val="0"/>
                                      <w:divBdr>
                                        <w:top w:val="none" w:sz="0" w:space="0" w:color="auto"/>
                                        <w:left w:val="none" w:sz="0" w:space="0" w:color="auto"/>
                                        <w:bottom w:val="none" w:sz="0" w:space="0" w:color="auto"/>
                                        <w:right w:val="none" w:sz="0" w:space="0" w:color="auto"/>
                                      </w:divBdr>
                                      <w:divsChild>
                                        <w:div w:id="1603486828">
                                          <w:marLeft w:val="-113"/>
                                          <w:marRight w:val="-113"/>
                                          <w:marTop w:val="0"/>
                                          <w:marBottom w:val="0"/>
                                          <w:divBdr>
                                            <w:top w:val="none" w:sz="0" w:space="0" w:color="auto"/>
                                            <w:left w:val="none" w:sz="0" w:space="0" w:color="auto"/>
                                            <w:bottom w:val="none" w:sz="0" w:space="0" w:color="auto"/>
                                            <w:right w:val="none" w:sz="0" w:space="0" w:color="auto"/>
                                          </w:divBdr>
                                          <w:divsChild>
                                            <w:div w:id="976689610">
                                              <w:marLeft w:val="0"/>
                                              <w:marRight w:val="0"/>
                                              <w:marTop w:val="0"/>
                                              <w:marBottom w:val="0"/>
                                              <w:divBdr>
                                                <w:top w:val="none" w:sz="0" w:space="0" w:color="auto"/>
                                                <w:left w:val="none" w:sz="0" w:space="0" w:color="auto"/>
                                                <w:bottom w:val="none" w:sz="0" w:space="0" w:color="auto"/>
                                                <w:right w:val="none" w:sz="0" w:space="0" w:color="auto"/>
                                              </w:divBdr>
                                              <w:divsChild>
                                                <w:div w:id="191847825">
                                                  <w:marLeft w:val="0"/>
                                                  <w:marRight w:val="0"/>
                                                  <w:marTop w:val="0"/>
                                                  <w:marBottom w:val="0"/>
                                                  <w:divBdr>
                                                    <w:top w:val="none" w:sz="0" w:space="0" w:color="auto"/>
                                                    <w:left w:val="none" w:sz="0" w:space="0" w:color="auto"/>
                                                    <w:bottom w:val="none" w:sz="0" w:space="0" w:color="auto"/>
                                                    <w:right w:val="none" w:sz="0" w:space="0" w:color="auto"/>
                                                  </w:divBdr>
                                                  <w:divsChild>
                                                    <w:div w:id="1828207774">
                                                      <w:marLeft w:val="0"/>
                                                      <w:marRight w:val="0"/>
                                                      <w:marTop w:val="0"/>
                                                      <w:marBottom w:val="0"/>
                                                      <w:divBdr>
                                                        <w:top w:val="none" w:sz="0" w:space="0" w:color="auto"/>
                                                        <w:left w:val="none" w:sz="0" w:space="0" w:color="auto"/>
                                                        <w:bottom w:val="none" w:sz="0" w:space="0" w:color="auto"/>
                                                        <w:right w:val="none" w:sz="0" w:space="0" w:color="auto"/>
                                                      </w:divBdr>
                                                      <w:divsChild>
                                                        <w:div w:id="1326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555331">
      <w:bodyDiv w:val="1"/>
      <w:marLeft w:val="0"/>
      <w:marRight w:val="0"/>
      <w:marTop w:val="0"/>
      <w:marBottom w:val="0"/>
      <w:divBdr>
        <w:top w:val="none" w:sz="0" w:space="0" w:color="auto"/>
        <w:left w:val="none" w:sz="0" w:space="0" w:color="auto"/>
        <w:bottom w:val="none" w:sz="0" w:space="0" w:color="auto"/>
        <w:right w:val="none" w:sz="0" w:space="0" w:color="auto"/>
      </w:divBdr>
    </w:div>
    <w:div w:id="371878980">
      <w:bodyDiv w:val="1"/>
      <w:marLeft w:val="0"/>
      <w:marRight w:val="0"/>
      <w:marTop w:val="0"/>
      <w:marBottom w:val="0"/>
      <w:divBdr>
        <w:top w:val="none" w:sz="0" w:space="0" w:color="auto"/>
        <w:left w:val="none" w:sz="0" w:space="0" w:color="auto"/>
        <w:bottom w:val="none" w:sz="0" w:space="0" w:color="auto"/>
        <w:right w:val="none" w:sz="0" w:space="0" w:color="auto"/>
      </w:divBdr>
    </w:div>
    <w:div w:id="422457948">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548151614">
      <w:bodyDiv w:val="1"/>
      <w:marLeft w:val="0"/>
      <w:marRight w:val="0"/>
      <w:marTop w:val="0"/>
      <w:marBottom w:val="0"/>
      <w:divBdr>
        <w:top w:val="none" w:sz="0" w:space="0" w:color="auto"/>
        <w:left w:val="none" w:sz="0" w:space="0" w:color="auto"/>
        <w:bottom w:val="none" w:sz="0" w:space="0" w:color="auto"/>
        <w:right w:val="none" w:sz="0" w:space="0" w:color="auto"/>
      </w:divBdr>
    </w:div>
    <w:div w:id="624772902">
      <w:bodyDiv w:val="1"/>
      <w:marLeft w:val="0"/>
      <w:marRight w:val="0"/>
      <w:marTop w:val="0"/>
      <w:marBottom w:val="0"/>
      <w:divBdr>
        <w:top w:val="none" w:sz="0" w:space="0" w:color="auto"/>
        <w:left w:val="none" w:sz="0" w:space="0" w:color="auto"/>
        <w:bottom w:val="none" w:sz="0" w:space="0" w:color="auto"/>
        <w:right w:val="none" w:sz="0" w:space="0" w:color="auto"/>
      </w:divBdr>
      <w:divsChild>
        <w:div w:id="2030715673">
          <w:marLeft w:val="2"/>
          <w:marRight w:val="2"/>
          <w:marTop w:val="837"/>
          <w:marBottom w:val="335"/>
          <w:divBdr>
            <w:top w:val="none" w:sz="0" w:space="0" w:color="auto"/>
            <w:left w:val="none" w:sz="0" w:space="0" w:color="auto"/>
            <w:bottom w:val="none" w:sz="0" w:space="0" w:color="auto"/>
            <w:right w:val="none" w:sz="0" w:space="0" w:color="auto"/>
          </w:divBdr>
        </w:div>
      </w:divsChild>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76075813">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970281942">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115253475">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67345483">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528592446">
      <w:bodyDiv w:val="1"/>
      <w:marLeft w:val="0"/>
      <w:marRight w:val="0"/>
      <w:marTop w:val="0"/>
      <w:marBottom w:val="0"/>
      <w:divBdr>
        <w:top w:val="none" w:sz="0" w:space="0" w:color="auto"/>
        <w:left w:val="none" w:sz="0" w:space="0" w:color="auto"/>
        <w:bottom w:val="none" w:sz="0" w:space="0" w:color="auto"/>
        <w:right w:val="none" w:sz="0" w:space="0" w:color="auto"/>
      </w:divBdr>
    </w:div>
    <w:div w:id="1537044183">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93271932">
      <w:bodyDiv w:val="1"/>
      <w:marLeft w:val="0"/>
      <w:marRight w:val="0"/>
      <w:marTop w:val="0"/>
      <w:marBottom w:val="0"/>
      <w:divBdr>
        <w:top w:val="none" w:sz="0" w:space="0" w:color="auto"/>
        <w:left w:val="none" w:sz="0" w:space="0" w:color="auto"/>
        <w:bottom w:val="none" w:sz="0" w:space="0" w:color="auto"/>
        <w:right w:val="none" w:sz="0" w:space="0" w:color="auto"/>
      </w:divBdr>
    </w:div>
    <w:div w:id="1604220201">
      <w:bodyDiv w:val="1"/>
      <w:marLeft w:val="0"/>
      <w:marRight w:val="0"/>
      <w:marTop w:val="0"/>
      <w:marBottom w:val="0"/>
      <w:divBdr>
        <w:top w:val="none" w:sz="0" w:space="0" w:color="auto"/>
        <w:left w:val="none" w:sz="0" w:space="0" w:color="auto"/>
        <w:bottom w:val="none" w:sz="0" w:space="0" w:color="auto"/>
        <w:right w:val="none" w:sz="0" w:space="0" w:color="auto"/>
      </w:divBdr>
    </w:div>
    <w:div w:id="1624070760">
      <w:bodyDiv w:val="1"/>
      <w:marLeft w:val="0"/>
      <w:marRight w:val="0"/>
      <w:marTop w:val="0"/>
      <w:marBottom w:val="0"/>
      <w:divBdr>
        <w:top w:val="none" w:sz="0" w:space="0" w:color="auto"/>
        <w:left w:val="none" w:sz="0" w:space="0" w:color="auto"/>
        <w:bottom w:val="none" w:sz="0" w:space="0" w:color="auto"/>
        <w:right w:val="none" w:sz="0" w:space="0" w:color="auto"/>
      </w:divBdr>
    </w:div>
    <w:div w:id="1644769803">
      <w:bodyDiv w:val="1"/>
      <w:marLeft w:val="0"/>
      <w:marRight w:val="0"/>
      <w:marTop w:val="0"/>
      <w:marBottom w:val="0"/>
      <w:divBdr>
        <w:top w:val="none" w:sz="0" w:space="0" w:color="auto"/>
        <w:left w:val="none" w:sz="0" w:space="0" w:color="auto"/>
        <w:bottom w:val="none" w:sz="0" w:space="0" w:color="auto"/>
        <w:right w:val="none" w:sz="0" w:space="0" w:color="auto"/>
      </w:divBdr>
    </w:div>
    <w:div w:id="1655379548">
      <w:bodyDiv w:val="1"/>
      <w:marLeft w:val="0"/>
      <w:marRight w:val="0"/>
      <w:marTop w:val="0"/>
      <w:marBottom w:val="0"/>
      <w:divBdr>
        <w:top w:val="none" w:sz="0" w:space="0" w:color="auto"/>
        <w:left w:val="none" w:sz="0" w:space="0" w:color="auto"/>
        <w:bottom w:val="none" w:sz="0" w:space="0" w:color="auto"/>
        <w:right w:val="none" w:sz="0" w:space="0" w:color="auto"/>
      </w:divBdr>
    </w:div>
    <w:div w:id="1692410073">
      <w:bodyDiv w:val="1"/>
      <w:marLeft w:val="0"/>
      <w:marRight w:val="0"/>
      <w:marTop w:val="0"/>
      <w:marBottom w:val="0"/>
      <w:divBdr>
        <w:top w:val="none" w:sz="0" w:space="0" w:color="auto"/>
        <w:left w:val="none" w:sz="0" w:space="0" w:color="auto"/>
        <w:bottom w:val="none" w:sz="0" w:space="0" w:color="auto"/>
        <w:right w:val="none" w:sz="0" w:space="0" w:color="auto"/>
      </w:divBdr>
    </w:div>
    <w:div w:id="1724020874">
      <w:bodyDiv w:val="1"/>
      <w:marLeft w:val="0"/>
      <w:marRight w:val="0"/>
      <w:marTop w:val="0"/>
      <w:marBottom w:val="0"/>
      <w:divBdr>
        <w:top w:val="none" w:sz="0" w:space="0" w:color="auto"/>
        <w:left w:val="none" w:sz="0" w:space="0" w:color="auto"/>
        <w:bottom w:val="none" w:sz="0" w:space="0" w:color="auto"/>
        <w:right w:val="none" w:sz="0" w:space="0" w:color="auto"/>
      </w:divBdr>
    </w:div>
    <w:div w:id="1736969919">
      <w:bodyDiv w:val="1"/>
      <w:marLeft w:val="0"/>
      <w:marRight w:val="0"/>
      <w:marTop w:val="0"/>
      <w:marBottom w:val="0"/>
      <w:divBdr>
        <w:top w:val="none" w:sz="0" w:space="0" w:color="auto"/>
        <w:left w:val="none" w:sz="0" w:space="0" w:color="auto"/>
        <w:bottom w:val="none" w:sz="0" w:space="0" w:color="auto"/>
        <w:right w:val="none" w:sz="0" w:space="0" w:color="auto"/>
      </w:divBdr>
    </w:div>
    <w:div w:id="1740520773">
      <w:bodyDiv w:val="1"/>
      <w:marLeft w:val="0"/>
      <w:marRight w:val="0"/>
      <w:marTop w:val="0"/>
      <w:marBottom w:val="0"/>
      <w:divBdr>
        <w:top w:val="none" w:sz="0" w:space="0" w:color="auto"/>
        <w:left w:val="none" w:sz="0" w:space="0" w:color="auto"/>
        <w:bottom w:val="none" w:sz="0" w:space="0" w:color="auto"/>
        <w:right w:val="none" w:sz="0" w:space="0" w:color="auto"/>
      </w:divBdr>
    </w:div>
    <w:div w:id="1903717346">
      <w:bodyDiv w:val="1"/>
      <w:marLeft w:val="0"/>
      <w:marRight w:val="0"/>
      <w:marTop w:val="0"/>
      <w:marBottom w:val="0"/>
      <w:divBdr>
        <w:top w:val="none" w:sz="0" w:space="0" w:color="auto"/>
        <w:left w:val="none" w:sz="0" w:space="0" w:color="auto"/>
        <w:bottom w:val="none" w:sz="0" w:space="0" w:color="auto"/>
        <w:right w:val="none" w:sz="0" w:space="0" w:color="auto"/>
      </w:divBdr>
    </w:div>
    <w:div w:id="1938562307">
      <w:bodyDiv w:val="1"/>
      <w:marLeft w:val="0"/>
      <w:marRight w:val="0"/>
      <w:marTop w:val="0"/>
      <w:marBottom w:val="0"/>
      <w:divBdr>
        <w:top w:val="none" w:sz="0" w:space="0" w:color="auto"/>
        <w:left w:val="none" w:sz="0" w:space="0" w:color="auto"/>
        <w:bottom w:val="none" w:sz="0" w:space="0" w:color="auto"/>
        <w:right w:val="none" w:sz="0" w:space="0" w:color="auto"/>
      </w:divBdr>
    </w:div>
    <w:div w:id="1950426846">
      <w:bodyDiv w:val="1"/>
      <w:marLeft w:val="0"/>
      <w:marRight w:val="0"/>
      <w:marTop w:val="0"/>
      <w:marBottom w:val="0"/>
      <w:divBdr>
        <w:top w:val="none" w:sz="0" w:space="0" w:color="auto"/>
        <w:left w:val="none" w:sz="0" w:space="0" w:color="auto"/>
        <w:bottom w:val="none" w:sz="0" w:space="0" w:color="auto"/>
        <w:right w:val="none" w:sz="0" w:space="0" w:color="auto"/>
      </w:divBdr>
    </w:div>
    <w:div w:id="2006516880">
      <w:bodyDiv w:val="1"/>
      <w:marLeft w:val="0"/>
      <w:marRight w:val="0"/>
      <w:marTop w:val="0"/>
      <w:marBottom w:val="0"/>
      <w:divBdr>
        <w:top w:val="none" w:sz="0" w:space="0" w:color="auto"/>
        <w:left w:val="none" w:sz="0" w:space="0" w:color="auto"/>
        <w:bottom w:val="none" w:sz="0" w:space="0" w:color="auto"/>
        <w:right w:val="none" w:sz="0" w:space="0" w:color="auto"/>
      </w:divBdr>
    </w:div>
    <w:div w:id="2069913327">
      <w:bodyDiv w:val="1"/>
      <w:marLeft w:val="0"/>
      <w:marRight w:val="0"/>
      <w:marTop w:val="0"/>
      <w:marBottom w:val="0"/>
      <w:divBdr>
        <w:top w:val="none" w:sz="0" w:space="0" w:color="auto"/>
        <w:left w:val="none" w:sz="0" w:space="0" w:color="auto"/>
        <w:bottom w:val="none" w:sz="0" w:space="0" w:color="auto"/>
        <w:right w:val="none" w:sz="0" w:space="0" w:color="auto"/>
      </w:divBdr>
    </w:div>
    <w:div w:id="2117211840">
      <w:bodyDiv w:val="1"/>
      <w:marLeft w:val="0"/>
      <w:marRight w:val="0"/>
      <w:marTop w:val="0"/>
      <w:marBottom w:val="0"/>
      <w:divBdr>
        <w:top w:val="none" w:sz="0" w:space="0" w:color="auto"/>
        <w:left w:val="none" w:sz="0" w:space="0" w:color="auto"/>
        <w:bottom w:val="none" w:sz="0" w:space="0" w:color="auto"/>
        <w:right w:val="none" w:sz="0" w:space="0" w:color="auto"/>
      </w:divBdr>
    </w:div>
    <w:div w:id="2124111969">
      <w:bodyDiv w:val="1"/>
      <w:marLeft w:val="0"/>
      <w:marRight w:val="0"/>
      <w:marTop w:val="0"/>
      <w:marBottom w:val="0"/>
      <w:divBdr>
        <w:top w:val="none" w:sz="0" w:space="0" w:color="auto"/>
        <w:left w:val="none" w:sz="0" w:space="0" w:color="auto"/>
        <w:bottom w:val="none" w:sz="0" w:space="0" w:color="auto"/>
        <w:right w:val="none" w:sz="0" w:space="0" w:color="auto"/>
      </w:divBdr>
    </w:div>
    <w:div w:id="2127235509">
      <w:bodyDiv w:val="1"/>
      <w:marLeft w:val="0"/>
      <w:marRight w:val="0"/>
      <w:marTop w:val="0"/>
      <w:marBottom w:val="0"/>
      <w:divBdr>
        <w:top w:val="none" w:sz="0" w:space="0" w:color="auto"/>
        <w:left w:val="none" w:sz="0" w:space="0" w:color="auto"/>
        <w:bottom w:val="none" w:sz="0" w:space="0" w:color="auto"/>
        <w:right w:val="none" w:sz="0" w:space="0" w:color="auto"/>
      </w:divBdr>
    </w:div>
    <w:div w:id="21387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B556-5344-4457-BE01-B2BD9E93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3094</Words>
  <Characters>16317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keywords/>
  <dc:description/>
  <cp:lastModifiedBy>Young Nichola</cp:lastModifiedBy>
  <cp:revision>2</cp:revision>
  <cp:lastPrinted>2017-09-19T09:27:00Z</cp:lastPrinted>
  <dcterms:created xsi:type="dcterms:W3CDTF">2017-10-18T14:30:00Z</dcterms:created>
  <dcterms:modified xsi:type="dcterms:W3CDTF">2017-10-18T14:30:00Z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