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5819" w14:textId="77777777" w:rsidR="003568BF" w:rsidRPr="005B4A8D" w:rsidRDefault="003568BF" w:rsidP="003568BF">
      <w:pPr>
        <w:jc w:val="center"/>
        <w:rPr>
          <w:rFonts w:cs="Arial"/>
          <w:b/>
          <w:color w:val="000000"/>
        </w:rPr>
      </w:pPr>
      <w:r w:rsidRPr="005B4A8D">
        <w:rPr>
          <w:rFonts w:cs="Arial"/>
          <w:b/>
          <w:color w:val="000000"/>
        </w:rPr>
        <w:t>(</w:t>
      </w:r>
      <w:r w:rsidR="004F787C" w:rsidRPr="005B4A8D">
        <w:rPr>
          <w:rFonts w:cs="Arial"/>
          <w:b/>
          <w:color w:val="000000"/>
        </w:rPr>
        <w:t>BARKING AND DAGENHAM SCHOOL</w:t>
      </w:r>
      <w:r w:rsidR="00AF6019" w:rsidRPr="005B4A8D">
        <w:rPr>
          <w:rFonts w:cs="Arial"/>
          <w:b/>
          <w:color w:val="000000"/>
        </w:rPr>
        <w:t>S</w:t>
      </w:r>
      <w:r w:rsidR="004F787C" w:rsidRPr="005B4A8D">
        <w:rPr>
          <w:rFonts w:cs="Arial"/>
          <w:b/>
          <w:color w:val="000000"/>
        </w:rPr>
        <w:t xml:space="preserve"> FORUM</w:t>
      </w:r>
      <w:r w:rsidRPr="005B4A8D">
        <w:rPr>
          <w:rFonts w:cs="Arial"/>
          <w:b/>
          <w:color w:val="000000"/>
        </w:rPr>
        <w:t>)</w:t>
      </w:r>
    </w:p>
    <w:p w14:paraId="40C4B530" w14:textId="77777777" w:rsidR="009A0F2F" w:rsidRPr="005B4A8D" w:rsidRDefault="009A0F2F" w:rsidP="00242399">
      <w:pPr>
        <w:jc w:val="center"/>
        <w:rPr>
          <w:rFonts w:cs="Arial"/>
          <w:b/>
          <w:color w:val="000000"/>
          <w:sz w:val="20"/>
          <w:szCs w:val="20"/>
        </w:rPr>
      </w:pPr>
    </w:p>
    <w:p w14:paraId="5567C0D0" w14:textId="694ED67F" w:rsidR="009A0F2F" w:rsidRPr="005B4A8D" w:rsidRDefault="0077669A" w:rsidP="00DD34BC">
      <w:pPr>
        <w:jc w:val="center"/>
        <w:rPr>
          <w:rFonts w:cs="Arial"/>
          <w:b/>
          <w:color w:val="000000"/>
        </w:rPr>
      </w:pPr>
      <w:r w:rsidRPr="005B4A8D">
        <w:rPr>
          <w:rFonts w:cs="Arial"/>
          <w:b/>
          <w:color w:val="000000"/>
        </w:rPr>
        <w:t>18 October 2018</w:t>
      </w:r>
    </w:p>
    <w:p w14:paraId="085CC541" w14:textId="77777777" w:rsidR="0077669A" w:rsidRPr="005B4A8D" w:rsidRDefault="0077669A" w:rsidP="00DD34BC">
      <w:pPr>
        <w:jc w:val="center"/>
        <w:rPr>
          <w:rFonts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3756"/>
      </w:tblGrid>
      <w:tr w:rsidR="00462371" w:rsidRPr="005B4A8D" w14:paraId="7B81EE34" w14:textId="77777777" w:rsidTr="00E0148C">
        <w:tc>
          <w:tcPr>
            <w:tcW w:w="9631" w:type="dxa"/>
            <w:gridSpan w:val="2"/>
          </w:tcPr>
          <w:p w14:paraId="6A081259" w14:textId="1EC2B0CD" w:rsidR="00462371" w:rsidRPr="005B4A8D" w:rsidRDefault="00462371" w:rsidP="00385FC8">
            <w:pPr>
              <w:rPr>
                <w:rFonts w:cs="Arial"/>
                <w:color w:val="000000"/>
              </w:rPr>
            </w:pPr>
            <w:r w:rsidRPr="005B4A8D">
              <w:rPr>
                <w:rFonts w:cs="Arial"/>
                <w:b/>
              </w:rPr>
              <w:t>Title:</w:t>
            </w:r>
            <w:r w:rsidRPr="005B4A8D">
              <w:rPr>
                <w:rFonts w:cs="Arial"/>
              </w:rPr>
              <w:t xml:space="preserve"> </w:t>
            </w:r>
            <w:r w:rsidR="00E45801" w:rsidRPr="005B4A8D">
              <w:rPr>
                <w:rFonts w:cs="Arial"/>
                <w:color w:val="000000"/>
              </w:rPr>
              <w:t>School</w:t>
            </w:r>
            <w:r w:rsidR="006C5B72">
              <w:rPr>
                <w:rFonts w:cs="Arial"/>
                <w:color w:val="000000"/>
              </w:rPr>
              <w:t>s</w:t>
            </w:r>
            <w:r w:rsidR="00A24752">
              <w:rPr>
                <w:rFonts w:cs="Arial"/>
                <w:color w:val="000000"/>
              </w:rPr>
              <w:t>’</w:t>
            </w:r>
            <w:bookmarkStart w:id="0" w:name="_GoBack"/>
            <w:bookmarkEnd w:id="0"/>
            <w:r w:rsidR="00E45801" w:rsidRPr="005B4A8D">
              <w:rPr>
                <w:rFonts w:cs="Arial"/>
                <w:color w:val="000000"/>
              </w:rPr>
              <w:t xml:space="preserve"> F</w:t>
            </w:r>
            <w:r w:rsidR="00385FC8" w:rsidRPr="005B4A8D">
              <w:rPr>
                <w:rFonts w:cs="Arial"/>
                <w:color w:val="000000"/>
              </w:rPr>
              <w:t>orum Report</w:t>
            </w:r>
          </w:p>
          <w:p w14:paraId="52B4C1F6" w14:textId="77777777" w:rsidR="00385FC8" w:rsidRPr="005B4A8D" w:rsidRDefault="00385FC8" w:rsidP="00385FC8">
            <w:pPr>
              <w:rPr>
                <w:rFonts w:cs="Arial"/>
              </w:rPr>
            </w:pPr>
          </w:p>
        </w:tc>
      </w:tr>
      <w:tr w:rsidR="00461800" w:rsidRPr="005B4A8D" w14:paraId="351E37E7" w14:textId="77777777" w:rsidTr="00E0148C">
        <w:tc>
          <w:tcPr>
            <w:tcW w:w="6182" w:type="dxa"/>
          </w:tcPr>
          <w:p w14:paraId="429C3A0D" w14:textId="77777777" w:rsidR="00461800" w:rsidRPr="005B4A8D" w:rsidRDefault="00461800" w:rsidP="00462371">
            <w:pPr>
              <w:rPr>
                <w:rFonts w:cs="Arial"/>
              </w:rPr>
            </w:pPr>
            <w:r w:rsidRPr="005B4A8D">
              <w:rPr>
                <w:rFonts w:cs="Arial"/>
                <w:b/>
              </w:rPr>
              <w:t>O</w:t>
            </w:r>
            <w:r w:rsidR="00DC116F" w:rsidRPr="005B4A8D">
              <w:rPr>
                <w:rFonts w:cs="Arial"/>
                <w:b/>
              </w:rPr>
              <w:t>pen</w:t>
            </w:r>
          </w:p>
          <w:p w14:paraId="7E6BD39E" w14:textId="77777777" w:rsidR="00461800" w:rsidRPr="005B4A8D" w:rsidRDefault="00461800" w:rsidP="00462371">
            <w:pPr>
              <w:rPr>
                <w:rFonts w:cs="Arial"/>
                <w:b/>
              </w:rPr>
            </w:pPr>
          </w:p>
        </w:tc>
        <w:tc>
          <w:tcPr>
            <w:tcW w:w="3449" w:type="dxa"/>
          </w:tcPr>
          <w:p w14:paraId="09A25EDF" w14:textId="77777777" w:rsidR="00461800" w:rsidRPr="005B4A8D" w:rsidRDefault="00462371" w:rsidP="00F62747">
            <w:pPr>
              <w:rPr>
                <w:rFonts w:cs="Arial"/>
                <w:b/>
              </w:rPr>
            </w:pPr>
            <w:r w:rsidRPr="005B4A8D">
              <w:rPr>
                <w:rFonts w:cs="Arial"/>
                <w:b/>
              </w:rPr>
              <w:t>For Decision / For Information</w:t>
            </w:r>
          </w:p>
        </w:tc>
      </w:tr>
      <w:tr w:rsidR="00462371" w:rsidRPr="005B4A8D" w14:paraId="2A3897FA" w14:textId="77777777" w:rsidTr="00E0148C">
        <w:tc>
          <w:tcPr>
            <w:tcW w:w="6182" w:type="dxa"/>
          </w:tcPr>
          <w:p w14:paraId="635356CF" w14:textId="77777777" w:rsidR="00462371" w:rsidRPr="005B4A8D" w:rsidRDefault="00462371" w:rsidP="00191E9D">
            <w:pPr>
              <w:rPr>
                <w:rFonts w:cs="Arial"/>
                <w:b/>
              </w:rPr>
            </w:pPr>
            <w:r w:rsidRPr="005B4A8D">
              <w:rPr>
                <w:rFonts w:cs="Arial"/>
                <w:b/>
              </w:rPr>
              <w:t xml:space="preserve">Wards Affected: </w:t>
            </w:r>
            <w:r w:rsidR="004F787C" w:rsidRPr="005B4A8D">
              <w:rPr>
                <w:rFonts w:cs="Arial"/>
                <w:b/>
              </w:rPr>
              <w:t>All</w:t>
            </w:r>
          </w:p>
        </w:tc>
        <w:tc>
          <w:tcPr>
            <w:tcW w:w="3449" w:type="dxa"/>
          </w:tcPr>
          <w:p w14:paraId="0F361E64" w14:textId="77777777" w:rsidR="00462371" w:rsidRPr="005B4A8D" w:rsidRDefault="00462371" w:rsidP="004F787C">
            <w:pPr>
              <w:rPr>
                <w:rFonts w:cs="Arial"/>
                <w:b/>
              </w:rPr>
            </w:pPr>
            <w:r w:rsidRPr="005B4A8D">
              <w:rPr>
                <w:rFonts w:cs="Arial"/>
                <w:b/>
              </w:rPr>
              <w:t xml:space="preserve">Key Decision: </w:t>
            </w:r>
            <w:r w:rsidR="004F787C" w:rsidRPr="005B4A8D">
              <w:rPr>
                <w:rFonts w:cs="Arial"/>
                <w:b/>
              </w:rPr>
              <w:t>No</w:t>
            </w:r>
          </w:p>
        </w:tc>
      </w:tr>
      <w:tr w:rsidR="00462371" w:rsidRPr="005B4A8D" w14:paraId="1CF1F40D" w14:textId="77777777" w:rsidTr="00E0148C">
        <w:tc>
          <w:tcPr>
            <w:tcW w:w="6182" w:type="dxa"/>
          </w:tcPr>
          <w:p w14:paraId="582B2DC2" w14:textId="77777777" w:rsidR="00462371" w:rsidRPr="005B4A8D" w:rsidRDefault="00462371" w:rsidP="00462371">
            <w:pPr>
              <w:rPr>
                <w:rFonts w:cs="Arial"/>
                <w:b/>
              </w:rPr>
            </w:pPr>
            <w:r w:rsidRPr="005B4A8D">
              <w:rPr>
                <w:rFonts w:cs="Arial"/>
                <w:b/>
              </w:rPr>
              <w:t xml:space="preserve">Report </w:t>
            </w:r>
            <w:r w:rsidR="006E145D" w:rsidRPr="005B4A8D">
              <w:rPr>
                <w:rFonts w:cs="Arial"/>
                <w:b/>
              </w:rPr>
              <w:t>Author</w:t>
            </w:r>
            <w:r w:rsidRPr="005B4A8D">
              <w:rPr>
                <w:rFonts w:cs="Arial"/>
                <w:b/>
              </w:rPr>
              <w:t xml:space="preserve">: </w:t>
            </w:r>
          </w:p>
          <w:p w14:paraId="0B874073" w14:textId="77777777" w:rsidR="00282D5E" w:rsidRPr="005B4A8D" w:rsidRDefault="00282D5E" w:rsidP="00282D5E">
            <w:pPr>
              <w:rPr>
                <w:rFonts w:cs="Arial"/>
                <w:b/>
              </w:rPr>
            </w:pPr>
            <w:r w:rsidRPr="005B4A8D">
              <w:rPr>
                <w:rFonts w:cs="Arial"/>
              </w:rPr>
              <w:t>Katherine Heffernan - Group Manager for Service Finance</w:t>
            </w:r>
          </w:p>
          <w:p w14:paraId="5EC02E81" w14:textId="77777777" w:rsidR="00A710A1" w:rsidRPr="005B4A8D" w:rsidRDefault="00A710A1" w:rsidP="00462371">
            <w:pPr>
              <w:rPr>
                <w:rFonts w:cs="Arial"/>
                <w:b/>
              </w:rPr>
            </w:pPr>
          </w:p>
          <w:p w14:paraId="0DC4E395" w14:textId="77777777" w:rsidR="00462371" w:rsidRPr="005B4A8D" w:rsidRDefault="00462371" w:rsidP="00462371">
            <w:pPr>
              <w:rPr>
                <w:rFonts w:cs="Arial"/>
                <w:b/>
              </w:rPr>
            </w:pPr>
          </w:p>
        </w:tc>
        <w:tc>
          <w:tcPr>
            <w:tcW w:w="3449" w:type="dxa"/>
          </w:tcPr>
          <w:p w14:paraId="555B8100" w14:textId="77777777" w:rsidR="00462371" w:rsidRPr="005B4A8D" w:rsidRDefault="00462371" w:rsidP="00553269">
            <w:pPr>
              <w:pStyle w:val="Header"/>
              <w:tabs>
                <w:tab w:val="clear" w:pos="4320"/>
                <w:tab w:val="clear" w:pos="8640"/>
              </w:tabs>
              <w:rPr>
                <w:rFonts w:cs="Arial"/>
                <w:b/>
              </w:rPr>
            </w:pPr>
            <w:r w:rsidRPr="005B4A8D">
              <w:rPr>
                <w:rFonts w:cs="Arial"/>
                <w:b/>
              </w:rPr>
              <w:t>Contact Details:</w:t>
            </w:r>
          </w:p>
          <w:p w14:paraId="3270CDD8" w14:textId="77777777" w:rsidR="00282D5E" w:rsidRPr="005B4A8D" w:rsidRDefault="00282D5E" w:rsidP="00282D5E">
            <w:pPr>
              <w:rPr>
                <w:rFonts w:cs="Arial"/>
                <w:color w:val="000000"/>
              </w:rPr>
            </w:pPr>
            <w:r w:rsidRPr="005B4A8D">
              <w:rPr>
                <w:rFonts w:cs="Arial"/>
              </w:rPr>
              <w:t xml:space="preserve">Tel: </w:t>
            </w:r>
            <w:r w:rsidRPr="005B4A8D">
              <w:rPr>
                <w:rFonts w:cs="Arial"/>
                <w:color w:val="808080"/>
              </w:rPr>
              <w:t>0208 227 3262</w:t>
            </w:r>
          </w:p>
          <w:p w14:paraId="2C95A013" w14:textId="77777777" w:rsidR="00282D5E" w:rsidRPr="005B4A8D" w:rsidRDefault="00282D5E" w:rsidP="00282D5E">
            <w:pPr>
              <w:rPr>
                <w:rFonts w:cs="Arial"/>
                <w:color w:val="808080"/>
                <w:sz w:val="22"/>
                <w:szCs w:val="22"/>
              </w:rPr>
            </w:pPr>
            <w:r w:rsidRPr="005B4A8D">
              <w:rPr>
                <w:rFonts w:cs="Arial"/>
              </w:rPr>
              <w:t xml:space="preserve">E-mail: </w:t>
            </w:r>
            <w:hyperlink r:id="rId8" w:history="1">
              <w:r w:rsidRPr="005B4A8D">
                <w:rPr>
                  <w:rStyle w:val="Hyperlink"/>
                  <w:rFonts w:cs="Arial"/>
                </w:rPr>
                <w:t>katherine.heffernan@lbbd.gov.uk</w:t>
              </w:r>
            </w:hyperlink>
          </w:p>
          <w:p w14:paraId="032AD31F" w14:textId="77777777" w:rsidR="00462371" w:rsidRPr="005B4A8D" w:rsidRDefault="00462371" w:rsidP="002434F6">
            <w:pPr>
              <w:rPr>
                <w:rFonts w:cs="Arial"/>
                <w:color w:val="000000"/>
              </w:rPr>
            </w:pPr>
          </w:p>
        </w:tc>
      </w:tr>
      <w:tr w:rsidR="00462371" w:rsidRPr="005B4A8D" w14:paraId="05BF7155" w14:textId="77777777" w:rsidTr="00E0148C">
        <w:tc>
          <w:tcPr>
            <w:tcW w:w="9631" w:type="dxa"/>
            <w:gridSpan w:val="2"/>
          </w:tcPr>
          <w:p w14:paraId="092C5B83" w14:textId="77777777" w:rsidR="00462371" w:rsidRPr="005B4A8D" w:rsidRDefault="00D17978" w:rsidP="00D17978">
            <w:pPr>
              <w:rPr>
                <w:rFonts w:cs="Arial"/>
              </w:rPr>
            </w:pPr>
            <w:r w:rsidRPr="005B4A8D">
              <w:rPr>
                <w:rFonts w:cs="Arial"/>
                <w:b/>
              </w:rPr>
              <w:t xml:space="preserve">Accountable </w:t>
            </w:r>
            <w:r w:rsidR="00A45DB2" w:rsidRPr="005B4A8D">
              <w:rPr>
                <w:rFonts w:cs="Arial"/>
                <w:b/>
              </w:rPr>
              <w:t>Oper</w:t>
            </w:r>
            <w:r w:rsidR="005A06A8" w:rsidRPr="005B4A8D">
              <w:rPr>
                <w:rFonts w:cs="Arial"/>
                <w:b/>
              </w:rPr>
              <w:t>a</w:t>
            </w:r>
            <w:r w:rsidR="00A45DB2" w:rsidRPr="005B4A8D">
              <w:rPr>
                <w:rFonts w:cs="Arial"/>
                <w:b/>
              </w:rPr>
              <w:t>tional</w:t>
            </w:r>
            <w:r w:rsidRPr="005B4A8D">
              <w:rPr>
                <w:rFonts w:cs="Arial"/>
                <w:b/>
              </w:rPr>
              <w:t xml:space="preserve"> Director:</w:t>
            </w:r>
            <w:r w:rsidR="004F787C" w:rsidRPr="005B4A8D">
              <w:rPr>
                <w:rFonts w:cs="Arial"/>
                <w:b/>
              </w:rPr>
              <w:t xml:space="preserve"> </w:t>
            </w:r>
            <w:r w:rsidR="004F787C" w:rsidRPr="005B4A8D">
              <w:rPr>
                <w:rFonts w:cs="Arial"/>
              </w:rPr>
              <w:t xml:space="preserve">Jane Hargreaves – </w:t>
            </w:r>
            <w:r w:rsidR="00A45DB2" w:rsidRPr="005B4A8D">
              <w:rPr>
                <w:rFonts w:cs="Arial"/>
              </w:rPr>
              <w:t>Commissioning Director for Education Youth and Childcare</w:t>
            </w:r>
          </w:p>
        </w:tc>
      </w:tr>
      <w:tr w:rsidR="00462371" w:rsidRPr="005B4A8D" w14:paraId="6258E1DE" w14:textId="77777777" w:rsidTr="00E0148C">
        <w:trPr>
          <w:trHeight w:val="347"/>
        </w:trPr>
        <w:tc>
          <w:tcPr>
            <w:tcW w:w="9631" w:type="dxa"/>
            <w:gridSpan w:val="2"/>
          </w:tcPr>
          <w:p w14:paraId="1C6B7AF6" w14:textId="77777777" w:rsidR="00462371" w:rsidRPr="005B4A8D" w:rsidRDefault="00D17978" w:rsidP="00D17978">
            <w:pPr>
              <w:rPr>
                <w:rFonts w:cs="Arial"/>
              </w:rPr>
            </w:pPr>
            <w:r w:rsidRPr="005B4A8D">
              <w:rPr>
                <w:rFonts w:cs="Arial"/>
                <w:b/>
              </w:rPr>
              <w:t xml:space="preserve">Accountable </w:t>
            </w:r>
            <w:r w:rsidR="00A45DB2" w:rsidRPr="005B4A8D">
              <w:rPr>
                <w:rFonts w:cs="Arial"/>
                <w:b/>
              </w:rPr>
              <w:t xml:space="preserve">Strategic </w:t>
            </w:r>
            <w:r w:rsidRPr="005B4A8D">
              <w:rPr>
                <w:rFonts w:cs="Arial"/>
                <w:b/>
              </w:rPr>
              <w:t>Director:</w:t>
            </w:r>
            <w:r w:rsidR="004F787C" w:rsidRPr="005B4A8D">
              <w:rPr>
                <w:rFonts w:cs="Arial"/>
                <w:b/>
              </w:rPr>
              <w:t xml:space="preserve"> </w:t>
            </w:r>
            <w:r w:rsidR="0077669A" w:rsidRPr="005B4A8D">
              <w:rPr>
                <w:rFonts w:cs="Arial"/>
              </w:rPr>
              <w:t>Elaine Allegretti – Director for People and Resilience</w:t>
            </w:r>
          </w:p>
        </w:tc>
      </w:tr>
      <w:tr w:rsidR="00424A8E" w:rsidRPr="005B4A8D" w14:paraId="16B5C296" w14:textId="77777777" w:rsidTr="00E0148C">
        <w:tc>
          <w:tcPr>
            <w:tcW w:w="9631" w:type="dxa"/>
            <w:gridSpan w:val="2"/>
            <w:tcBorders>
              <w:bottom w:val="single" w:sz="4" w:space="0" w:color="auto"/>
            </w:tcBorders>
          </w:tcPr>
          <w:p w14:paraId="06DDEBD3" w14:textId="77777777" w:rsidR="00E41094" w:rsidRPr="005B4A8D" w:rsidRDefault="00E41094" w:rsidP="00E41094">
            <w:pPr>
              <w:rPr>
                <w:rFonts w:cs="Arial"/>
              </w:rPr>
            </w:pPr>
            <w:r w:rsidRPr="005B4A8D">
              <w:rPr>
                <w:rFonts w:cs="Arial"/>
                <w:b/>
              </w:rPr>
              <w:t xml:space="preserve">Summary: </w:t>
            </w:r>
            <w:r w:rsidRPr="005B4A8D">
              <w:rPr>
                <w:rFonts w:cs="Arial"/>
              </w:rPr>
              <w:t>The purpose of this report is to update the Barking and Dagenham Schools Forum on:</w:t>
            </w:r>
          </w:p>
          <w:p w14:paraId="0AACBFE4" w14:textId="77777777" w:rsidR="00282D5E" w:rsidRPr="005B4A8D" w:rsidRDefault="00282D5E" w:rsidP="00E41094">
            <w:pPr>
              <w:rPr>
                <w:rFonts w:cs="Arial"/>
              </w:rPr>
            </w:pPr>
          </w:p>
          <w:p w14:paraId="204A572F" w14:textId="77777777" w:rsidR="003F62CA" w:rsidRPr="005B4A8D" w:rsidRDefault="00282D5E" w:rsidP="00282D5E">
            <w:pPr>
              <w:numPr>
                <w:ilvl w:val="0"/>
                <w:numId w:val="4"/>
              </w:numPr>
              <w:ind w:left="993" w:hanging="567"/>
              <w:rPr>
                <w:rFonts w:cs="Arial"/>
              </w:rPr>
            </w:pPr>
            <w:r w:rsidRPr="005B4A8D">
              <w:rPr>
                <w:rFonts w:cs="Arial"/>
              </w:rPr>
              <w:t xml:space="preserve">The Dedicated Schools Grant </w:t>
            </w:r>
            <w:r w:rsidR="0077740F">
              <w:rPr>
                <w:rFonts w:cs="Arial"/>
              </w:rPr>
              <w:t xml:space="preserve">2018/19 </w:t>
            </w:r>
            <w:r w:rsidRPr="005B4A8D">
              <w:rPr>
                <w:rFonts w:cs="Arial"/>
              </w:rPr>
              <w:t>budget update</w:t>
            </w:r>
          </w:p>
          <w:p w14:paraId="5EFF793E" w14:textId="77777777" w:rsidR="00282D5E" w:rsidRPr="005B4A8D" w:rsidRDefault="003F62CA" w:rsidP="00282D5E">
            <w:pPr>
              <w:numPr>
                <w:ilvl w:val="0"/>
                <w:numId w:val="4"/>
              </w:numPr>
              <w:ind w:left="993" w:hanging="567"/>
              <w:rPr>
                <w:rFonts w:cs="Arial"/>
              </w:rPr>
            </w:pPr>
            <w:r w:rsidRPr="005B4A8D">
              <w:rPr>
                <w:rFonts w:cs="Arial"/>
              </w:rPr>
              <w:t>Projected outturn</w:t>
            </w:r>
            <w:r w:rsidR="00282D5E" w:rsidRPr="005B4A8D">
              <w:rPr>
                <w:rFonts w:cs="Arial"/>
              </w:rPr>
              <w:t xml:space="preserve"> positio</w:t>
            </w:r>
            <w:r w:rsidRPr="005B4A8D">
              <w:rPr>
                <w:rFonts w:cs="Arial"/>
              </w:rPr>
              <w:t>n for 2018/19</w:t>
            </w:r>
          </w:p>
          <w:p w14:paraId="09DB3131" w14:textId="77777777" w:rsidR="00434222" w:rsidRPr="00817550" w:rsidRDefault="003F62CA" w:rsidP="002D45C6">
            <w:pPr>
              <w:numPr>
                <w:ilvl w:val="0"/>
                <w:numId w:val="4"/>
              </w:numPr>
              <w:ind w:left="993" w:hanging="567"/>
              <w:rPr>
                <w:rFonts w:cs="Arial"/>
              </w:rPr>
            </w:pPr>
            <w:r w:rsidRPr="00817550">
              <w:rPr>
                <w:rFonts w:cs="Arial"/>
              </w:rPr>
              <w:t xml:space="preserve">Growth </w:t>
            </w:r>
            <w:r w:rsidR="005942F7" w:rsidRPr="00817550">
              <w:rPr>
                <w:rFonts w:cs="Arial"/>
              </w:rPr>
              <w:t xml:space="preserve">and falling rolls </w:t>
            </w:r>
            <w:r w:rsidR="0079167A" w:rsidRPr="00817550">
              <w:rPr>
                <w:rFonts w:cs="Arial"/>
              </w:rPr>
              <w:t>f</w:t>
            </w:r>
            <w:r w:rsidRPr="00817550">
              <w:rPr>
                <w:rFonts w:cs="Arial"/>
              </w:rPr>
              <w:t>und projections for 2018/19</w:t>
            </w:r>
          </w:p>
          <w:p w14:paraId="38FAED55" w14:textId="77777777" w:rsidR="00987B18" w:rsidRPr="005B4A8D" w:rsidRDefault="00987B18" w:rsidP="00282D5E">
            <w:pPr>
              <w:numPr>
                <w:ilvl w:val="0"/>
                <w:numId w:val="4"/>
              </w:numPr>
              <w:ind w:left="993" w:hanging="567"/>
              <w:rPr>
                <w:rFonts w:cs="Arial"/>
              </w:rPr>
            </w:pPr>
            <w:r w:rsidRPr="005B4A8D">
              <w:rPr>
                <w:rFonts w:cs="Arial"/>
              </w:rPr>
              <w:t xml:space="preserve">Dedicated Schools Grant </w:t>
            </w:r>
            <w:r w:rsidR="0079167A" w:rsidRPr="005B4A8D">
              <w:rPr>
                <w:rFonts w:cs="Arial"/>
              </w:rPr>
              <w:t>f</w:t>
            </w:r>
            <w:r w:rsidRPr="005B4A8D">
              <w:rPr>
                <w:rFonts w:cs="Arial"/>
              </w:rPr>
              <w:t>orecast for 2019/20</w:t>
            </w:r>
          </w:p>
          <w:p w14:paraId="0D6FA921" w14:textId="77777777" w:rsidR="00282D5E" w:rsidRPr="005B4A8D" w:rsidRDefault="00282D5E" w:rsidP="00987B18">
            <w:pPr>
              <w:numPr>
                <w:ilvl w:val="0"/>
                <w:numId w:val="4"/>
              </w:numPr>
              <w:ind w:left="993" w:hanging="567"/>
              <w:rPr>
                <w:rFonts w:cs="Arial"/>
              </w:rPr>
            </w:pPr>
            <w:r w:rsidRPr="005B4A8D">
              <w:rPr>
                <w:rFonts w:cs="Arial"/>
              </w:rPr>
              <w:t xml:space="preserve">National </w:t>
            </w:r>
            <w:r w:rsidR="00987B18" w:rsidRPr="005B4A8D">
              <w:rPr>
                <w:rFonts w:cs="Arial"/>
              </w:rPr>
              <w:t xml:space="preserve">and </w:t>
            </w:r>
            <w:r w:rsidR="0079167A" w:rsidRPr="005B4A8D">
              <w:rPr>
                <w:rFonts w:cs="Arial"/>
              </w:rPr>
              <w:t>l</w:t>
            </w:r>
            <w:r w:rsidR="00987B18" w:rsidRPr="005B4A8D">
              <w:rPr>
                <w:rFonts w:cs="Arial"/>
              </w:rPr>
              <w:t xml:space="preserve">ocal </w:t>
            </w:r>
            <w:r w:rsidR="0079167A" w:rsidRPr="005B4A8D">
              <w:rPr>
                <w:rFonts w:cs="Arial"/>
              </w:rPr>
              <w:t>f</w:t>
            </w:r>
            <w:r w:rsidRPr="005B4A8D">
              <w:rPr>
                <w:rFonts w:cs="Arial"/>
              </w:rPr>
              <w:t xml:space="preserve">unding </w:t>
            </w:r>
            <w:r w:rsidR="0079167A" w:rsidRPr="005B4A8D">
              <w:rPr>
                <w:rFonts w:cs="Arial"/>
              </w:rPr>
              <w:t>f</w:t>
            </w:r>
            <w:r w:rsidRPr="005B4A8D">
              <w:rPr>
                <w:rFonts w:cs="Arial"/>
              </w:rPr>
              <w:t xml:space="preserve">ormula 2019 to 2020 </w:t>
            </w:r>
            <w:r w:rsidR="003F62CA" w:rsidRPr="005B4A8D">
              <w:rPr>
                <w:rFonts w:cs="Arial"/>
              </w:rPr>
              <w:t xml:space="preserve">– options </w:t>
            </w:r>
          </w:p>
          <w:p w14:paraId="0FB802E6" w14:textId="77777777" w:rsidR="00314CCF" w:rsidRPr="005B4A8D" w:rsidRDefault="00314CCF" w:rsidP="00987B18">
            <w:pPr>
              <w:numPr>
                <w:ilvl w:val="0"/>
                <w:numId w:val="4"/>
              </w:numPr>
              <w:ind w:left="993" w:hanging="567"/>
              <w:rPr>
                <w:rFonts w:cs="Arial"/>
              </w:rPr>
            </w:pPr>
            <w:r w:rsidRPr="005B4A8D">
              <w:rPr>
                <w:rFonts w:cs="Arial"/>
              </w:rPr>
              <w:t xml:space="preserve">Teachers </w:t>
            </w:r>
            <w:r w:rsidR="0079167A" w:rsidRPr="005B4A8D">
              <w:rPr>
                <w:rFonts w:cs="Arial"/>
              </w:rPr>
              <w:t>p</w:t>
            </w:r>
            <w:r w:rsidRPr="005B4A8D">
              <w:rPr>
                <w:rFonts w:cs="Arial"/>
              </w:rPr>
              <w:t xml:space="preserve">ay </w:t>
            </w:r>
            <w:r w:rsidR="0079167A" w:rsidRPr="005B4A8D">
              <w:rPr>
                <w:rFonts w:cs="Arial"/>
              </w:rPr>
              <w:t>a</w:t>
            </w:r>
            <w:r w:rsidRPr="005B4A8D">
              <w:rPr>
                <w:rFonts w:cs="Arial"/>
              </w:rPr>
              <w:t xml:space="preserve">ward </w:t>
            </w:r>
            <w:r w:rsidR="0079167A" w:rsidRPr="005B4A8D">
              <w:rPr>
                <w:rFonts w:cs="Arial"/>
              </w:rPr>
              <w:t>g</w:t>
            </w:r>
            <w:r w:rsidRPr="005B4A8D">
              <w:rPr>
                <w:rFonts w:cs="Arial"/>
              </w:rPr>
              <w:t xml:space="preserve">rant </w:t>
            </w:r>
            <w:r w:rsidR="0079167A" w:rsidRPr="005B4A8D">
              <w:rPr>
                <w:rFonts w:cs="Arial"/>
              </w:rPr>
              <w:t>u</w:t>
            </w:r>
            <w:r w:rsidRPr="005B4A8D">
              <w:rPr>
                <w:rFonts w:cs="Arial"/>
              </w:rPr>
              <w:t>pdate</w:t>
            </w:r>
          </w:p>
          <w:p w14:paraId="2153F5F7" w14:textId="77777777" w:rsidR="00987B18" w:rsidRPr="005B4A8D" w:rsidRDefault="00987B18" w:rsidP="00987B18">
            <w:pPr>
              <w:numPr>
                <w:ilvl w:val="0"/>
                <w:numId w:val="4"/>
              </w:numPr>
              <w:ind w:left="993" w:hanging="567"/>
              <w:rPr>
                <w:rFonts w:cs="Arial"/>
              </w:rPr>
            </w:pPr>
            <w:r w:rsidRPr="005B4A8D">
              <w:rPr>
                <w:rFonts w:cs="Arial"/>
              </w:rPr>
              <w:t xml:space="preserve">Schools </w:t>
            </w:r>
            <w:r w:rsidR="0079167A" w:rsidRPr="005B4A8D">
              <w:rPr>
                <w:rFonts w:cs="Arial"/>
              </w:rPr>
              <w:t>f</w:t>
            </w:r>
            <w:r w:rsidRPr="005B4A8D">
              <w:rPr>
                <w:rFonts w:cs="Arial"/>
              </w:rPr>
              <w:t xml:space="preserve">acing </w:t>
            </w:r>
            <w:r w:rsidR="0079167A" w:rsidRPr="005B4A8D">
              <w:rPr>
                <w:rFonts w:cs="Arial"/>
              </w:rPr>
              <w:t>f</w:t>
            </w:r>
            <w:r w:rsidRPr="005B4A8D">
              <w:rPr>
                <w:rFonts w:cs="Arial"/>
              </w:rPr>
              <w:t>inancial</w:t>
            </w:r>
            <w:r w:rsidR="0079167A" w:rsidRPr="005B4A8D">
              <w:rPr>
                <w:rFonts w:cs="Arial"/>
              </w:rPr>
              <w:t xml:space="preserve"> d</w:t>
            </w:r>
            <w:r w:rsidRPr="005B4A8D">
              <w:rPr>
                <w:rFonts w:cs="Arial"/>
              </w:rPr>
              <w:t>ifficulties</w:t>
            </w:r>
          </w:p>
          <w:p w14:paraId="2D0FD85A" w14:textId="77777777" w:rsidR="00282D5E" w:rsidRPr="005B4A8D" w:rsidRDefault="003F62CA" w:rsidP="00282D5E">
            <w:pPr>
              <w:numPr>
                <w:ilvl w:val="0"/>
                <w:numId w:val="4"/>
              </w:numPr>
              <w:ind w:left="993" w:hanging="567"/>
              <w:rPr>
                <w:rFonts w:cs="Arial"/>
              </w:rPr>
            </w:pPr>
            <w:r w:rsidRPr="005B4A8D">
              <w:rPr>
                <w:rFonts w:cs="Arial"/>
              </w:rPr>
              <w:t xml:space="preserve">Scheme of </w:t>
            </w:r>
            <w:r w:rsidR="0079167A" w:rsidRPr="005B4A8D">
              <w:rPr>
                <w:rFonts w:cs="Arial"/>
              </w:rPr>
              <w:t>f</w:t>
            </w:r>
            <w:r w:rsidRPr="005B4A8D">
              <w:rPr>
                <w:rFonts w:cs="Arial"/>
              </w:rPr>
              <w:t xml:space="preserve">inancing </w:t>
            </w:r>
            <w:r w:rsidR="0079167A" w:rsidRPr="005B4A8D">
              <w:rPr>
                <w:rFonts w:cs="Arial"/>
              </w:rPr>
              <w:t>s</w:t>
            </w:r>
            <w:r w:rsidRPr="005B4A8D">
              <w:rPr>
                <w:rFonts w:cs="Arial"/>
              </w:rPr>
              <w:t xml:space="preserve">chools </w:t>
            </w:r>
          </w:p>
          <w:p w14:paraId="53EBC372" w14:textId="77777777" w:rsidR="005E3416" w:rsidRPr="005B4A8D" w:rsidRDefault="005E3416" w:rsidP="00282D5E">
            <w:pPr>
              <w:rPr>
                <w:rFonts w:cs="Arial"/>
              </w:rPr>
            </w:pPr>
          </w:p>
        </w:tc>
      </w:tr>
      <w:tr w:rsidR="009771A2" w:rsidRPr="005B4A8D" w14:paraId="0C0B8962" w14:textId="77777777" w:rsidTr="00E0148C">
        <w:tc>
          <w:tcPr>
            <w:tcW w:w="9631" w:type="dxa"/>
            <w:gridSpan w:val="2"/>
            <w:tcBorders>
              <w:top w:val="single" w:sz="4" w:space="0" w:color="auto"/>
              <w:bottom w:val="nil"/>
            </w:tcBorders>
          </w:tcPr>
          <w:p w14:paraId="55F6A39F" w14:textId="77777777" w:rsidR="00C96A66" w:rsidRPr="005B4A8D" w:rsidRDefault="009771A2" w:rsidP="00C96A66">
            <w:pPr>
              <w:autoSpaceDE w:val="0"/>
              <w:autoSpaceDN w:val="0"/>
              <w:adjustRightInd w:val="0"/>
              <w:rPr>
                <w:rFonts w:cs="Arial"/>
                <w:b/>
              </w:rPr>
            </w:pPr>
            <w:r w:rsidRPr="005B4A8D">
              <w:rPr>
                <w:rFonts w:cs="Arial"/>
                <w:b/>
              </w:rPr>
              <w:t>Recommendation(s)</w:t>
            </w:r>
          </w:p>
          <w:p w14:paraId="71EFEE44" w14:textId="77777777" w:rsidR="00520A46" w:rsidRPr="005B4A8D" w:rsidRDefault="00520A46" w:rsidP="00C96A66">
            <w:pPr>
              <w:autoSpaceDE w:val="0"/>
              <w:autoSpaceDN w:val="0"/>
              <w:adjustRightInd w:val="0"/>
              <w:rPr>
                <w:rFonts w:cs="Arial"/>
              </w:rPr>
            </w:pPr>
            <w:r w:rsidRPr="005B4A8D">
              <w:rPr>
                <w:rFonts w:cs="Arial"/>
              </w:rPr>
              <w:t>The School</w:t>
            </w:r>
            <w:r w:rsidR="008726BA" w:rsidRPr="005B4A8D">
              <w:rPr>
                <w:rFonts w:cs="Arial"/>
              </w:rPr>
              <w:t>s</w:t>
            </w:r>
            <w:r w:rsidRPr="005B4A8D">
              <w:rPr>
                <w:rFonts w:cs="Arial"/>
              </w:rPr>
              <w:t xml:space="preserve"> Forum is asked:</w:t>
            </w:r>
          </w:p>
          <w:p w14:paraId="1C9488F0" w14:textId="77777777" w:rsidR="00E41094" w:rsidRPr="005B4A8D" w:rsidRDefault="00BB2ED3" w:rsidP="00282D5E">
            <w:pPr>
              <w:numPr>
                <w:ilvl w:val="0"/>
                <w:numId w:val="3"/>
              </w:numPr>
              <w:autoSpaceDE w:val="0"/>
              <w:autoSpaceDN w:val="0"/>
              <w:adjustRightInd w:val="0"/>
              <w:rPr>
                <w:rFonts w:cs="Arial"/>
              </w:rPr>
            </w:pPr>
            <w:r w:rsidRPr="005B4A8D">
              <w:rPr>
                <w:rFonts w:cs="Arial"/>
              </w:rPr>
              <w:t>Note the update on the DSG budget</w:t>
            </w:r>
          </w:p>
          <w:p w14:paraId="095617C3" w14:textId="77777777" w:rsidR="00BB2ED3" w:rsidRPr="005B4A8D" w:rsidRDefault="00BB2ED3" w:rsidP="00282D5E">
            <w:pPr>
              <w:numPr>
                <w:ilvl w:val="0"/>
                <w:numId w:val="3"/>
              </w:numPr>
              <w:autoSpaceDE w:val="0"/>
              <w:autoSpaceDN w:val="0"/>
              <w:adjustRightInd w:val="0"/>
              <w:rPr>
                <w:rFonts w:cs="Arial"/>
              </w:rPr>
            </w:pPr>
            <w:r w:rsidRPr="005B4A8D">
              <w:rPr>
                <w:rFonts w:cs="Arial"/>
              </w:rPr>
              <w:t>Note the forecast outturn position for 2018/19</w:t>
            </w:r>
          </w:p>
          <w:p w14:paraId="46DA4CA3" w14:textId="77777777" w:rsidR="00BB2ED3" w:rsidRPr="005B4A8D" w:rsidRDefault="001C5D12" w:rsidP="00282D5E">
            <w:pPr>
              <w:numPr>
                <w:ilvl w:val="0"/>
                <w:numId w:val="3"/>
              </w:numPr>
              <w:autoSpaceDE w:val="0"/>
              <w:autoSpaceDN w:val="0"/>
              <w:adjustRightInd w:val="0"/>
              <w:rPr>
                <w:rFonts w:cs="Arial"/>
              </w:rPr>
            </w:pPr>
            <w:r>
              <w:rPr>
                <w:rFonts w:cs="Arial"/>
              </w:rPr>
              <w:t xml:space="preserve">Note the update on the </w:t>
            </w:r>
            <w:r w:rsidR="002039A2">
              <w:rPr>
                <w:rFonts w:cs="Arial"/>
              </w:rPr>
              <w:t>f</w:t>
            </w:r>
            <w:r>
              <w:rPr>
                <w:rFonts w:cs="Arial"/>
              </w:rPr>
              <w:t xml:space="preserve">alling </w:t>
            </w:r>
            <w:r w:rsidR="002039A2">
              <w:rPr>
                <w:rFonts w:cs="Arial"/>
              </w:rPr>
              <w:t>r</w:t>
            </w:r>
            <w:r>
              <w:rPr>
                <w:rFonts w:cs="Arial"/>
              </w:rPr>
              <w:t xml:space="preserve">olls </w:t>
            </w:r>
            <w:r w:rsidR="002039A2">
              <w:rPr>
                <w:rFonts w:cs="Arial"/>
              </w:rPr>
              <w:t>f</w:t>
            </w:r>
            <w:r>
              <w:rPr>
                <w:rFonts w:cs="Arial"/>
              </w:rPr>
              <w:t>und</w:t>
            </w:r>
            <w:r w:rsidR="002039A2">
              <w:rPr>
                <w:rFonts w:cs="Arial"/>
              </w:rPr>
              <w:t xml:space="preserve"> and approve request to invite applications</w:t>
            </w:r>
          </w:p>
          <w:p w14:paraId="3FBAD6EA" w14:textId="77777777" w:rsidR="00314CCF" w:rsidRPr="00817550" w:rsidRDefault="0077740F">
            <w:pPr>
              <w:numPr>
                <w:ilvl w:val="0"/>
                <w:numId w:val="3"/>
              </w:numPr>
              <w:autoSpaceDE w:val="0"/>
              <w:autoSpaceDN w:val="0"/>
              <w:adjustRightInd w:val="0"/>
              <w:rPr>
                <w:rFonts w:cs="Arial"/>
              </w:rPr>
            </w:pPr>
            <w:r>
              <w:rPr>
                <w:rFonts w:cs="Arial"/>
              </w:rPr>
              <w:t>Note DSG 2019/20 update and a</w:t>
            </w:r>
            <w:r w:rsidR="00314CCF" w:rsidRPr="00817550">
              <w:rPr>
                <w:rFonts w:cs="Arial"/>
              </w:rPr>
              <w:t>pprove the transfer of £1.</w:t>
            </w:r>
            <w:r w:rsidR="00AF476D" w:rsidRPr="00817550">
              <w:rPr>
                <w:rFonts w:cs="Arial"/>
              </w:rPr>
              <w:t>073</w:t>
            </w:r>
            <w:r w:rsidR="00314CCF" w:rsidRPr="00817550">
              <w:rPr>
                <w:rFonts w:cs="Arial"/>
              </w:rPr>
              <w:t xml:space="preserve">m or 0.5% of the </w:t>
            </w:r>
            <w:r w:rsidR="0079167A" w:rsidRPr="00817550">
              <w:rPr>
                <w:rFonts w:cs="Arial"/>
              </w:rPr>
              <w:t>s</w:t>
            </w:r>
            <w:r w:rsidR="00314CCF" w:rsidRPr="00817550">
              <w:rPr>
                <w:rFonts w:cs="Arial"/>
              </w:rPr>
              <w:t xml:space="preserve">chools </w:t>
            </w:r>
            <w:r w:rsidR="0079167A" w:rsidRPr="00817550">
              <w:rPr>
                <w:rFonts w:cs="Arial"/>
              </w:rPr>
              <w:t>b</w:t>
            </w:r>
            <w:r w:rsidR="00314CCF" w:rsidRPr="00817550">
              <w:rPr>
                <w:rFonts w:cs="Arial"/>
              </w:rPr>
              <w:t xml:space="preserve">lock to the </w:t>
            </w:r>
            <w:r w:rsidR="0079167A" w:rsidRPr="00817550">
              <w:rPr>
                <w:rFonts w:cs="Arial"/>
              </w:rPr>
              <w:t>h</w:t>
            </w:r>
            <w:r w:rsidR="00314CCF" w:rsidRPr="00817550">
              <w:rPr>
                <w:rFonts w:cs="Arial"/>
              </w:rPr>
              <w:t xml:space="preserve">igh </w:t>
            </w:r>
            <w:r w:rsidR="0079167A" w:rsidRPr="00817550">
              <w:rPr>
                <w:rFonts w:cs="Arial"/>
              </w:rPr>
              <w:t>n</w:t>
            </w:r>
            <w:r w:rsidR="00314CCF" w:rsidRPr="00817550">
              <w:rPr>
                <w:rFonts w:cs="Arial"/>
              </w:rPr>
              <w:t xml:space="preserve">eeds </w:t>
            </w:r>
            <w:r w:rsidR="0079167A" w:rsidRPr="00817550">
              <w:rPr>
                <w:rFonts w:cs="Arial"/>
              </w:rPr>
              <w:t>b</w:t>
            </w:r>
            <w:r w:rsidR="00314CCF" w:rsidRPr="00817550">
              <w:rPr>
                <w:rFonts w:cs="Arial"/>
              </w:rPr>
              <w:t>lock to meet the pressures on the block</w:t>
            </w:r>
          </w:p>
          <w:p w14:paraId="7DD3B6B5" w14:textId="77777777" w:rsidR="00314CCF" w:rsidRPr="005B4A8D" w:rsidRDefault="00314CCF" w:rsidP="00282D5E">
            <w:pPr>
              <w:numPr>
                <w:ilvl w:val="0"/>
                <w:numId w:val="3"/>
              </w:numPr>
              <w:autoSpaceDE w:val="0"/>
              <w:autoSpaceDN w:val="0"/>
              <w:adjustRightInd w:val="0"/>
              <w:rPr>
                <w:rFonts w:cs="Arial"/>
              </w:rPr>
            </w:pPr>
            <w:r w:rsidRPr="005B4A8D">
              <w:rPr>
                <w:rFonts w:cs="Arial"/>
              </w:rPr>
              <w:t xml:space="preserve">Approve the contingency allocations for </w:t>
            </w:r>
            <w:r w:rsidR="0079167A" w:rsidRPr="005B4A8D">
              <w:rPr>
                <w:rFonts w:cs="Arial"/>
              </w:rPr>
              <w:t>g</w:t>
            </w:r>
            <w:r w:rsidRPr="005B4A8D">
              <w:rPr>
                <w:rFonts w:cs="Arial"/>
              </w:rPr>
              <w:t xml:space="preserve">rowth, </w:t>
            </w:r>
            <w:r w:rsidR="0079167A" w:rsidRPr="005B4A8D">
              <w:rPr>
                <w:rFonts w:cs="Arial"/>
              </w:rPr>
              <w:t>r</w:t>
            </w:r>
            <w:r w:rsidRPr="005B4A8D">
              <w:rPr>
                <w:rFonts w:cs="Arial"/>
              </w:rPr>
              <w:t>ates and PFI</w:t>
            </w:r>
            <w:r w:rsidR="0077740F">
              <w:rPr>
                <w:rFonts w:cs="Arial"/>
              </w:rPr>
              <w:t xml:space="preserve"> and agree to fund growth at AWPU</w:t>
            </w:r>
          </w:p>
          <w:p w14:paraId="3E152694" w14:textId="77777777" w:rsidR="00314CCF" w:rsidRPr="005B4A8D" w:rsidRDefault="00314CCF" w:rsidP="00282D5E">
            <w:pPr>
              <w:numPr>
                <w:ilvl w:val="0"/>
                <w:numId w:val="3"/>
              </w:numPr>
              <w:autoSpaceDE w:val="0"/>
              <w:autoSpaceDN w:val="0"/>
              <w:adjustRightInd w:val="0"/>
              <w:rPr>
                <w:rFonts w:cs="Arial"/>
              </w:rPr>
            </w:pPr>
            <w:r w:rsidRPr="005B4A8D">
              <w:rPr>
                <w:rFonts w:cs="Arial"/>
              </w:rPr>
              <w:t xml:space="preserve">Note the potential implications of the </w:t>
            </w:r>
            <w:r w:rsidR="0079167A" w:rsidRPr="005B4A8D">
              <w:rPr>
                <w:rFonts w:cs="Arial"/>
              </w:rPr>
              <w:t>g</w:t>
            </w:r>
            <w:r w:rsidRPr="005B4A8D">
              <w:rPr>
                <w:rFonts w:cs="Arial"/>
              </w:rPr>
              <w:t xml:space="preserve">rowth </w:t>
            </w:r>
            <w:r w:rsidR="0079167A" w:rsidRPr="005B4A8D">
              <w:rPr>
                <w:rFonts w:cs="Arial"/>
              </w:rPr>
              <w:t>f</w:t>
            </w:r>
            <w:r w:rsidRPr="005B4A8D">
              <w:rPr>
                <w:rFonts w:cs="Arial"/>
              </w:rPr>
              <w:t>und formula model</w:t>
            </w:r>
          </w:p>
          <w:p w14:paraId="4C75DA1A" w14:textId="77777777" w:rsidR="00314CCF" w:rsidRPr="005B4A8D" w:rsidRDefault="00062A22" w:rsidP="00282D5E">
            <w:pPr>
              <w:numPr>
                <w:ilvl w:val="0"/>
                <w:numId w:val="3"/>
              </w:numPr>
              <w:autoSpaceDE w:val="0"/>
              <w:autoSpaceDN w:val="0"/>
              <w:adjustRightInd w:val="0"/>
              <w:rPr>
                <w:rFonts w:cs="Arial"/>
              </w:rPr>
            </w:pPr>
            <w:r>
              <w:rPr>
                <w:sz w:val="23"/>
                <w:szCs w:val="23"/>
              </w:rPr>
              <w:t>A</w:t>
            </w:r>
            <w:r w:rsidRPr="005B4A8D">
              <w:rPr>
                <w:sz w:val="23"/>
                <w:szCs w:val="23"/>
              </w:rPr>
              <w:t xml:space="preserve">gree model 1.1.34 ratio with funding floor protection </w:t>
            </w:r>
            <w:r w:rsidRPr="001C5D12">
              <w:rPr>
                <w:sz w:val="23"/>
                <w:szCs w:val="23"/>
              </w:rPr>
              <w:t>as the basis of consultation with schools</w:t>
            </w:r>
            <w:r w:rsidRPr="005B4A8D">
              <w:rPr>
                <w:rFonts w:cs="Arial"/>
              </w:rPr>
              <w:t xml:space="preserve"> </w:t>
            </w:r>
          </w:p>
          <w:p w14:paraId="603CE538" w14:textId="77777777" w:rsidR="00314CCF" w:rsidRPr="005B4A8D" w:rsidRDefault="00314CCF" w:rsidP="00282D5E">
            <w:pPr>
              <w:numPr>
                <w:ilvl w:val="0"/>
                <w:numId w:val="3"/>
              </w:numPr>
              <w:autoSpaceDE w:val="0"/>
              <w:autoSpaceDN w:val="0"/>
              <w:adjustRightInd w:val="0"/>
              <w:rPr>
                <w:rFonts w:cs="Arial"/>
              </w:rPr>
            </w:pPr>
            <w:r w:rsidRPr="005B4A8D">
              <w:rPr>
                <w:rFonts w:cs="Arial"/>
              </w:rPr>
              <w:t xml:space="preserve">Note the update on the </w:t>
            </w:r>
            <w:r w:rsidR="0079167A" w:rsidRPr="005B4A8D">
              <w:rPr>
                <w:rFonts w:cs="Arial"/>
              </w:rPr>
              <w:t>t</w:t>
            </w:r>
            <w:r w:rsidRPr="005B4A8D">
              <w:rPr>
                <w:rFonts w:cs="Arial"/>
              </w:rPr>
              <w:t>eachers</w:t>
            </w:r>
            <w:r w:rsidR="00AD7A66" w:rsidRPr="005B4A8D">
              <w:rPr>
                <w:rFonts w:cs="Arial"/>
              </w:rPr>
              <w:t>’</w:t>
            </w:r>
            <w:r w:rsidRPr="005B4A8D">
              <w:rPr>
                <w:rFonts w:cs="Arial"/>
              </w:rPr>
              <w:t xml:space="preserve"> </w:t>
            </w:r>
            <w:r w:rsidR="0079167A" w:rsidRPr="005B4A8D">
              <w:rPr>
                <w:rFonts w:cs="Arial"/>
              </w:rPr>
              <w:t>p</w:t>
            </w:r>
            <w:r w:rsidRPr="005B4A8D">
              <w:rPr>
                <w:rFonts w:cs="Arial"/>
              </w:rPr>
              <w:t xml:space="preserve">ay </w:t>
            </w:r>
            <w:r w:rsidR="0079167A" w:rsidRPr="005B4A8D">
              <w:rPr>
                <w:rFonts w:cs="Arial"/>
              </w:rPr>
              <w:t>a</w:t>
            </w:r>
            <w:r w:rsidRPr="005B4A8D">
              <w:rPr>
                <w:rFonts w:cs="Arial"/>
              </w:rPr>
              <w:t xml:space="preserve">ward </w:t>
            </w:r>
            <w:r w:rsidR="0079167A" w:rsidRPr="005B4A8D">
              <w:rPr>
                <w:rFonts w:cs="Arial"/>
              </w:rPr>
              <w:t>g</w:t>
            </w:r>
            <w:r w:rsidRPr="005B4A8D">
              <w:rPr>
                <w:rFonts w:cs="Arial"/>
              </w:rPr>
              <w:t>rant.</w:t>
            </w:r>
          </w:p>
          <w:p w14:paraId="1B328404" w14:textId="77777777" w:rsidR="00314CCF" w:rsidRPr="005B4A8D" w:rsidRDefault="00314CCF" w:rsidP="00282D5E">
            <w:pPr>
              <w:numPr>
                <w:ilvl w:val="0"/>
                <w:numId w:val="3"/>
              </w:numPr>
              <w:autoSpaceDE w:val="0"/>
              <w:autoSpaceDN w:val="0"/>
              <w:adjustRightInd w:val="0"/>
              <w:rPr>
                <w:rFonts w:cs="Arial"/>
              </w:rPr>
            </w:pPr>
            <w:r w:rsidRPr="005B4A8D">
              <w:rPr>
                <w:rFonts w:cs="Arial"/>
              </w:rPr>
              <w:t xml:space="preserve">Note the update on </w:t>
            </w:r>
            <w:r w:rsidR="0079167A" w:rsidRPr="005B4A8D">
              <w:rPr>
                <w:rFonts w:cs="Arial"/>
              </w:rPr>
              <w:t>s</w:t>
            </w:r>
            <w:r w:rsidRPr="005B4A8D">
              <w:rPr>
                <w:rFonts w:cs="Arial"/>
              </w:rPr>
              <w:t xml:space="preserve">chools </w:t>
            </w:r>
            <w:r w:rsidR="0079167A" w:rsidRPr="005B4A8D">
              <w:rPr>
                <w:rFonts w:cs="Arial"/>
              </w:rPr>
              <w:t>f</w:t>
            </w:r>
            <w:r w:rsidRPr="005B4A8D">
              <w:rPr>
                <w:rFonts w:cs="Arial"/>
              </w:rPr>
              <w:t xml:space="preserve">acing </w:t>
            </w:r>
            <w:r w:rsidR="0079167A" w:rsidRPr="005B4A8D">
              <w:rPr>
                <w:rFonts w:cs="Arial"/>
              </w:rPr>
              <w:t>f</w:t>
            </w:r>
            <w:r w:rsidRPr="005B4A8D">
              <w:rPr>
                <w:rFonts w:cs="Arial"/>
              </w:rPr>
              <w:t xml:space="preserve">inancial </w:t>
            </w:r>
            <w:r w:rsidR="0079167A" w:rsidRPr="005B4A8D">
              <w:rPr>
                <w:rFonts w:cs="Arial"/>
              </w:rPr>
              <w:t>d</w:t>
            </w:r>
            <w:r w:rsidRPr="005B4A8D">
              <w:rPr>
                <w:rFonts w:cs="Arial"/>
              </w:rPr>
              <w:t xml:space="preserve">ifficulties.  </w:t>
            </w:r>
          </w:p>
          <w:p w14:paraId="7BFF4BCA" w14:textId="77777777" w:rsidR="00314CCF" w:rsidRPr="005B4A8D" w:rsidRDefault="00314CCF" w:rsidP="00282D5E">
            <w:pPr>
              <w:numPr>
                <w:ilvl w:val="0"/>
                <w:numId w:val="3"/>
              </w:numPr>
              <w:autoSpaceDE w:val="0"/>
              <w:autoSpaceDN w:val="0"/>
              <w:adjustRightInd w:val="0"/>
              <w:rPr>
                <w:rFonts w:cs="Arial"/>
              </w:rPr>
            </w:pPr>
            <w:r w:rsidRPr="005B4A8D">
              <w:rPr>
                <w:rFonts w:cs="Arial"/>
              </w:rPr>
              <w:t xml:space="preserve">Agree that the revised version of the </w:t>
            </w:r>
            <w:r w:rsidR="0079167A" w:rsidRPr="005B4A8D">
              <w:rPr>
                <w:rFonts w:cs="Arial"/>
              </w:rPr>
              <w:t>s</w:t>
            </w:r>
            <w:r w:rsidRPr="005B4A8D">
              <w:rPr>
                <w:rFonts w:cs="Arial"/>
              </w:rPr>
              <w:t xml:space="preserve">cheme for </w:t>
            </w:r>
            <w:r w:rsidR="0079167A" w:rsidRPr="005B4A8D">
              <w:rPr>
                <w:rFonts w:cs="Arial"/>
              </w:rPr>
              <w:t>f</w:t>
            </w:r>
            <w:r w:rsidRPr="005B4A8D">
              <w:rPr>
                <w:rFonts w:cs="Arial"/>
              </w:rPr>
              <w:t xml:space="preserve">inancing </w:t>
            </w:r>
            <w:r w:rsidR="0079167A" w:rsidRPr="005B4A8D">
              <w:rPr>
                <w:rFonts w:cs="Arial"/>
              </w:rPr>
              <w:t>s</w:t>
            </w:r>
            <w:r w:rsidRPr="005B4A8D">
              <w:rPr>
                <w:rFonts w:cs="Arial"/>
              </w:rPr>
              <w:t xml:space="preserve">chools be </w:t>
            </w:r>
            <w:r w:rsidR="0079167A" w:rsidRPr="005B4A8D">
              <w:rPr>
                <w:rFonts w:cs="Arial"/>
              </w:rPr>
              <w:t>distributed</w:t>
            </w:r>
            <w:r w:rsidRPr="005B4A8D">
              <w:rPr>
                <w:rFonts w:cs="Arial"/>
              </w:rPr>
              <w:t xml:space="preserve"> for </w:t>
            </w:r>
            <w:r w:rsidR="0079167A" w:rsidRPr="005B4A8D">
              <w:rPr>
                <w:rFonts w:cs="Arial"/>
              </w:rPr>
              <w:t>c</w:t>
            </w:r>
            <w:r w:rsidRPr="005B4A8D">
              <w:rPr>
                <w:rFonts w:cs="Arial"/>
              </w:rPr>
              <w:t>onsultation</w:t>
            </w:r>
          </w:p>
        </w:tc>
      </w:tr>
      <w:tr w:rsidR="009771A2" w:rsidRPr="005B4A8D" w14:paraId="3749BD85" w14:textId="77777777" w:rsidTr="00E0148C">
        <w:tc>
          <w:tcPr>
            <w:tcW w:w="9631" w:type="dxa"/>
            <w:gridSpan w:val="2"/>
            <w:tcBorders>
              <w:top w:val="nil"/>
              <w:bottom w:val="single" w:sz="4" w:space="0" w:color="auto"/>
            </w:tcBorders>
          </w:tcPr>
          <w:p w14:paraId="31A237F7" w14:textId="77777777" w:rsidR="00765B07" w:rsidRPr="005B4A8D" w:rsidRDefault="00765B07" w:rsidP="00E7688F">
            <w:pPr>
              <w:ind w:left="720"/>
              <w:rPr>
                <w:rFonts w:cs="Arial"/>
              </w:rPr>
            </w:pPr>
          </w:p>
        </w:tc>
      </w:tr>
      <w:tr w:rsidR="009771A2" w:rsidRPr="005B4A8D" w14:paraId="31560EFA" w14:textId="77777777" w:rsidTr="00E0148C">
        <w:tc>
          <w:tcPr>
            <w:tcW w:w="9631" w:type="dxa"/>
            <w:gridSpan w:val="2"/>
            <w:tcBorders>
              <w:bottom w:val="nil"/>
            </w:tcBorders>
          </w:tcPr>
          <w:p w14:paraId="22F87966" w14:textId="77777777" w:rsidR="009771A2" w:rsidRPr="005B4A8D" w:rsidRDefault="009771A2" w:rsidP="00F62747">
            <w:pPr>
              <w:rPr>
                <w:rFonts w:cs="Arial"/>
                <w:b/>
              </w:rPr>
            </w:pPr>
            <w:r w:rsidRPr="005B4A8D">
              <w:rPr>
                <w:rFonts w:cs="Arial"/>
                <w:b/>
              </w:rPr>
              <w:t>Reason(s)</w:t>
            </w:r>
          </w:p>
        </w:tc>
      </w:tr>
      <w:tr w:rsidR="009771A2" w:rsidRPr="005B4A8D" w14:paraId="2C3127B0" w14:textId="77777777" w:rsidTr="00E0148C">
        <w:tc>
          <w:tcPr>
            <w:tcW w:w="9631" w:type="dxa"/>
            <w:gridSpan w:val="2"/>
            <w:tcBorders>
              <w:top w:val="nil"/>
            </w:tcBorders>
          </w:tcPr>
          <w:p w14:paraId="4D896D41" w14:textId="77777777" w:rsidR="009771A2" w:rsidRPr="005B4A8D" w:rsidRDefault="006262A7" w:rsidP="006262A7">
            <w:pPr>
              <w:rPr>
                <w:rFonts w:cs="Arial"/>
              </w:rPr>
            </w:pPr>
            <w:r w:rsidRPr="005B4A8D">
              <w:rPr>
                <w:rFonts w:cs="Arial"/>
              </w:rPr>
              <w:t>None</w:t>
            </w:r>
          </w:p>
        </w:tc>
      </w:tr>
    </w:tbl>
    <w:p w14:paraId="74CC52F1" w14:textId="77777777" w:rsidR="009A0F2F" w:rsidRPr="005B4A8D" w:rsidRDefault="00C43EE1" w:rsidP="00575B31">
      <w:pPr>
        <w:tabs>
          <w:tab w:val="left" w:pos="0"/>
        </w:tabs>
        <w:rPr>
          <w:rFonts w:cs="Arial"/>
          <w:b/>
        </w:rPr>
      </w:pPr>
      <w:r w:rsidRPr="005B4A8D">
        <w:rPr>
          <w:rFonts w:cs="Arial"/>
        </w:rPr>
        <w:br w:type="page"/>
      </w:r>
      <w:r w:rsidR="00411851" w:rsidRPr="005B4A8D">
        <w:rPr>
          <w:rFonts w:cs="Arial"/>
          <w:b/>
        </w:rPr>
        <w:lastRenderedPageBreak/>
        <w:t>1.</w:t>
      </w:r>
      <w:r w:rsidR="00411851" w:rsidRPr="005B4A8D">
        <w:rPr>
          <w:rFonts w:cs="Arial"/>
          <w:b/>
        </w:rPr>
        <w:tab/>
      </w:r>
      <w:r w:rsidR="00E7688F" w:rsidRPr="005B4A8D">
        <w:rPr>
          <w:rFonts w:cs="Arial"/>
          <w:b/>
        </w:rPr>
        <w:t xml:space="preserve">Introduction and </w:t>
      </w:r>
      <w:r w:rsidR="00AD7A66" w:rsidRPr="005B4A8D">
        <w:rPr>
          <w:rFonts w:cs="Arial"/>
          <w:b/>
        </w:rPr>
        <w:t>b</w:t>
      </w:r>
      <w:r w:rsidR="00E7688F" w:rsidRPr="005B4A8D">
        <w:rPr>
          <w:rFonts w:cs="Arial"/>
          <w:b/>
        </w:rPr>
        <w:t>ackground</w:t>
      </w:r>
    </w:p>
    <w:p w14:paraId="5D96D6BE" w14:textId="77777777" w:rsidR="009A0F2F" w:rsidRPr="005B4A8D" w:rsidRDefault="009A0F2F" w:rsidP="00F7272A">
      <w:pPr>
        <w:rPr>
          <w:rFonts w:cs="Arial"/>
        </w:rPr>
      </w:pPr>
    </w:p>
    <w:p w14:paraId="7EB92623" w14:textId="77777777" w:rsidR="00CA5E3F" w:rsidRPr="005B4A8D" w:rsidRDefault="00CA5E3F" w:rsidP="00166E5E">
      <w:pPr>
        <w:numPr>
          <w:ilvl w:val="1"/>
          <w:numId w:val="2"/>
        </w:numPr>
        <w:tabs>
          <w:tab w:val="clear" w:pos="360"/>
          <w:tab w:val="num" w:pos="-567"/>
        </w:tabs>
        <w:ind w:left="709" w:hanging="709"/>
        <w:jc w:val="both"/>
        <w:rPr>
          <w:rFonts w:cs="Arial"/>
          <w:color w:val="000000"/>
        </w:rPr>
      </w:pPr>
      <w:r w:rsidRPr="005B4A8D">
        <w:rPr>
          <w:rFonts w:cs="Arial"/>
        </w:rPr>
        <w:t xml:space="preserve">The </w:t>
      </w:r>
      <w:r w:rsidR="00AD7A66" w:rsidRPr="005B4A8D">
        <w:rPr>
          <w:rFonts w:cs="Arial"/>
        </w:rPr>
        <w:t>s</w:t>
      </w:r>
      <w:r w:rsidRPr="005B4A8D">
        <w:rPr>
          <w:rFonts w:cs="Arial"/>
        </w:rPr>
        <w:t>chool</w:t>
      </w:r>
      <w:r w:rsidR="0079167A" w:rsidRPr="005B4A8D">
        <w:rPr>
          <w:rFonts w:cs="Arial"/>
        </w:rPr>
        <w:t>s</w:t>
      </w:r>
      <w:r w:rsidRPr="005B4A8D">
        <w:rPr>
          <w:rFonts w:cs="Arial"/>
        </w:rPr>
        <w:t xml:space="preserve"> </w:t>
      </w:r>
      <w:r w:rsidR="00AD7A66" w:rsidRPr="005B4A8D">
        <w:rPr>
          <w:rFonts w:cs="Arial"/>
        </w:rPr>
        <w:t>f</w:t>
      </w:r>
      <w:r w:rsidRPr="005B4A8D">
        <w:rPr>
          <w:rFonts w:cs="Arial"/>
        </w:rPr>
        <w:t xml:space="preserve">orum is a decision making and consultative body in relation to matters concerning schools’ budgets as defined in the </w:t>
      </w:r>
      <w:r w:rsidR="00AD7A66" w:rsidRPr="005B4A8D">
        <w:rPr>
          <w:rFonts w:cs="Arial"/>
        </w:rPr>
        <w:t>s</w:t>
      </w:r>
      <w:r w:rsidRPr="005B4A8D">
        <w:rPr>
          <w:rFonts w:cs="Arial"/>
        </w:rPr>
        <w:t xml:space="preserve">chool </w:t>
      </w:r>
      <w:r w:rsidR="00AD7A66" w:rsidRPr="005B4A8D">
        <w:rPr>
          <w:rFonts w:cs="Arial"/>
        </w:rPr>
        <w:t>f</w:t>
      </w:r>
      <w:r w:rsidRPr="005B4A8D">
        <w:rPr>
          <w:rFonts w:cs="Arial"/>
        </w:rPr>
        <w:t xml:space="preserve">inance (England) </w:t>
      </w:r>
      <w:r w:rsidR="00AD7A66" w:rsidRPr="005B4A8D">
        <w:rPr>
          <w:rFonts w:cs="Arial"/>
        </w:rPr>
        <w:t>r</w:t>
      </w:r>
      <w:r w:rsidRPr="005B4A8D">
        <w:rPr>
          <w:rFonts w:cs="Arial"/>
        </w:rPr>
        <w:t xml:space="preserve">egulations 2012 and the </w:t>
      </w:r>
      <w:r w:rsidR="00AD7A66" w:rsidRPr="005B4A8D">
        <w:rPr>
          <w:rFonts w:cs="Arial"/>
        </w:rPr>
        <w:t>s</w:t>
      </w:r>
      <w:r w:rsidRPr="005B4A8D">
        <w:rPr>
          <w:rFonts w:cs="Arial"/>
        </w:rPr>
        <w:t xml:space="preserve">chools </w:t>
      </w:r>
      <w:r w:rsidR="00AD7A66" w:rsidRPr="005B4A8D">
        <w:rPr>
          <w:rFonts w:cs="Arial"/>
        </w:rPr>
        <w:t>f</w:t>
      </w:r>
      <w:r w:rsidRPr="005B4A8D">
        <w:rPr>
          <w:rFonts w:cs="Arial"/>
        </w:rPr>
        <w:t>orums (England) Regulations 2012</w:t>
      </w:r>
      <w:r w:rsidRPr="005B4A8D">
        <w:rPr>
          <w:rFonts w:cs="Arial"/>
          <w:color w:val="000000"/>
        </w:rPr>
        <w:t>.  T</w:t>
      </w:r>
      <w:r w:rsidR="00383EA6" w:rsidRPr="005B4A8D">
        <w:rPr>
          <w:rFonts w:cs="Arial"/>
          <w:color w:val="000000"/>
        </w:rPr>
        <w:t>he</w:t>
      </w:r>
      <w:r w:rsidRPr="005B4A8D">
        <w:rPr>
          <w:rFonts w:cs="Arial"/>
          <w:color w:val="000000"/>
        </w:rPr>
        <w:t xml:space="preserve"> </w:t>
      </w:r>
      <w:r w:rsidR="00AD7A66" w:rsidRPr="005B4A8D">
        <w:rPr>
          <w:rFonts w:cs="Arial"/>
          <w:color w:val="000000"/>
        </w:rPr>
        <w:t>f</w:t>
      </w:r>
      <w:r w:rsidRPr="005B4A8D">
        <w:rPr>
          <w:rFonts w:cs="Arial"/>
          <w:color w:val="000000"/>
        </w:rPr>
        <w:t xml:space="preserve">orum is required to meet at least four times a year.    </w:t>
      </w:r>
    </w:p>
    <w:p w14:paraId="1FF91B3B" w14:textId="77777777" w:rsidR="00B52BD3" w:rsidRPr="005B4A8D" w:rsidRDefault="00237113" w:rsidP="0083246D">
      <w:pPr>
        <w:rPr>
          <w:rFonts w:cs="Arial"/>
        </w:rPr>
      </w:pPr>
      <w:r w:rsidRPr="005B4A8D">
        <w:rPr>
          <w:rFonts w:cs="Arial"/>
        </w:rPr>
        <w:tab/>
      </w:r>
      <w:r w:rsidR="00657B37" w:rsidRPr="005B4A8D">
        <w:rPr>
          <w:rFonts w:cs="Arial"/>
          <w:b/>
        </w:rPr>
        <w:tab/>
      </w:r>
    </w:p>
    <w:p w14:paraId="32966C7E" w14:textId="77777777" w:rsidR="00F11B00" w:rsidRPr="0025518C" w:rsidRDefault="00F11B00" w:rsidP="00030B00">
      <w:pPr>
        <w:numPr>
          <w:ilvl w:val="0"/>
          <w:numId w:val="2"/>
        </w:numPr>
        <w:rPr>
          <w:rFonts w:cs="Arial"/>
          <w:b/>
        </w:rPr>
      </w:pPr>
      <w:r w:rsidRPr="0025518C">
        <w:rPr>
          <w:rFonts w:cs="Arial"/>
          <w:b/>
        </w:rPr>
        <w:t>Dedicated Schools Grant 2018</w:t>
      </w:r>
      <w:r w:rsidR="0079167A" w:rsidRPr="0025518C">
        <w:rPr>
          <w:rFonts w:cs="Arial"/>
          <w:b/>
        </w:rPr>
        <w:t>/</w:t>
      </w:r>
      <w:r w:rsidRPr="0025518C">
        <w:rPr>
          <w:rFonts w:cs="Arial"/>
          <w:b/>
        </w:rPr>
        <w:t xml:space="preserve">19 </w:t>
      </w:r>
      <w:r w:rsidR="002A01AF" w:rsidRPr="0025518C">
        <w:rPr>
          <w:rFonts w:cs="Arial"/>
          <w:b/>
        </w:rPr>
        <w:t>b</w:t>
      </w:r>
      <w:r w:rsidRPr="0025518C">
        <w:rPr>
          <w:rFonts w:cs="Arial"/>
          <w:b/>
        </w:rPr>
        <w:t xml:space="preserve">udget allocation update </w:t>
      </w:r>
    </w:p>
    <w:p w14:paraId="4FCCF13E" w14:textId="77777777" w:rsidR="00282D5E" w:rsidRPr="005B4A8D" w:rsidRDefault="00282D5E" w:rsidP="00282D5E">
      <w:pPr>
        <w:rPr>
          <w:rFonts w:cs="Arial"/>
          <w:b/>
          <w:u w:val="single"/>
        </w:rPr>
      </w:pPr>
    </w:p>
    <w:p w14:paraId="044FBEB4" w14:textId="77777777" w:rsidR="0079167A" w:rsidRPr="005B4A8D" w:rsidRDefault="0077669A" w:rsidP="0079167A">
      <w:pPr>
        <w:ind w:left="720"/>
        <w:jc w:val="both"/>
        <w:rPr>
          <w:rFonts w:cs="Arial"/>
        </w:rPr>
      </w:pPr>
      <w:r w:rsidRPr="005B4A8D">
        <w:rPr>
          <w:rFonts w:cs="Arial"/>
        </w:rPr>
        <w:t>The current allocation of DSG for 2018</w:t>
      </w:r>
      <w:r w:rsidR="0079167A" w:rsidRPr="005B4A8D">
        <w:rPr>
          <w:rFonts w:cs="Arial"/>
        </w:rPr>
        <w:t>/</w:t>
      </w:r>
      <w:r w:rsidRPr="005B4A8D">
        <w:rPr>
          <w:rFonts w:cs="Arial"/>
        </w:rPr>
        <w:t xml:space="preserve">19 is shown below. The allocation for the </w:t>
      </w:r>
      <w:r w:rsidR="0079167A" w:rsidRPr="005B4A8D">
        <w:rPr>
          <w:rFonts w:cs="Arial"/>
        </w:rPr>
        <w:t>e</w:t>
      </w:r>
      <w:r w:rsidRPr="005B4A8D">
        <w:rPr>
          <w:rFonts w:cs="Arial"/>
        </w:rPr>
        <w:t xml:space="preserve">arly </w:t>
      </w:r>
      <w:r w:rsidR="0079167A" w:rsidRPr="005B4A8D">
        <w:rPr>
          <w:rFonts w:cs="Arial"/>
        </w:rPr>
        <w:t>y</w:t>
      </w:r>
      <w:r w:rsidRPr="005B4A8D">
        <w:rPr>
          <w:rFonts w:cs="Arial"/>
        </w:rPr>
        <w:t xml:space="preserve">ears </w:t>
      </w:r>
      <w:r w:rsidR="0079167A" w:rsidRPr="005B4A8D">
        <w:rPr>
          <w:rFonts w:cs="Arial"/>
        </w:rPr>
        <w:t>b</w:t>
      </w:r>
      <w:r w:rsidRPr="005B4A8D">
        <w:rPr>
          <w:rFonts w:cs="Arial"/>
        </w:rPr>
        <w:t xml:space="preserve">lock has decreased – this reflects a reduction in </w:t>
      </w:r>
      <w:r w:rsidR="0077740F">
        <w:rPr>
          <w:rFonts w:cs="Arial"/>
        </w:rPr>
        <w:t xml:space="preserve">the </w:t>
      </w:r>
      <w:r w:rsidRPr="005B4A8D">
        <w:rPr>
          <w:rFonts w:cs="Arial"/>
        </w:rPr>
        <w:t xml:space="preserve">number of places at the most recent census.  In practice this will be largely matched by a reduction in expenditure from this block and so should not result in any variance.  </w:t>
      </w:r>
    </w:p>
    <w:p w14:paraId="0253B771" w14:textId="77777777" w:rsidR="0079167A" w:rsidRPr="005B4A8D" w:rsidRDefault="0079167A" w:rsidP="0079167A">
      <w:pPr>
        <w:ind w:left="720"/>
        <w:jc w:val="both"/>
        <w:rPr>
          <w:rFonts w:cs="Arial"/>
        </w:rPr>
      </w:pPr>
    </w:p>
    <w:p w14:paraId="60B1186E" w14:textId="77777777" w:rsidR="00282D5E" w:rsidRPr="005B4A8D" w:rsidRDefault="0077669A" w:rsidP="0079167A">
      <w:pPr>
        <w:ind w:left="720"/>
        <w:jc w:val="both"/>
        <w:rPr>
          <w:rFonts w:cs="Arial"/>
        </w:rPr>
      </w:pPr>
      <w:r w:rsidRPr="005B4A8D">
        <w:rPr>
          <w:rFonts w:cs="Arial"/>
        </w:rPr>
        <w:t xml:space="preserve">More detailed information </w:t>
      </w:r>
      <w:r w:rsidR="0079167A" w:rsidRPr="005B4A8D">
        <w:rPr>
          <w:rFonts w:cs="Arial"/>
        </w:rPr>
        <w:t>provided</w:t>
      </w:r>
      <w:r w:rsidRPr="005B4A8D">
        <w:rPr>
          <w:rFonts w:cs="Arial"/>
        </w:rPr>
        <w:t xml:space="preserve"> below:</w:t>
      </w:r>
    </w:p>
    <w:p w14:paraId="05031E84" w14:textId="77777777" w:rsidR="00282D5E" w:rsidRPr="005B4A8D" w:rsidRDefault="00282D5E" w:rsidP="0079167A">
      <w:pPr>
        <w:jc w:val="both"/>
        <w:rPr>
          <w:rFonts w:cs="Arial"/>
          <w:b/>
          <w:u w:val="single"/>
        </w:rPr>
      </w:pPr>
    </w:p>
    <w:tbl>
      <w:tblPr>
        <w:tblStyle w:val="TableGrid"/>
        <w:tblW w:w="8930" w:type="dxa"/>
        <w:tblInd w:w="70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42"/>
        <w:gridCol w:w="1275"/>
        <w:gridCol w:w="1134"/>
        <w:gridCol w:w="1276"/>
        <w:gridCol w:w="1276"/>
        <w:gridCol w:w="1427"/>
      </w:tblGrid>
      <w:tr w:rsidR="00197868" w:rsidRPr="005B4A8D" w14:paraId="75ECBDB9" w14:textId="77777777" w:rsidTr="00DD2EC2">
        <w:tc>
          <w:tcPr>
            <w:tcW w:w="2542" w:type="dxa"/>
          </w:tcPr>
          <w:p w14:paraId="63B65D4E" w14:textId="77777777" w:rsidR="00282551" w:rsidRPr="005B4A8D" w:rsidRDefault="00282551" w:rsidP="00AD7A66">
            <w:pPr>
              <w:jc w:val="right"/>
              <w:rPr>
                <w:rFonts w:cs="Arial"/>
                <w:b/>
                <w:sz w:val="20"/>
                <w:szCs w:val="20"/>
              </w:rPr>
            </w:pPr>
            <w:r w:rsidRPr="005B4A8D">
              <w:rPr>
                <w:rFonts w:cs="Arial"/>
                <w:b/>
                <w:sz w:val="20"/>
                <w:szCs w:val="20"/>
              </w:rPr>
              <w:t>Funding Block</w:t>
            </w:r>
          </w:p>
        </w:tc>
        <w:tc>
          <w:tcPr>
            <w:tcW w:w="1275" w:type="dxa"/>
          </w:tcPr>
          <w:p w14:paraId="662671BE" w14:textId="77777777" w:rsidR="00282551" w:rsidRPr="005B4A8D" w:rsidRDefault="00282551" w:rsidP="00AD7A66">
            <w:pPr>
              <w:jc w:val="right"/>
              <w:rPr>
                <w:rFonts w:cs="Arial"/>
                <w:b/>
                <w:sz w:val="20"/>
                <w:szCs w:val="20"/>
              </w:rPr>
            </w:pPr>
            <w:r w:rsidRPr="005B4A8D">
              <w:rPr>
                <w:rFonts w:cs="Arial"/>
                <w:b/>
                <w:sz w:val="20"/>
                <w:szCs w:val="20"/>
              </w:rPr>
              <w:t>Base</w:t>
            </w:r>
          </w:p>
          <w:p w14:paraId="6BE68241" w14:textId="77777777" w:rsidR="00282551" w:rsidRPr="005B4A8D" w:rsidRDefault="00282551" w:rsidP="00AD7A66">
            <w:pPr>
              <w:jc w:val="right"/>
              <w:rPr>
                <w:rFonts w:cs="Arial"/>
                <w:b/>
                <w:sz w:val="20"/>
                <w:szCs w:val="20"/>
              </w:rPr>
            </w:pPr>
            <w:r w:rsidRPr="005B4A8D">
              <w:rPr>
                <w:rFonts w:cs="Arial"/>
                <w:b/>
                <w:sz w:val="20"/>
                <w:szCs w:val="20"/>
              </w:rPr>
              <w:t>£’000</w:t>
            </w:r>
          </w:p>
        </w:tc>
        <w:tc>
          <w:tcPr>
            <w:tcW w:w="1134" w:type="dxa"/>
          </w:tcPr>
          <w:p w14:paraId="051FD79A" w14:textId="77777777" w:rsidR="00282551" w:rsidRPr="005B4A8D" w:rsidRDefault="00282551" w:rsidP="00AD7A66">
            <w:pPr>
              <w:jc w:val="right"/>
              <w:rPr>
                <w:rFonts w:cs="Arial"/>
                <w:b/>
                <w:sz w:val="20"/>
                <w:szCs w:val="20"/>
              </w:rPr>
            </w:pPr>
            <w:r w:rsidRPr="005B4A8D">
              <w:rPr>
                <w:rFonts w:cs="Arial"/>
                <w:b/>
                <w:sz w:val="20"/>
                <w:szCs w:val="20"/>
              </w:rPr>
              <w:t>Adjust.</w:t>
            </w:r>
          </w:p>
          <w:p w14:paraId="319ED649" w14:textId="77777777" w:rsidR="00282551" w:rsidRPr="005B4A8D" w:rsidRDefault="00282551" w:rsidP="00AD7A66">
            <w:pPr>
              <w:jc w:val="right"/>
              <w:rPr>
                <w:rFonts w:cs="Arial"/>
                <w:b/>
                <w:sz w:val="20"/>
                <w:szCs w:val="20"/>
              </w:rPr>
            </w:pPr>
            <w:r w:rsidRPr="005B4A8D">
              <w:rPr>
                <w:rFonts w:cs="Arial"/>
                <w:b/>
                <w:sz w:val="20"/>
                <w:szCs w:val="20"/>
              </w:rPr>
              <w:t>£’000</w:t>
            </w:r>
          </w:p>
        </w:tc>
        <w:tc>
          <w:tcPr>
            <w:tcW w:w="1276" w:type="dxa"/>
          </w:tcPr>
          <w:p w14:paraId="358F6FDC" w14:textId="77777777" w:rsidR="00282551" w:rsidRPr="005B4A8D" w:rsidRDefault="00282551" w:rsidP="00AD7A66">
            <w:pPr>
              <w:jc w:val="right"/>
              <w:rPr>
                <w:rFonts w:cs="Arial"/>
                <w:b/>
                <w:sz w:val="20"/>
                <w:szCs w:val="20"/>
              </w:rPr>
            </w:pPr>
            <w:r w:rsidRPr="005B4A8D">
              <w:rPr>
                <w:rFonts w:cs="Arial"/>
                <w:b/>
                <w:sz w:val="20"/>
                <w:szCs w:val="20"/>
              </w:rPr>
              <w:t>Net base</w:t>
            </w:r>
          </w:p>
          <w:p w14:paraId="5AC30D62" w14:textId="77777777" w:rsidR="00282551" w:rsidRPr="005B4A8D" w:rsidRDefault="00282551" w:rsidP="00AD7A66">
            <w:pPr>
              <w:jc w:val="right"/>
              <w:rPr>
                <w:rFonts w:cs="Arial"/>
                <w:b/>
                <w:sz w:val="20"/>
                <w:szCs w:val="20"/>
              </w:rPr>
            </w:pPr>
            <w:r w:rsidRPr="005B4A8D">
              <w:rPr>
                <w:rFonts w:cs="Arial"/>
                <w:b/>
                <w:sz w:val="20"/>
                <w:szCs w:val="20"/>
              </w:rPr>
              <w:t>£’000</w:t>
            </w:r>
          </w:p>
        </w:tc>
        <w:tc>
          <w:tcPr>
            <w:tcW w:w="1276" w:type="dxa"/>
          </w:tcPr>
          <w:p w14:paraId="07E546DD" w14:textId="77777777" w:rsidR="00282551" w:rsidRPr="005B4A8D" w:rsidRDefault="00282551" w:rsidP="00AD7A66">
            <w:pPr>
              <w:jc w:val="right"/>
              <w:rPr>
                <w:rFonts w:cs="Arial"/>
                <w:b/>
                <w:sz w:val="20"/>
                <w:szCs w:val="20"/>
              </w:rPr>
            </w:pPr>
            <w:r w:rsidRPr="005B4A8D">
              <w:rPr>
                <w:rFonts w:cs="Arial"/>
                <w:b/>
                <w:sz w:val="20"/>
                <w:szCs w:val="20"/>
              </w:rPr>
              <w:t xml:space="preserve">July </w:t>
            </w:r>
            <w:r w:rsidR="00197868">
              <w:rPr>
                <w:rFonts w:cs="Arial"/>
                <w:b/>
                <w:sz w:val="20"/>
                <w:szCs w:val="20"/>
              </w:rPr>
              <w:t>a</w:t>
            </w:r>
            <w:r w:rsidRPr="005B4A8D">
              <w:rPr>
                <w:rFonts w:cs="Arial"/>
                <w:b/>
                <w:sz w:val="20"/>
                <w:szCs w:val="20"/>
              </w:rPr>
              <w:t>djust.</w:t>
            </w:r>
          </w:p>
          <w:p w14:paraId="01DC5319" w14:textId="77777777" w:rsidR="00282551" w:rsidRPr="005B4A8D" w:rsidRDefault="00282551" w:rsidP="00AD7A66">
            <w:pPr>
              <w:jc w:val="right"/>
              <w:rPr>
                <w:rFonts w:cs="Arial"/>
                <w:b/>
                <w:sz w:val="20"/>
                <w:szCs w:val="20"/>
              </w:rPr>
            </w:pPr>
            <w:r w:rsidRPr="005B4A8D">
              <w:rPr>
                <w:rFonts w:cs="Arial"/>
                <w:b/>
                <w:sz w:val="20"/>
                <w:szCs w:val="20"/>
              </w:rPr>
              <w:t>£’000</w:t>
            </w:r>
          </w:p>
        </w:tc>
        <w:tc>
          <w:tcPr>
            <w:tcW w:w="1427" w:type="dxa"/>
          </w:tcPr>
          <w:p w14:paraId="7C6C8C24" w14:textId="77777777" w:rsidR="00282551" w:rsidRPr="005B4A8D" w:rsidRDefault="00282551" w:rsidP="00AD7A66">
            <w:pPr>
              <w:jc w:val="right"/>
              <w:rPr>
                <w:rFonts w:cs="Arial"/>
                <w:b/>
                <w:sz w:val="20"/>
                <w:szCs w:val="20"/>
              </w:rPr>
            </w:pPr>
            <w:r w:rsidRPr="005B4A8D">
              <w:rPr>
                <w:rFonts w:cs="Arial"/>
                <w:b/>
                <w:sz w:val="20"/>
                <w:szCs w:val="20"/>
              </w:rPr>
              <w:t>2018/19 Revised budget</w:t>
            </w:r>
          </w:p>
          <w:p w14:paraId="6B494BC5" w14:textId="77777777" w:rsidR="00282551" w:rsidRPr="005B4A8D" w:rsidRDefault="00282551" w:rsidP="00AD7A66">
            <w:pPr>
              <w:jc w:val="right"/>
              <w:rPr>
                <w:rFonts w:cs="Arial"/>
                <w:b/>
                <w:sz w:val="20"/>
                <w:szCs w:val="20"/>
              </w:rPr>
            </w:pPr>
            <w:r w:rsidRPr="005B4A8D">
              <w:rPr>
                <w:rFonts w:cs="Arial"/>
                <w:b/>
                <w:sz w:val="20"/>
                <w:szCs w:val="20"/>
              </w:rPr>
              <w:t>£’000</w:t>
            </w:r>
          </w:p>
        </w:tc>
      </w:tr>
      <w:tr w:rsidR="00197868" w:rsidRPr="005B4A8D" w14:paraId="3A4EA0DB" w14:textId="77777777" w:rsidTr="00DD2EC2">
        <w:tc>
          <w:tcPr>
            <w:tcW w:w="2542" w:type="dxa"/>
          </w:tcPr>
          <w:p w14:paraId="16375779" w14:textId="77777777" w:rsidR="00282551" w:rsidRPr="005B4A8D" w:rsidRDefault="00282551" w:rsidP="00030B00">
            <w:pPr>
              <w:rPr>
                <w:rFonts w:cs="Arial"/>
                <w:b/>
                <w:sz w:val="20"/>
                <w:szCs w:val="20"/>
                <w:u w:val="single"/>
              </w:rPr>
            </w:pPr>
            <w:r w:rsidRPr="005B4A8D">
              <w:rPr>
                <w:rFonts w:cs="Arial"/>
                <w:color w:val="000000"/>
                <w:sz w:val="20"/>
                <w:szCs w:val="20"/>
              </w:rPr>
              <w:t>Schools</w:t>
            </w:r>
          </w:p>
        </w:tc>
        <w:tc>
          <w:tcPr>
            <w:tcW w:w="1275" w:type="dxa"/>
          </w:tcPr>
          <w:p w14:paraId="64237AC5" w14:textId="77777777" w:rsidR="00282551" w:rsidRPr="005B4A8D" w:rsidRDefault="00282551" w:rsidP="00AD7A66">
            <w:pPr>
              <w:jc w:val="right"/>
              <w:rPr>
                <w:rFonts w:cs="Arial"/>
                <w:sz w:val="20"/>
                <w:szCs w:val="20"/>
              </w:rPr>
            </w:pPr>
            <w:r w:rsidRPr="005B4A8D">
              <w:rPr>
                <w:rFonts w:cs="Arial"/>
                <w:sz w:val="20"/>
                <w:szCs w:val="20"/>
              </w:rPr>
              <w:t>212,261</w:t>
            </w:r>
          </w:p>
        </w:tc>
        <w:tc>
          <w:tcPr>
            <w:tcW w:w="1134" w:type="dxa"/>
          </w:tcPr>
          <w:p w14:paraId="4029D226" w14:textId="77777777" w:rsidR="00282551" w:rsidRPr="005B4A8D" w:rsidRDefault="00282551" w:rsidP="00AD7A66">
            <w:pPr>
              <w:jc w:val="right"/>
              <w:rPr>
                <w:rFonts w:cs="Arial"/>
                <w:bCs/>
                <w:color w:val="000000"/>
                <w:sz w:val="20"/>
                <w:szCs w:val="20"/>
              </w:rPr>
            </w:pPr>
            <w:r w:rsidRPr="00197868">
              <w:rPr>
                <w:rFonts w:cs="Arial"/>
                <w:bCs/>
                <w:color w:val="FF0000"/>
                <w:sz w:val="20"/>
                <w:szCs w:val="20"/>
              </w:rPr>
              <w:t>(44,385)</w:t>
            </w:r>
          </w:p>
        </w:tc>
        <w:tc>
          <w:tcPr>
            <w:tcW w:w="1276" w:type="dxa"/>
          </w:tcPr>
          <w:p w14:paraId="1F6FDBF1" w14:textId="77777777" w:rsidR="00282551" w:rsidRPr="005B4A8D" w:rsidRDefault="00282551" w:rsidP="00AD7A66">
            <w:pPr>
              <w:jc w:val="right"/>
              <w:rPr>
                <w:rFonts w:cs="Arial"/>
                <w:sz w:val="20"/>
                <w:szCs w:val="20"/>
              </w:rPr>
            </w:pPr>
            <w:r w:rsidRPr="005B4A8D">
              <w:rPr>
                <w:rFonts w:cs="Arial"/>
                <w:bCs/>
                <w:color w:val="000000"/>
                <w:sz w:val="20"/>
                <w:szCs w:val="20"/>
              </w:rPr>
              <w:t>167,876</w:t>
            </w:r>
          </w:p>
        </w:tc>
        <w:tc>
          <w:tcPr>
            <w:tcW w:w="1276" w:type="dxa"/>
          </w:tcPr>
          <w:p w14:paraId="215561C1" w14:textId="77777777" w:rsidR="00282551" w:rsidRPr="005B4A8D" w:rsidRDefault="00282551" w:rsidP="00AD7A66">
            <w:pPr>
              <w:jc w:val="right"/>
              <w:rPr>
                <w:rFonts w:cs="Arial"/>
                <w:sz w:val="20"/>
                <w:szCs w:val="20"/>
              </w:rPr>
            </w:pPr>
            <w:r w:rsidRPr="005B4A8D">
              <w:rPr>
                <w:rFonts w:cs="Arial"/>
                <w:bCs/>
                <w:color w:val="000000"/>
                <w:sz w:val="20"/>
                <w:szCs w:val="20"/>
              </w:rPr>
              <w:t>48</w:t>
            </w:r>
          </w:p>
        </w:tc>
        <w:tc>
          <w:tcPr>
            <w:tcW w:w="1427" w:type="dxa"/>
          </w:tcPr>
          <w:p w14:paraId="6393DB3D" w14:textId="77777777" w:rsidR="00282551" w:rsidRPr="005B4A8D" w:rsidRDefault="00282551" w:rsidP="00AD7A66">
            <w:pPr>
              <w:jc w:val="right"/>
              <w:rPr>
                <w:rFonts w:cs="Arial"/>
                <w:sz w:val="20"/>
                <w:szCs w:val="20"/>
              </w:rPr>
            </w:pPr>
            <w:r w:rsidRPr="005B4A8D">
              <w:rPr>
                <w:rFonts w:cs="Arial"/>
                <w:sz w:val="20"/>
                <w:szCs w:val="20"/>
              </w:rPr>
              <w:t>167,924</w:t>
            </w:r>
          </w:p>
        </w:tc>
      </w:tr>
      <w:tr w:rsidR="00197868" w:rsidRPr="005B4A8D" w14:paraId="11F327DD" w14:textId="77777777" w:rsidTr="00DD2EC2">
        <w:tc>
          <w:tcPr>
            <w:tcW w:w="2542" w:type="dxa"/>
          </w:tcPr>
          <w:p w14:paraId="757DC866" w14:textId="77777777" w:rsidR="00282551" w:rsidRPr="005B4A8D" w:rsidRDefault="00282551" w:rsidP="00D25BA5">
            <w:pPr>
              <w:rPr>
                <w:rFonts w:cs="Arial"/>
                <w:b/>
                <w:sz w:val="20"/>
                <w:szCs w:val="20"/>
                <w:u w:val="single"/>
              </w:rPr>
            </w:pPr>
            <w:r w:rsidRPr="005B4A8D">
              <w:rPr>
                <w:rFonts w:cs="Arial"/>
                <w:color w:val="000000"/>
                <w:sz w:val="20"/>
                <w:szCs w:val="20"/>
              </w:rPr>
              <w:t>Early years</w:t>
            </w:r>
          </w:p>
        </w:tc>
        <w:tc>
          <w:tcPr>
            <w:tcW w:w="1275" w:type="dxa"/>
          </w:tcPr>
          <w:p w14:paraId="757DDEE6" w14:textId="77777777" w:rsidR="00282551" w:rsidRPr="005B4A8D" w:rsidRDefault="00282551" w:rsidP="00AD7A66">
            <w:pPr>
              <w:jc w:val="right"/>
              <w:rPr>
                <w:rFonts w:cs="Arial"/>
                <w:sz w:val="20"/>
                <w:szCs w:val="20"/>
              </w:rPr>
            </w:pPr>
            <w:r w:rsidRPr="005B4A8D">
              <w:rPr>
                <w:rFonts w:cs="Arial"/>
                <w:sz w:val="20"/>
                <w:szCs w:val="20"/>
              </w:rPr>
              <w:t>22,223</w:t>
            </w:r>
          </w:p>
        </w:tc>
        <w:tc>
          <w:tcPr>
            <w:tcW w:w="1134" w:type="dxa"/>
          </w:tcPr>
          <w:p w14:paraId="78DD027B" w14:textId="77777777" w:rsidR="00282551" w:rsidRPr="005B4A8D" w:rsidRDefault="00282551" w:rsidP="00AD7A66">
            <w:pPr>
              <w:jc w:val="right"/>
              <w:rPr>
                <w:rFonts w:cs="Arial"/>
                <w:bCs/>
                <w:color w:val="000000"/>
                <w:sz w:val="20"/>
                <w:szCs w:val="20"/>
              </w:rPr>
            </w:pPr>
            <w:r w:rsidRPr="005B4A8D">
              <w:rPr>
                <w:rFonts w:cs="Arial"/>
                <w:bCs/>
                <w:color w:val="000000"/>
                <w:sz w:val="20"/>
                <w:szCs w:val="20"/>
              </w:rPr>
              <w:t>-</w:t>
            </w:r>
          </w:p>
        </w:tc>
        <w:tc>
          <w:tcPr>
            <w:tcW w:w="1276" w:type="dxa"/>
          </w:tcPr>
          <w:p w14:paraId="51B51C4C" w14:textId="77777777" w:rsidR="00282551" w:rsidRPr="005B4A8D" w:rsidRDefault="00282551" w:rsidP="00AD7A66">
            <w:pPr>
              <w:jc w:val="right"/>
              <w:rPr>
                <w:rFonts w:cs="Arial"/>
                <w:sz w:val="20"/>
                <w:szCs w:val="20"/>
              </w:rPr>
            </w:pPr>
            <w:r w:rsidRPr="005B4A8D">
              <w:rPr>
                <w:rFonts w:cs="Arial"/>
                <w:bCs/>
                <w:color w:val="000000"/>
                <w:sz w:val="20"/>
                <w:szCs w:val="20"/>
              </w:rPr>
              <w:t>22,223</w:t>
            </w:r>
          </w:p>
        </w:tc>
        <w:tc>
          <w:tcPr>
            <w:tcW w:w="1276" w:type="dxa"/>
          </w:tcPr>
          <w:p w14:paraId="2C0B73F1" w14:textId="77777777" w:rsidR="00282551" w:rsidRPr="00197868" w:rsidRDefault="00282551" w:rsidP="00AD7A66">
            <w:pPr>
              <w:jc w:val="right"/>
              <w:rPr>
                <w:rFonts w:cs="Arial"/>
                <w:color w:val="FF0000"/>
                <w:sz w:val="20"/>
                <w:szCs w:val="20"/>
              </w:rPr>
            </w:pPr>
            <w:r w:rsidRPr="00197868">
              <w:rPr>
                <w:rFonts w:cs="Arial"/>
                <w:color w:val="FF0000"/>
                <w:sz w:val="20"/>
                <w:szCs w:val="20"/>
              </w:rPr>
              <w:t>(904)</w:t>
            </w:r>
          </w:p>
        </w:tc>
        <w:tc>
          <w:tcPr>
            <w:tcW w:w="1427" w:type="dxa"/>
          </w:tcPr>
          <w:p w14:paraId="4E6BA058" w14:textId="77777777" w:rsidR="00282551" w:rsidRPr="005B4A8D" w:rsidRDefault="00282551" w:rsidP="00AD7A66">
            <w:pPr>
              <w:jc w:val="right"/>
              <w:rPr>
                <w:rFonts w:cs="Arial"/>
                <w:sz w:val="20"/>
                <w:szCs w:val="20"/>
              </w:rPr>
            </w:pPr>
            <w:r w:rsidRPr="005B4A8D">
              <w:rPr>
                <w:rFonts w:cs="Arial"/>
                <w:sz w:val="20"/>
                <w:szCs w:val="20"/>
              </w:rPr>
              <w:t>21,319</w:t>
            </w:r>
          </w:p>
        </w:tc>
      </w:tr>
      <w:tr w:rsidR="00197868" w:rsidRPr="005B4A8D" w14:paraId="4093D68E" w14:textId="77777777" w:rsidTr="00DD2EC2">
        <w:tc>
          <w:tcPr>
            <w:tcW w:w="2542" w:type="dxa"/>
          </w:tcPr>
          <w:p w14:paraId="384CFF3C" w14:textId="77777777" w:rsidR="00282551" w:rsidRPr="005B4A8D" w:rsidRDefault="00282551" w:rsidP="00D25BA5">
            <w:pPr>
              <w:rPr>
                <w:rFonts w:cs="Arial"/>
                <w:b/>
                <w:sz w:val="20"/>
                <w:szCs w:val="20"/>
                <w:u w:val="single"/>
              </w:rPr>
            </w:pPr>
            <w:r w:rsidRPr="005B4A8D">
              <w:rPr>
                <w:rFonts w:cs="Arial"/>
                <w:color w:val="000000"/>
                <w:sz w:val="20"/>
                <w:szCs w:val="20"/>
              </w:rPr>
              <w:t xml:space="preserve">High needs </w:t>
            </w:r>
          </w:p>
        </w:tc>
        <w:tc>
          <w:tcPr>
            <w:tcW w:w="1275" w:type="dxa"/>
          </w:tcPr>
          <w:p w14:paraId="7CE8723E" w14:textId="77777777" w:rsidR="00282551" w:rsidRPr="005B4A8D" w:rsidRDefault="00282551" w:rsidP="00AD7A66">
            <w:pPr>
              <w:jc w:val="right"/>
              <w:rPr>
                <w:rFonts w:cs="Arial"/>
                <w:sz w:val="20"/>
                <w:szCs w:val="20"/>
              </w:rPr>
            </w:pPr>
            <w:r w:rsidRPr="005B4A8D">
              <w:rPr>
                <w:rFonts w:cs="Arial"/>
                <w:sz w:val="20"/>
                <w:szCs w:val="20"/>
              </w:rPr>
              <w:t>28,097</w:t>
            </w:r>
          </w:p>
        </w:tc>
        <w:tc>
          <w:tcPr>
            <w:tcW w:w="1134" w:type="dxa"/>
          </w:tcPr>
          <w:p w14:paraId="7C739F5E" w14:textId="77777777" w:rsidR="00282551" w:rsidRPr="005B4A8D" w:rsidRDefault="00282551" w:rsidP="00AD7A66">
            <w:pPr>
              <w:jc w:val="right"/>
              <w:rPr>
                <w:rFonts w:cs="Arial"/>
                <w:bCs/>
                <w:color w:val="000000"/>
                <w:sz w:val="20"/>
                <w:szCs w:val="20"/>
              </w:rPr>
            </w:pPr>
            <w:r w:rsidRPr="00197868">
              <w:rPr>
                <w:rFonts w:cs="Arial"/>
                <w:bCs/>
                <w:color w:val="FF0000"/>
                <w:sz w:val="20"/>
                <w:szCs w:val="20"/>
              </w:rPr>
              <w:t>(2,230)</w:t>
            </w:r>
          </w:p>
        </w:tc>
        <w:tc>
          <w:tcPr>
            <w:tcW w:w="1276" w:type="dxa"/>
          </w:tcPr>
          <w:p w14:paraId="7AB5DA3F" w14:textId="77777777" w:rsidR="00282551" w:rsidRPr="005B4A8D" w:rsidRDefault="00282551" w:rsidP="00AD7A66">
            <w:pPr>
              <w:jc w:val="right"/>
              <w:rPr>
                <w:rFonts w:cs="Arial"/>
                <w:sz w:val="20"/>
                <w:szCs w:val="20"/>
              </w:rPr>
            </w:pPr>
            <w:r w:rsidRPr="005B4A8D">
              <w:rPr>
                <w:rFonts w:cs="Arial"/>
                <w:bCs/>
                <w:color w:val="000000"/>
                <w:sz w:val="20"/>
                <w:szCs w:val="20"/>
              </w:rPr>
              <w:t>25,867</w:t>
            </w:r>
          </w:p>
        </w:tc>
        <w:tc>
          <w:tcPr>
            <w:tcW w:w="1276" w:type="dxa"/>
          </w:tcPr>
          <w:p w14:paraId="2D82A1E4" w14:textId="77777777" w:rsidR="00282551" w:rsidRPr="005B4A8D" w:rsidRDefault="00282551" w:rsidP="00AD7A66">
            <w:pPr>
              <w:jc w:val="right"/>
              <w:rPr>
                <w:rFonts w:cs="Arial"/>
                <w:sz w:val="20"/>
                <w:szCs w:val="20"/>
              </w:rPr>
            </w:pPr>
            <w:r w:rsidRPr="005B4A8D">
              <w:rPr>
                <w:rFonts w:cs="Arial"/>
                <w:sz w:val="20"/>
                <w:szCs w:val="20"/>
              </w:rPr>
              <w:t>-</w:t>
            </w:r>
          </w:p>
        </w:tc>
        <w:tc>
          <w:tcPr>
            <w:tcW w:w="1427" w:type="dxa"/>
          </w:tcPr>
          <w:p w14:paraId="07897D2D" w14:textId="77777777" w:rsidR="00282551" w:rsidRPr="005B4A8D" w:rsidRDefault="00282551" w:rsidP="00AD7A66">
            <w:pPr>
              <w:jc w:val="right"/>
              <w:rPr>
                <w:rFonts w:cs="Arial"/>
                <w:sz w:val="20"/>
                <w:szCs w:val="20"/>
              </w:rPr>
            </w:pPr>
            <w:r w:rsidRPr="005B4A8D">
              <w:rPr>
                <w:rFonts w:cs="Arial"/>
                <w:sz w:val="20"/>
                <w:szCs w:val="20"/>
              </w:rPr>
              <w:t>25,867</w:t>
            </w:r>
          </w:p>
        </w:tc>
      </w:tr>
      <w:tr w:rsidR="00197868" w:rsidRPr="005B4A8D" w14:paraId="767F9EA4" w14:textId="77777777" w:rsidTr="00DD2EC2">
        <w:tc>
          <w:tcPr>
            <w:tcW w:w="2542" w:type="dxa"/>
          </w:tcPr>
          <w:p w14:paraId="029AC9B3" w14:textId="77777777" w:rsidR="00282551" w:rsidRPr="005B4A8D" w:rsidRDefault="00282551" w:rsidP="00D25BA5">
            <w:pPr>
              <w:rPr>
                <w:rFonts w:cs="Arial"/>
                <w:b/>
                <w:sz w:val="20"/>
                <w:szCs w:val="20"/>
                <w:u w:val="single"/>
              </w:rPr>
            </w:pPr>
            <w:r w:rsidRPr="005B4A8D">
              <w:rPr>
                <w:rFonts w:cs="Arial"/>
                <w:color w:val="000000"/>
                <w:sz w:val="20"/>
                <w:szCs w:val="20"/>
              </w:rPr>
              <w:t xml:space="preserve">Central </w:t>
            </w:r>
          </w:p>
        </w:tc>
        <w:tc>
          <w:tcPr>
            <w:tcW w:w="1275" w:type="dxa"/>
          </w:tcPr>
          <w:p w14:paraId="07388FC7" w14:textId="77777777" w:rsidR="00282551" w:rsidRPr="005B4A8D" w:rsidRDefault="00282551" w:rsidP="00AD7A66">
            <w:pPr>
              <w:jc w:val="right"/>
              <w:rPr>
                <w:rFonts w:cs="Arial"/>
                <w:sz w:val="20"/>
                <w:szCs w:val="20"/>
              </w:rPr>
            </w:pPr>
            <w:r w:rsidRPr="005B4A8D">
              <w:rPr>
                <w:rFonts w:cs="Arial"/>
                <w:sz w:val="20"/>
                <w:szCs w:val="20"/>
              </w:rPr>
              <w:t>2,559</w:t>
            </w:r>
          </w:p>
        </w:tc>
        <w:tc>
          <w:tcPr>
            <w:tcW w:w="1134" w:type="dxa"/>
          </w:tcPr>
          <w:p w14:paraId="1FF07E2B" w14:textId="77777777" w:rsidR="00282551" w:rsidRPr="005B4A8D" w:rsidRDefault="00282551" w:rsidP="00AD7A66">
            <w:pPr>
              <w:jc w:val="right"/>
              <w:rPr>
                <w:rFonts w:cs="Arial"/>
                <w:bCs/>
                <w:color w:val="000000"/>
                <w:sz w:val="20"/>
                <w:szCs w:val="20"/>
              </w:rPr>
            </w:pPr>
            <w:r w:rsidRPr="005B4A8D">
              <w:rPr>
                <w:rFonts w:cs="Arial"/>
                <w:bCs/>
                <w:color w:val="000000"/>
                <w:sz w:val="20"/>
                <w:szCs w:val="20"/>
              </w:rPr>
              <w:t>-</w:t>
            </w:r>
          </w:p>
        </w:tc>
        <w:tc>
          <w:tcPr>
            <w:tcW w:w="1276" w:type="dxa"/>
          </w:tcPr>
          <w:p w14:paraId="6824FCEB" w14:textId="77777777" w:rsidR="00282551" w:rsidRPr="005B4A8D" w:rsidRDefault="00282551" w:rsidP="00AD7A66">
            <w:pPr>
              <w:jc w:val="right"/>
              <w:rPr>
                <w:rFonts w:cs="Arial"/>
                <w:sz w:val="20"/>
                <w:szCs w:val="20"/>
              </w:rPr>
            </w:pPr>
            <w:r w:rsidRPr="005B4A8D">
              <w:rPr>
                <w:rFonts w:cs="Arial"/>
                <w:bCs/>
                <w:color w:val="000000"/>
                <w:sz w:val="20"/>
                <w:szCs w:val="20"/>
              </w:rPr>
              <w:t>2,559</w:t>
            </w:r>
          </w:p>
        </w:tc>
        <w:tc>
          <w:tcPr>
            <w:tcW w:w="1276" w:type="dxa"/>
          </w:tcPr>
          <w:p w14:paraId="6E07B4FF" w14:textId="77777777" w:rsidR="00282551" w:rsidRPr="005B4A8D" w:rsidRDefault="00282551" w:rsidP="00AD7A66">
            <w:pPr>
              <w:jc w:val="right"/>
              <w:rPr>
                <w:rFonts w:cs="Arial"/>
                <w:sz w:val="20"/>
                <w:szCs w:val="20"/>
              </w:rPr>
            </w:pPr>
            <w:r w:rsidRPr="005B4A8D">
              <w:rPr>
                <w:rFonts w:cs="Arial"/>
                <w:sz w:val="20"/>
                <w:szCs w:val="20"/>
              </w:rPr>
              <w:t>-</w:t>
            </w:r>
          </w:p>
        </w:tc>
        <w:tc>
          <w:tcPr>
            <w:tcW w:w="1427" w:type="dxa"/>
          </w:tcPr>
          <w:p w14:paraId="38B79944" w14:textId="77777777" w:rsidR="00282551" w:rsidRPr="005B4A8D" w:rsidRDefault="00282551" w:rsidP="00AD7A66">
            <w:pPr>
              <w:jc w:val="right"/>
              <w:rPr>
                <w:rFonts w:cs="Arial"/>
                <w:sz w:val="20"/>
                <w:szCs w:val="20"/>
              </w:rPr>
            </w:pPr>
            <w:r w:rsidRPr="005B4A8D">
              <w:rPr>
                <w:rFonts w:cs="Arial"/>
                <w:sz w:val="20"/>
                <w:szCs w:val="20"/>
              </w:rPr>
              <w:t>2,559</w:t>
            </w:r>
          </w:p>
        </w:tc>
      </w:tr>
      <w:tr w:rsidR="00197868" w:rsidRPr="005B4A8D" w14:paraId="0934938C" w14:textId="77777777" w:rsidTr="00DD2EC2">
        <w:tc>
          <w:tcPr>
            <w:tcW w:w="2542" w:type="dxa"/>
          </w:tcPr>
          <w:p w14:paraId="18F5EAB9" w14:textId="77777777" w:rsidR="00282551" w:rsidRPr="005B4A8D" w:rsidRDefault="00282551" w:rsidP="00D25BA5">
            <w:pPr>
              <w:rPr>
                <w:rFonts w:cs="Arial"/>
                <w:b/>
                <w:sz w:val="20"/>
                <w:szCs w:val="20"/>
              </w:rPr>
            </w:pPr>
            <w:r w:rsidRPr="005B4A8D">
              <w:rPr>
                <w:rFonts w:cs="Arial"/>
                <w:b/>
                <w:sz w:val="20"/>
                <w:szCs w:val="20"/>
              </w:rPr>
              <w:t>Total</w:t>
            </w:r>
          </w:p>
        </w:tc>
        <w:tc>
          <w:tcPr>
            <w:tcW w:w="1275" w:type="dxa"/>
          </w:tcPr>
          <w:p w14:paraId="2D3A7979" w14:textId="77777777" w:rsidR="00282551" w:rsidRPr="005B4A8D" w:rsidRDefault="00282551" w:rsidP="00AD7A66">
            <w:pPr>
              <w:jc w:val="right"/>
              <w:rPr>
                <w:rFonts w:cs="Arial"/>
                <w:b/>
                <w:sz w:val="20"/>
                <w:szCs w:val="20"/>
              </w:rPr>
            </w:pPr>
            <w:r w:rsidRPr="005B4A8D">
              <w:rPr>
                <w:rFonts w:cs="Arial"/>
                <w:b/>
                <w:sz w:val="20"/>
                <w:szCs w:val="20"/>
              </w:rPr>
              <w:t>265,140</w:t>
            </w:r>
          </w:p>
        </w:tc>
        <w:tc>
          <w:tcPr>
            <w:tcW w:w="1134" w:type="dxa"/>
          </w:tcPr>
          <w:p w14:paraId="3752EEA0" w14:textId="77777777" w:rsidR="00282551" w:rsidRPr="005B4A8D" w:rsidRDefault="00282551" w:rsidP="00AD7A66">
            <w:pPr>
              <w:jc w:val="right"/>
              <w:rPr>
                <w:rFonts w:cs="Arial"/>
                <w:b/>
                <w:sz w:val="20"/>
                <w:szCs w:val="20"/>
              </w:rPr>
            </w:pPr>
            <w:r w:rsidRPr="00197868">
              <w:rPr>
                <w:rFonts w:cs="Arial"/>
                <w:b/>
                <w:color w:val="FF0000"/>
                <w:sz w:val="20"/>
                <w:szCs w:val="20"/>
              </w:rPr>
              <w:t>(46,615)</w:t>
            </w:r>
          </w:p>
        </w:tc>
        <w:tc>
          <w:tcPr>
            <w:tcW w:w="1276" w:type="dxa"/>
          </w:tcPr>
          <w:p w14:paraId="03993789" w14:textId="77777777" w:rsidR="00282551" w:rsidRPr="005B4A8D" w:rsidRDefault="00282551" w:rsidP="00AD7A66">
            <w:pPr>
              <w:jc w:val="right"/>
              <w:rPr>
                <w:rFonts w:cs="Arial"/>
                <w:b/>
                <w:sz w:val="20"/>
                <w:szCs w:val="20"/>
              </w:rPr>
            </w:pPr>
            <w:r w:rsidRPr="005B4A8D">
              <w:rPr>
                <w:rFonts w:cs="Arial"/>
                <w:b/>
                <w:sz w:val="20"/>
                <w:szCs w:val="20"/>
              </w:rPr>
              <w:t>218,525</w:t>
            </w:r>
          </w:p>
        </w:tc>
        <w:tc>
          <w:tcPr>
            <w:tcW w:w="1276" w:type="dxa"/>
          </w:tcPr>
          <w:p w14:paraId="27F43A38" w14:textId="77777777" w:rsidR="00282551" w:rsidRPr="005B4A8D" w:rsidRDefault="00282551" w:rsidP="00AD7A66">
            <w:pPr>
              <w:jc w:val="right"/>
              <w:rPr>
                <w:rFonts w:cs="Arial"/>
                <w:b/>
                <w:sz w:val="20"/>
                <w:szCs w:val="20"/>
              </w:rPr>
            </w:pPr>
            <w:r w:rsidRPr="00197868">
              <w:rPr>
                <w:rFonts w:cs="Arial"/>
                <w:b/>
                <w:color w:val="FF0000"/>
                <w:sz w:val="20"/>
                <w:szCs w:val="20"/>
              </w:rPr>
              <w:t>(856)</w:t>
            </w:r>
          </w:p>
        </w:tc>
        <w:tc>
          <w:tcPr>
            <w:tcW w:w="1427" w:type="dxa"/>
          </w:tcPr>
          <w:p w14:paraId="5F6A39B4" w14:textId="77777777" w:rsidR="00282551" w:rsidRPr="005B4A8D" w:rsidRDefault="00282551" w:rsidP="00AD7A66">
            <w:pPr>
              <w:jc w:val="right"/>
              <w:rPr>
                <w:rFonts w:cs="Arial"/>
                <w:b/>
                <w:sz w:val="20"/>
                <w:szCs w:val="20"/>
              </w:rPr>
            </w:pPr>
            <w:r w:rsidRPr="005B4A8D">
              <w:rPr>
                <w:rFonts w:cs="Arial"/>
                <w:b/>
                <w:sz w:val="20"/>
                <w:szCs w:val="20"/>
              </w:rPr>
              <w:t>217,669</w:t>
            </w:r>
          </w:p>
        </w:tc>
      </w:tr>
    </w:tbl>
    <w:p w14:paraId="410D1D94" w14:textId="77777777" w:rsidR="00EF5834" w:rsidRPr="00197868" w:rsidRDefault="00EF5834" w:rsidP="00197868">
      <w:pPr>
        <w:ind w:left="709"/>
        <w:jc w:val="both"/>
        <w:rPr>
          <w:sz w:val="23"/>
          <w:szCs w:val="23"/>
        </w:rPr>
      </w:pPr>
    </w:p>
    <w:p w14:paraId="2F3487B1" w14:textId="77777777" w:rsidR="00282D5E" w:rsidRPr="005B4A8D" w:rsidRDefault="00EF5834" w:rsidP="00197868">
      <w:pPr>
        <w:ind w:left="709"/>
        <w:jc w:val="both"/>
        <w:rPr>
          <w:rFonts w:cs="Arial"/>
          <w:u w:val="single"/>
        </w:rPr>
      </w:pPr>
      <w:r w:rsidRPr="00197868">
        <w:rPr>
          <w:sz w:val="23"/>
          <w:szCs w:val="23"/>
        </w:rPr>
        <w:t>Table 1</w:t>
      </w:r>
      <w:r w:rsidR="003464FC" w:rsidRPr="00197868">
        <w:rPr>
          <w:sz w:val="23"/>
          <w:szCs w:val="23"/>
        </w:rPr>
        <w:t>:</w:t>
      </w:r>
      <w:r w:rsidRPr="00197868">
        <w:rPr>
          <w:sz w:val="23"/>
          <w:szCs w:val="23"/>
        </w:rPr>
        <w:t xml:space="preserve"> </w:t>
      </w:r>
      <w:r w:rsidR="00655B59" w:rsidRPr="00197868">
        <w:rPr>
          <w:sz w:val="23"/>
          <w:szCs w:val="23"/>
        </w:rPr>
        <w:t>Updated 2018</w:t>
      </w:r>
      <w:r w:rsidR="00494474" w:rsidRPr="00197868">
        <w:rPr>
          <w:sz w:val="23"/>
          <w:szCs w:val="23"/>
        </w:rPr>
        <w:t>/</w:t>
      </w:r>
      <w:r w:rsidR="00655B59" w:rsidRPr="00197868">
        <w:rPr>
          <w:sz w:val="23"/>
          <w:szCs w:val="23"/>
        </w:rPr>
        <w:t xml:space="preserve">19 </w:t>
      </w:r>
      <w:r w:rsidRPr="00197868">
        <w:rPr>
          <w:sz w:val="23"/>
          <w:szCs w:val="23"/>
        </w:rPr>
        <w:t xml:space="preserve">Dedicated Schools Grant </w:t>
      </w:r>
      <w:r w:rsidR="00655B59" w:rsidRPr="00197868">
        <w:rPr>
          <w:sz w:val="23"/>
          <w:szCs w:val="23"/>
        </w:rPr>
        <w:t>allocations</w:t>
      </w:r>
      <w:r w:rsidR="003F62CA" w:rsidRPr="00197868">
        <w:rPr>
          <w:sz w:val="23"/>
          <w:szCs w:val="23"/>
        </w:rPr>
        <w:t xml:space="preserve"> and </w:t>
      </w:r>
      <w:r w:rsidR="00494474" w:rsidRPr="00197868">
        <w:rPr>
          <w:sz w:val="23"/>
          <w:szCs w:val="23"/>
        </w:rPr>
        <w:t>o</w:t>
      </w:r>
      <w:r w:rsidR="003F62CA" w:rsidRPr="00197868">
        <w:rPr>
          <w:sz w:val="23"/>
          <w:szCs w:val="23"/>
        </w:rPr>
        <w:t xml:space="preserve">utturn </w:t>
      </w:r>
      <w:r w:rsidR="00494474" w:rsidRPr="00197868">
        <w:rPr>
          <w:sz w:val="23"/>
          <w:szCs w:val="23"/>
        </w:rPr>
        <w:t>p</w:t>
      </w:r>
      <w:r w:rsidR="003F62CA" w:rsidRPr="00197868">
        <w:rPr>
          <w:sz w:val="23"/>
          <w:szCs w:val="23"/>
        </w:rPr>
        <w:t>rojections</w:t>
      </w:r>
    </w:p>
    <w:p w14:paraId="0D464B60" w14:textId="77777777" w:rsidR="009D300E" w:rsidRPr="005B4A8D" w:rsidRDefault="009D300E" w:rsidP="00494474">
      <w:pPr>
        <w:jc w:val="both"/>
        <w:rPr>
          <w:rFonts w:cs="Arial"/>
        </w:rPr>
      </w:pPr>
    </w:p>
    <w:p w14:paraId="5CC64C95" w14:textId="77777777" w:rsidR="00BB0ADE" w:rsidRPr="005B4A8D" w:rsidRDefault="00984EE0" w:rsidP="00494474">
      <w:pPr>
        <w:pStyle w:val="ListParagraph"/>
        <w:numPr>
          <w:ilvl w:val="1"/>
          <w:numId w:val="2"/>
        </w:numPr>
        <w:tabs>
          <w:tab w:val="clear" w:pos="360"/>
        </w:tabs>
        <w:ind w:left="709" w:hanging="709"/>
        <w:jc w:val="both"/>
      </w:pPr>
      <w:r w:rsidRPr="005B4A8D">
        <w:t xml:space="preserve">Funding for academies </w:t>
      </w:r>
      <w:r w:rsidR="00041B3F">
        <w:t>is</w:t>
      </w:r>
      <w:r w:rsidRPr="005B4A8D">
        <w:t xml:space="preserve"> recouped from the DSG as these establishments receive funding direct from the ESFA. </w:t>
      </w:r>
      <w:r w:rsidR="00742F99" w:rsidRPr="005B4A8D">
        <w:t>The update of £48</w:t>
      </w:r>
      <w:r w:rsidR="00494474" w:rsidRPr="005B4A8D">
        <w:t>k</w:t>
      </w:r>
      <w:r w:rsidR="00742F99" w:rsidRPr="005B4A8D">
        <w:t xml:space="preserve"> relate</w:t>
      </w:r>
      <w:r w:rsidR="00041B3F">
        <w:t>s</w:t>
      </w:r>
      <w:r w:rsidR="00742F99" w:rsidRPr="005B4A8D">
        <w:t xml:space="preserve"> to growth fund adjustment from 2017/18 that was not</w:t>
      </w:r>
      <w:r w:rsidRPr="005B4A8D">
        <w:t xml:space="preserve"> captured in the Authority </w:t>
      </w:r>
      <w:r w:rsidR="00D25E26">
        <w:t>Proforma</w:t>
      </w:r>
      <w:r w:rsidR="00186AD9">
        <w:t xml:space="preserve"> </w:t>
      </w:r>
      <w:r w:rsidRPr="005B4A8D">
        <w:t>Tool (APT)</w:t>
      </w:r>
      <w:r w:rsidR="00742F99" w:rsidRPr="005B4A8D">
        <w:t>.</w:t>
      </w:r>
    </w:p>
    <w:p w14:paraId="3E74DE80" w14:textId="77777777" w:rsidR="00BB0ADE" w:rsidRPr="005B4A8D" w:rsidRDefault="00BB0ADE" w:rsidP="00494474">
      <w:pPr>
        <w:pStyle w:val="ListParagraph"/>
        <w:ind w:left="709" w:hanging="709"/>
        <w:jc w:val="both"/>
      </w:pPr>
    </w:p>
    <w:p w14:paraId="24889D55" w14:textId="77777777" w:rsidR="00FD682B" w:rsidRPr="001C5D12" w:rsidRDefault="00FD682B" w:rsidP="00494474">
      <w:pPr>
        <w:pStyle w:val="ListParagraph"/>
        <w:numPr>
          <w:ilvl w:val="1"/>
          <w:numId w:val="2"/>
        </w:numPr>
        <w:tabs>
          <w:tab w:val="clear" w:pos="360"/>
        </w:tabs>
        <w:ind w:left="709" w:hanging="709"/>
        <w:jc w:val="both"/>
      </w:pPr>
      <w:r w:rsidRPr="005B4A8D">
        <w:rPr>
          <w:sz w:val="23"/>
          <w:szCs w:val="23"/>
        </w:rPr>
        <w:t xml:space="preserve">The 2017/18 </w:t>
      </w:r>
      <w:r w:rsidR="00494474" w:rsidRPr="005B4A8D">
        <w:rPr>
          <w:sz w:val="23"/>
          <w:szCs w:val="23"/>
        </w:rPr>
        <w:t>e</w:t>
      </w:r>
      <w:r w:rsidRPr="005B4A8D">
        <w:rPr>
          <w:sz w:val="23"/>
          <w:szCs w:val="23"/>
        </w:rPr>
        <w:t xml:space="preserve">arly </w:t>
      </w:r>
      <w:r w:rsidR="00494474" w:rsidRPr="005B4A8D">
        <w:rPr>
          <w:sz w:val="23"/>
          <w:szCs w:val="23"/>
        </w:rPr>
        <w:t>y</w:t>
      </w:r>
      <w:r w:rsidRPr="005B4A8D">
        <w:rPr>
          <w:sz w:val="23"/>
          <w:szCs w:val="23"/>
        </w:rPr>
        <w:t>ears allocations were calculated based on January 2017 census. These have now been updated for January 2018 census.  The final funding allocations for 2017</w:t>
      </w:r>
      <w:r w:rsidR="00494474" w:rsidRPr="005B4A8D">
        <w:rPr>
          <w:sz w:val="23"/>
          <w:szCs w:val="23"/>
        </w:rPr>
        <w:t>/</w:t>
      </w:r>
      <w:r w:rsidRPr="005B4A8D">
        <w:rPr>
          <w:sz w:val="23"/>
          <w:szCs w:val="23"/>
        </w:rPr>
        <w:t>18 for the core 15 hours are based on 5/12th of January 2017 child numbers and 7/12th of the January 2018 child numbers. Funding for additional hours are based on child numbers recorded at the January 2018 census, and assumes 80% of take up.   The effect of the pupil number adjustment has been a retrospective reduction of £427</w:t>
      </w:r>
      <w:r w:rsidR="00494474" w:rsidRPr="005B4A8D">
        <w:rPr>
          <w:sz w:val="23"/>
          <w:szCs w:val="23"/>
        </w:rPr>
        <w:t>k</w:t>
      </w:r>
      <w:r w:rsidRPr="005B4A8D">
        <w:rPr>
          <w:sz w:val="23"/>
          <w:szCs w:val="23"/>
        </w:rPr>
        <w:t xml:space="preserve"> of which £244</w:t>
      </w:r>
      <w:r w:rsidR="00494474" w:rsidRPr="005B4A8D">
        <w:rPr>
          <w:sz w:val="23"/>
          <w:szCs w:val="23"/>
        </w:rPr>
        <w:t>k</w:t>
      </w:r>
      <w:r w:rsidRPr="005B4A8D">
        <w:rPr>
          <w:sz w:val="23"/>
          <w:szCs w:val="23"/>
        </w:rPr>
        <w:t xml:space="preserve"> relates to universal or basic entitlement and £185</w:t>
      </w:r>
      <w:r w:rsidR="00494474" w:rsidRPr="005B4A8D">
        <w:rPr>
          <w:sz w:val="23"/>
          <w:szCs w:val="23"/>
        </w:rPr>
        <w:t>k</w:t>
      </w:r>
      <w:r w:rsidRPr="005B4A8D">
        <w:rPr>
          <w:sz w:val="23"/>
          <w:szCs w:val="23"/>
        </w:rPr>
        <w:t xml:space="preserve"> to </w:t>
      </w:r>
      <w:r w:rsidR="00282551" w:rsidRPr="005B4A8D">
        <w:rPr>
          <w:sz w:val="23"/>
          <w:szCs w:val="23"/>
        </w:rPr>
        <w:t>additional hours</w:t>
      </w:r>
      <w:r w:rsidRPr="005B4A8D">
        <w:rPr>
          <w:sz w:val="23"/>
          <w:szCs w:val="23"/>
        </w:rPr>
        <w:t xml:space="preserve"> and other residual adjustments.  </w:t>
      </w:r>
      <w:r w:rsidR="0077669A" w:rsidRPr="005B4A8D">
        <w:rPr>
          <w:sz w:val="23"/>
          <w:szCs w:val="23"/>
        </w:rPr>
        <w:t xml:space="preserve">This was anticipated in the </w:t>
      </w:r>
      <w:proofErr w:type="spellStart"/>
      <w:r w:rsidR="0077669A" w:rsidRPr="005B4A8D">
        <w:rPr>
          <w:sz w:val="23"/>
          <w:szCs w:val="23"/>
        </w:rPr>
        <w:t>year</w:t>
      </w:r>
      <w:r w:rsidR="0077740F">
        <w:rPr>
          <w:sz w:val="23"/>
          <w:szCs w:val="23"/>
        </w:rPr>
        <w:t xml:space="preserve"> </w:t>
      </w:r>
      <w:r w:rsidR="0077669A" w:rsidRPr="005B4A8D">
        <w:rPr>
          <w:sz w:val="23"/>
          <w:szCs w:val="23"/>
        </w:rPr>
        <w:t>end</w:t>
      </w:r>
      <w:proofErr w:type="spellEnd"/>
      <w:r w:rsidR="0077669A" w:rsidRPr="005B4A8D">
        <w:rPr>
          <w:sz w:val="23"/>
          <w:szCs w:val="23"/>
        </w:rPr>
        <w:t xml:space="preserve"> report and will not have an adverse impact on the DSG balances.  </w:t>
      </w:r>
    </w:p>
    <w:p w14:paraId="28088EA3" w14:textId="77777777" w:rsidR="00FD682B" w:rsidRPr="005B4A8D" w:rsidRDefault="00FD682B" w:rsidP="00494474">
      <w:pPr>
        <w:pStyle w:val="ListParagraph"/>
        <w:jc w:val="both"/>
      </w:pPr>
    </w:p>
    <w:p w14:paraId="6B54C500" w14:textId="77777777" w:rsidR="00FD682B" w:rsidRPr="005B4A8D" w:rsidRDefault="00FD682B" w:rsidP="00494474">
      <w:pPr>
        <w:pStyle w:val="ListParagraph"/>
        <w:numPr>
          <w:ilvl w:val="1"/>
          <w:numId w:val="2"/>
        </w:numPr>
        <w:tabs>
          <w:tab w:val="clear" w:pos="360"/>
        </w:tabs>
        <w:ind w:left="709" w:hanging="709"/>
        <w:jc w:val="both"/>
      </w:pPr>
      <w:r w:rsidRPr="005B4A8D">
        <w:rPr>
          <w:sz w:val="23"/>
          <w:szCs w:val="23"/>
        </w:rPr>
        <w:t xml:space="preserve">The 2018/19 </w:t>
      </w:r>
      <w:r w:rsidR="00494474" w:rsidRPr="005B4A8D">
        <w:rPr>
          <w:sz w:val="23"/>
          <w:szCs w:val="23"/>
        </w:rPr>
        <w:t>e</w:t>
      </w:r>
      <w:r w:rsidRPr="005B4A8D">
        <w:rPr>
          <w:sz w:val="23"/>
          <w:szCs w:val="23"/>
        </w:rPr>
        <w:t>arly year</w:t>
      </w:r>
      <w:r w:rsidR="00494474" w:rsidRPr="005B4A8D">
        <w:rPr>
          <w:sz w:val="23"/>
          <w:szCs w:val="23"/>
        </w:rPr>
        <w:t>s</w:t>
      </w:r>
      <w:r w:rsidRPr="005B4A8D">
        <w:rPr>
          <w:sz w:val="23"/>
          <w:szCs w:val="23"/>
        </w:rPr>
        <w:t xml:space="preserve"> funding w</w:t>
      </w:r>
      <w:r w:rsidR="0077740F">
        <w:rPr>
          <w:sz w:val="23"/>
          <w:szCs w:val="23"/>
        </w:rPr>
        <w:t>as</w:t>
      </w:r>
      <w:r w:rsidRPr="005B4A8D">
        <w:rPr>
          <w:sz w:val="23"/>
          <w:szCs w:val="23"/>
        </w:rPr>
        <w:t xml:space="preserve"> initially based on January 2017 census.  These ha</w:t>
      </w:r>
      <w:r w:rsidR="00494474" w:rsidRPr="005B4A8D">
        <w:rPr>
          <w:sz w:val="23"/>
          <w:szCs w:val="23"/>
        </w:rPr>
        <w:t>ve</w:t>
      </w:r>
      <w:r w:rsidRPr="005B4A8D">
        <w:rPr>
          <w:sz w:val="23"/>
          <w:szCs w:val="23"/>
        </w:rPr>
        <w:t xml:space="preserve"> also been updated for January 2018 census</w:t>
      </w:r>
      <w:r w:rsidR="00DF76D8">
        <w:rPr>
          <w:sz w:val="23"/>
          <w:szCs w:val="23"/>
        </w:rPr>
        <w:t>. The part-time equivalent (PTE) number</w:t>
      </w:r>
      <w:r w:rsidR="00007862">
        <w:rPr>
          <w:sz w:val="23"/>
          <w:szCs w:val="23"/>
        </w:rPr>
        <w:t>s</w:t>
      </w:r>
      <w:r w:rsidR="00DF76D8">
        <w:rPr>
          <w:sz w:val="23"/>
          <w:szCs w:val="23"/>
        </w:rPr>
        <w:t xml:space="preserve"> for basic entitlement </w:t>
      </w:r>
      <w:r w:rsidR="00007862">
        <w:rPr>
          <w:sz w:val="23"/>
          <w:szCs w:val="23"/>
        </w:rPr>
        <w:t>are</w:t>
      </w:r>
      <w:r w:rsidR="00DF76D8">
        <w:rPr>
          <w:sz w:val="23"/>
          <w:szCs w:val="23"/>
        </w:rPr>
        <w:t xml:space="preserve"> down by</w:t>
      </w:r>
      <w:r w:rsidR="0077740F">
        <w:rPr>
          <w:sz w:val="23"/>
          <w:szCs w:val="23"/>
        </w:rPr>
        <w:t xml:space="preserve"> </w:t>
      </w:r>
      <w:r w:rsidR="00007862">
        <w:rPr>
          <w:sz w:val="23"/>
          <w:szCs w:val="23"/>
        </w:rPr>
        <w:t xml:space="preserve">143 to 4,480 and PTE for additional 15 hours are down 146 to 862 along with other minor movements on </w:t>
      </w:r>
      <w:proofErr w:type="gramStart"/>
      <w:r w:rsidR="00007862">
        <w:rPr>
          <w:sz w:val="23"/>
          <w:szCs w:val="23"/>
        </w:rPr>
        <w:t>two year</w:t>
      </w:r>
      <w:proofErr w:type="gramEnd"/>
      <w:r w:rsidR="00007862">
        <w:rPr>
          <w:sz w:val="23"/>
          <w:szCs w:val="23"/>
        </w:rPr>
        <w:t xml:space="preserve"> olds and early years pupil premium.</w:t>
      </w:r>
      <w:r w:rsidR="00DF76D8">
        <w:rPr>
          <w:sz w:val="23"/>
          <w:szCs w:val="23"/>
        </w:rPr>
        <w:t xml:space="preserve"> </w:t>
      </w:r>
      <w:r w:rsidR="00007862">
        <w:rPr>
          <w:sz w:val="23"/>
          <w:szCs w:val="23"/>
        </w:rPr>
        <w:t xml:space="preserve">The net effect of this is </w:t>
      </w:r>
      <w:r w:rsidRPr="005B4A8D">
        <w:rPr>
          <w:sz w:val="23"/>
          <w:szCs w:val="23"/>
        </w:rPr>
        <w:t>a reduction of £904</w:t>
      </w:r>
      <w:r w:rsidR="00494474" w:rsidRPr="005B4A8D">
        <w:rPr>
          <w:sz w:val="23"/>
          <w:szCs w:val="23"/>
        </w:rPr>
        <w:t>k</w:t>
      </w:r>
      <w:r w:rsidR="00007862">
        <w:rPr>
          <w:sz w:val="23"/>
          <w:szCs w:val="23"/>
        </w:rPr>
        <w:t xml:space="preserve"> of which </w:t>
      </w:r>
      <w:r w:rsidRPr="005B4A8D">
        <w:rPr>
          <w:sz w:val="23"/>
          <w:szCs w:val="23"/>
        </w:rPr>
        <w:t>£449</w:t>
      </w:r>
      <w:r w:rsidR="00494474" w:rsidRPr="005B4A8D">
        <w:rPr>
          <w:sz w:val="23"/>
          <w:szCs w:val="23"/>
        </w:rPr>
        <w:t>k</w:t>
      </w:r>
      <w:r w:rsidRPr="005B4A8D">
        <w:rPr>
          <w:sz w:val="23"/>
          <w:szCs w:val="23"/>
        </w:rPr>
        <w:t xml:space="preserve"> relat</w:t>
      </w:r>
      <w:r w:rsidR="00007862">
        <w:rPr>
          <w:sz w:val="23"/>
          <w:szCs w:val="23"/>
        </w:rPr>
        <w:t>es</w:t>
      </w:r>
      <w:r w:rsidRPr="005B4A8D">
        <w:rPr>
          <w:sz w:val="23"/>
          <w:szCs w:val="23"/>
        </w:rPr>
        <w:t xml:space="preserve"> to basic entitlement, £459</w:t>
      </w:r>
      <w:r w:rsidR="00494474" w:rsidRPr="005B4A8D">
        <w:rPr>
          <w:sz w:val="23"/>
          <w:szCs w:val="23"/>
        </w:rPr>
        <w:t>k</w:t>
      </w:r>
      <w:r w:rsidRPr="005B4A8D">
        <w:rPr>
          <w:sz w:val="23"/>
          <w:szCs w:val="23"/>
        </w:rPr>
        <w:t xml:space="preserve"> to additional hours, £25</w:t>
      </w:r>
      <w:r w:rsidR="00494474" w:rsidRPr="005B4A8D">
        <w:rPr>
          <w:sz w:val="23"/>
          <w:szCs w:val="23"/>
        </w:rPr>
        <w:t>k</w:t>
      </w:r>
      <w:r w:rsidRPr="005B4A8D">
        <w:rPr>
          <w:sz w:val="23"/>
          <w:szCs w:val="23"/>
        </w:rPr>
        <w:t xml:space="preserve"> to </w:t>
      </w:r>
      <w:r w:rsidR="00494474" w:rsidRPr="005B4A8D">
        <w:rPr>
          <w:sz w:val="23"/>
          <w:szCs w:val="23"/>
        </w:rPr>
        <w:t>p</w:t>
      </w:r>
      <w:r w:rsidRPr="005B4A8D">
        <w:rPr>
          <w:sz w:val="23"/>
          <w:szCs w:val="23"/>
        </w:rPr>
        <w:t xml:space="preserve">upil </w:t>
      </w:r>
      <w:r w:rsidR="00494474" w:rsidRPr="005B4A8D">
        <w:rPr>
          <w:sz w:val="23"/>
          <w:szCs w:val="23"/>
        </w:rPr>
        <w:t>p</w:t>
      </w:r>
      <w:r w:rsidRPr="005B4A8D">
        <w:rPr>
          <w:sz w:val="23"/>
          <w:szCs w:val="23"/>
        </w:rPr>
        <w:t xml:space="preserve">remium and </w:t>
      </w:r>
      <w:r w:rsidR="00007862">
        <w:rPr>
          <w:sz w:val="23"/>
          <w:szCs w:val="23"/>
        </w:rPr>
        <w:t xml:space="preserve">an </w:t>
      </w:r>
      <w:r w:rsidRPr="005B4A8D">
        <w:rPr>
          <w:sz w:val="23"/>
          <w:szCs w:val="23"/>
        </w:rPr>
        <w:t xml:space="preserve">increase of </w:t>
      </w:r>
      <w:r w:rsidR="00494474" w:rsidRPr="005B4A8D">
        <w:rPr>
          <w:sz w:val="23"/>
          <w:szCs w:val="23"/>
        </w:rPr>
        <w:t>£</w:t>
      </w:r>
      <w:r w:rsidRPr="005B4A8D">
        <w:rPr>
          <w:sz w:val="23"/>
          <w:szCs w:val="23"/>
        </w:rPr>
        <w:t>29</w:t>
      </w:r>
      <w:r w:rsidR="00494474" w:rsidRPr="005B4A8D">
        <w:rPr>
          <w:sz w:val="23"/>
          <w:szCs w:val="23"/>
        </w:rPr>
        <w:t>k</w:t>
      </w:r>
      <w:r w:rsidRPr="005B4A8D">
        <w:rPr>
          <w:sz w:val="23"/>
          <w:szCs w:val="23"/>
        </w:rPr>
        <w:t xml:space="preserve"> </w:t>
      </w:r>
      <w:r w:rsidR="00007862">
        <w:rPr>
          <w:sz w:val="23"/>
          <w:szCs w:val="23"/>
        </w:rPr>
        <w:t xml:space="preserve">in respect </w:t>
      </w:r>
      <w:r w:rsidR="00494474" w:rsidRPr="005B4A8D">
        <w:rPr>
          <w:sz w:val="23"/>
          <w:szCs w:val="23"/>
        </w:rPr>
        <w:t>t</w:t>
      </w:r>
      <w:r w:rsidRPr="005B4A8D">
        <w:rPr>
          <w:sz w:val="23"/>
          <w:szCs w:val="23"/>
        </w:rPr>
        <w:t xml:space="preserve">wo </w:t>
      </w:r>
      <w:r w:rsidR="00494474" w:rsidRPr="005B4A8D">
        <w:rPr>
          <w:sz w:val="23"/>
          <w:szCs w:val="23"/>
        </w:rPr>
        <w:t>y</w:t>
      </w:r>
      <w:r w:rsidRPr="005B4A8D">
        <w:rPr>
          <w:sz w:val="23"/>
          <w:szCs w:val="23"/>
        </w:rPr>
        <w:t xml:space="preserve">ear </w:t>
      </w:r>
      <w:r w:rsidR="00494474" w:rsidRPr="005B4A8D">
        <w:rPr>
          <w:sz w:val="23"/>
          <w:szCs w:val="23"/>
        </w:rPr>
        <w:t>o</w:t>
      </w:r>
      <w:r w:rsidRPr="005B4A8D">
        <w:rPr>
          <w:sz w:val="23"/>
          <w:szCs w:val="23"/>
        </w:rPr>
        <w:t>lds.  These reductions are largely cost neutral as there will be fewer children to fund.  However, the falling numbers and corresponding vacancies could create cost pressure for providers</w:t>
      </w:r>
      <w:r w:rsidR="00282551" w:rsidRPr="005B4A8D">
        <w:rPr>
          <w:sz w:val="23"/>
          <w:szCs w:val="23"/>
        </w:rPr>
        <w:t xml:space="preserve">, </w:t>
      </w:r>
      <w:r w:rsidR="0077669A" w:rsidRPr="005B4A8D">
        <w:rPr>
          <w:sz w:val="23"/>
          <w:szCs w:val="23"/>
        </w:rPr>
        <w:t xml:space="preserve">in particular </w:t>
      </w:r>
      <w:r w:rsidR="00494474" w:rsidRPr="005B4A8D">
        <w:rPr>
          <w:sz w:val="23"/>
          <w:szCs w:val="23"/>
        </w:rPr>
        <w:t>p</w:t>
      </w:r>
      <w:r w:rsidR="0077669A" w:rsidRPr="005B4A8D">
        <w:rPr>
          <w:sz w:val="23"/>
          <w:szCs w:val="23"/>
        </w:rPr>
        <w:t>rimary schools that ha</w:t>
      </w:r>
      <w:r w:rsidR="00282551" w:rsidRPr="005B4A8D">
        <w:rPr>
          <w:sz w:val="23"/>
          <w:szCs w:val="23"/>
        </w:rPr>
        <w:t>ve</w:t>
      </w:r>
      <w:r w:rsidR="0077669A" w:rsidRPr="005B4A8D">
        <w:rPr>
          <w:sz w:val="23"/>
          <w:szCs w:val="23"/>
        </w:rPr>
        <w:t xml:space="preserve"> seen the largest </w:t>
      </w:r>
      <w:r w:rsidR="0077669A" w:rsidRPr="005B4A8D">
        <w:rPr>
          <w:sz w:val="23"/>
          <w:szCs w:val="23"/>
        </w:rPr>
        <w:lastRenderedPageBreak/>
        <w:t>reduction</w:t>
      </w:r>
      <w:r w:rsidR="00282551" w:rsidRPr="005B4A8D">
        <w:rPr>
          <w:sz w:val="23"/>
          <w:szCs w:val="23"/>
        </w:rPr>
        <w:t xml:space="preserve"> in head counts</w:t>
      </w:r>
      <w:r w:rsidRPr="005B4A8D">
        <w:rPr>
          <w:sz w:val="23"/>
          <w:szCs w:val="23"/>
        </w:rPr>
        <w:t>.  The block will be further updated for January 2019 census</w:t>
      </w:r>
      <w:r w:rsidR="0077669A" w:rsidRPr="005B4A8D">
        <w:rPr>
          <w:sz w:val="23"/>
          <w:szCs w:val="23"/>
        </w:rPr>
        <w:t xml:space="preserve"> with final clawback in June 2019 a</w:t>
      </w:r>
      <w:r w:rsidRPr="005B4A8D">
        <w:rPr>
          <w:sz w:val="23"/>
          <w:szCs w:val="23"/>
        </w:rPr>
        <w:t>s in previous year</w:t>
      </w:r>
      <w:r w:rsidR="0077669A" w:rsidRPr="005B4A8D">
        <w:rPr>
          <w:sz w:val="23"/>
          <w:szCs w:val="23"/>
        </w:rPr>
        <w:t>s.</w:t>
      </w:r>
    </w:p>
    <w:p w14:paraId="2E167D46" w14:textId="77777777" w:rsidR="00FD682B" w:rsidRPr="005B4A8D" w:rsidRDefault="00FD682B" w:rsidP="00494474">
      <w:pPr>
        <w:pStyle w:val="Default"/>
        <w:jc w:val="both"/>
        <w:rPr>
          <w:sz w:val="23"/>
          <w:szCs w:val="23"/>
        </w:rPr>
      </w:pPr>
    </w:p>
    <w:p w14:paraId="2FD0AC0A" w14:textId="77777777" w:rsidR="00A940DD" w:rsidRPr="005B4A8D" w:rsidRDefault="0006044A" w:rsidP="00494474">
      <w:pPr>
        <w:pStyle w:val="ListParagraph"/>
        <w:numPr>
          <w:ilvl w:val="1"/>
          <w:numId w:val="2"/>
        </w:numPr>
        <w:tabs>
          <w:tab w:val="clear" w:pos="360"/>
        </w:tabs>
        <w:ind w:left="709" w:hanging="709"/>
        <w:jc w:val="both"/>
      </w:pPr>
      <w:r w:rsidRPr="005B4A8D">
        <w:t xml:space="preserve">There </w:t>
      </w:r>
      <w:r w:rsidR="00494474" w:rsidRPr="005B4A8D">
        <w:t>are</w:t>
      </w:r>
      <w:r w:rsidRPr="005B4A8D">
        <w:t xml:space="preserve"> no further adjustments against the </w:t>
      </w:r>
      <w:r w:rsidR="0077740F">
        <w:t>h</w:t>
      </w:r>
      <w:r w:rsidRPr="005B4A8D">
        <w:t xml:space="preserve">igh </w:t>
      </w:r>
      <w:r w:rsidR="0077740F">
        <w:t>n</w:t>
      </w:r>
      <w:r w:rsidRPr="005B4A8D">
        <w:t>eeds block.</w:t>
      </w:r>
      <w:r w:rsidR="0077669A" w:rsidRPr="005B4A8D">
        <w:t xml:space="preserve">  </w:t>
      </w:r>
    </w:p>
    <w:p w14:paraId="7364CBA7" w14:textId="77777777" w:rsidR="00A940DD" w:rsidRPr="005B4A8D" w:rsidRDefault="00A940DD" w:rsidP="00494474">
      <w:pPr>
        <w:pStyle w:val="ListParagraph"/>
        <w:ind w:left="567" w:hanging="567"/>
        <w:jc w:val="both"/>
      </w:pPr>
    </w:p>
    <w:p w14:paraId="7CE5C591" w14:textId="77777777" w:rsidR="006041E9" w:rsidRPr="005B4A8D" w:rsidRDefault="002B51C7" w:rsidP="00494474">
      <w:pPr>
        <w:pStyle w:val="ListParagraph"/>
        <w:numPr>
          <w:ilvl w:val="1"/>
          <w:numId w:val="2"/>
        </w:numPr>
        <w:tabs>
          <w:tab w:val="clear" w:pos="360"/>
        </w:tabs>
        <w:ind w:left="720" w:hanging="720"/>
        <w:jc w:val="both"/>
      </w:pPr>
      <w:r w:rsidRPr="005B4A8D">
        <w:rPr>
          <w:sz w:val="23"/>
          <w:szCs w:val="23"/>
        </w:rPr>
        <w:t xml:space="preserve">The </w:t>
      </w:r>
      <w:r w:rsidR="00AD7A66" w:rsidRPr="005B4A8D">
        <w:rPr>
          <w:sz w:val="23"/>
          <w:szCs w:val="23"/>
        </w:rPr>
        <w:t>C</w:t>
      </w:r>
      <w:r w:rsidRPr="005B4A8D">
        <w:rPr>
          <w:sz w:val="23"/>
          <w:szCs w:val="23"/>
        </w:rPr>
        <w:t xml:space="preserve">entral School Services Block (CSSB) was introduced in 2018 to 2019, to fund local authorities for the statutory duties they hold for both maintained schools, and academies. It brings together funding previously allocated through the retained duties element of the </w:t>
      </w:r>
      <w:r w:rsidR="00494474" w:rsidRPr="005B4A8D">
        <w:rPr>
          <w:sz w:val="23"/>
          <w:szCs w:val="23"/>
        </w:rPr>
        <w:t>E</w:t>
      </w:r>
      <w:r w:rsidRPr="005B4A8D">
        <w:rPr>
          <w:sz w:val="23"/>
          <w:szCs w:val="23"/>
        </w:rPr>
        <w:t xml:space="preserve">ducation </w:t>
      </w:r>
      <w:r w:rsidR="00494474" w:rsidRPr="005B4A8D">
        <w:rPr>
          <w:sz w:val="23"/>
          <w:szCs w:val="23"/>
        </w:rPr>
        <w:t>S</w:t>
      </w:r>
      <w:r w:rsidRPr="005B4A8D">
        <w:rPr>
          <w:sz w:val="23"/>
          <w:szCs w:val="23"/>
        </w:rPr>
        <w:t xml:space="preserve">ervices </w:t>
      </w:r>
      <w:r w:rsidR="00494474" w:rsidRPr="005B4A8D">
        <w:rPr>
          <w:sz w:val="23"/>
          <w:szCs w:val="23"/>
        </w:rPr>
        <w:t>G</w:t>
      </w:r>
      <w:r w:rsidRPr="005B4A8D">
        <w:rPr>
          <w:sz w:val="23"/>
          <w:szCs w:val="23"/>
        </w:rPr>
        <w:t>rant (ESG), and funding for ongoing central functions, such as admissions, and residual funding for historic commitments</w:t>
      </w:r>
      <w:r w:rsidR="00282551" w:rsidRPr="005B4A8D">
        <w:rPr>
          <w:sz w:val="23"/>
          <w:szCs w:val="23"/>
        </w:rPr>
        <w:t xml:space="preserve"> that were</w:t>
      </w:r>
      <w:r w:rsidRPr="005B4A8D">
        <w:rPr>
          <w:sz w:val="23"/>
          <w:szCs w:val="23"/>
        </w:rPr>
        <w:t xml:space="preserve"> previously top</w:t>
      </w:r>
      <w:r w:rsidR="0077740F">
        <w:rPr>
          <w:sz w:val="23"/>
          <w:szCs w:val="23"/>
        </w:rPr>
        <w:t xml:space="preserve"> </w:t>
      </w:r>
      <w:r w:rsidRPr="005B4A8D">
        <w:rPr>
          <w:sz w:val="23"/>
          <w:szCs w:val="23"/>
        </w:rPr>
        <w:t>sliced from the schools block</w:t>
      </w:r>
      <w:r w:rsidR="00826DB7" w:rsidRPr="005B4A8D">
        <w:rPr>
          <w:sz w:val="23"/>
          <w:szCs w:val="23"/>
        </w:rPr>
        <w:t>.</w:t>
      </w:r>
      <w:r w:rsidR="0077669A" w:rsidRPr="005B4A8D">
        <w:rPr>
          <w:sz w:val="23"/>
          <w:szCs w:val="23"/>
        </w:rPr>
        <w:t xml:space="preserve">  There have been no further adjustments on this block (and it </w:t>
      </w:r>
      <w:r w:rsidR="00494474" w:rsidRPr="005B4A8D">
        <w:rPr>
          <w:sz w:val="23"/>
          <w:szCs w:val="23"/>
        </w:rPr>
        <w:t>is</w:t>
      </w:r>
      <w:r w:rsidR="0077669A" w:rsidRPr="005B4A8D">
        <w:rPr>
          <w:sz w:val="23"/>
          <w:szCs w:val="23"/>
        </w:rPr>
        <w:t xml:space="preserve"> expected to remain stable in year)</w:t>
      </w:r>
      <w:r w:rsidR="00494474" w:rsidRPr="005B4A8D">
        <w:rPr>
          <w:sz w:val="23"/>
          <w:szCs w:val="23"/>
        </w:rPr>
        <w:t>.</w:t>
      </w:r>
      <w:r w:rsidR="0077669A" w:rsidRPr="005B4A8D">
        <w:rPr>
          <w:sz w:val="23"/>
          <w:szCs w:val="23"/>
        </w:rPr>
        <w:t xml:space="preserve">  </w:t>
      </w:r>
    </w:p>
    <w:p w14:paraId="15D94E47" w14:textId="77777777" w:rsidR="00826DB7" w:rsidRDefault="00826DB7" w:rsidP="00494474">
      <w:pPr>
        <w:pStyle w:val="ListParagraph"/>
        <w:jc w:val="both"/>
      </w:pPr>
    </w:p>
    <w:p w14:paraId="4C9CC459" w14:textId="77777777" w:rsidR="002A01AF" w:rsidRPr="001C5D12" w:rsidRDefault="002A01AF" w:rsidP="002D45C6">
      <w:pPr>
        <w:pBdr>
          <w:top w:val="single" w:sz="12" w:space="1" w:color="auto"/>
          <w:left w:val="single" w:sz="12" w:space="4" w:color="auto"/>
          <w:bottom w:val="single" w:sz="12" w:space="1" w:color="auto"/>
          <w:right w:val="single" w:sz="12" w:space="4" w:color="auto"/>
        </w:pBdr>
        <w:ind w:left="720"/>
        <w:jc w:val="both"/>
        <w:rPr>
          <w:rFonts w:cs="Arial"/>
        </w:rPr>
      </w:pPr>
      <w:bookmarkStart w:id="1" w:name="_Hlk527022345"/>
      <w:r w:rsidRPr="001A32DF">
        <w:rPr>
          <w:rFonts w:cs="Arial"/>
          <w:b/>
          <w:u w:val="single"/>
        </w:rPr>
        <w:t>Recommendation</w:t>
      </w:r>
      <w:r w:rsidR="00937414">
        <w:rPr>
          <w:rFonts w:cs="Arial"/>
          <w:b/>
          <w:u w:val="single"/>
        </w:rPr>
        <w:t xml:space="preserve"> (i)</w:t>
      </w:r>
      <w:r w:rsidRPr="001A32DF">
        <w:rPr>
          <w:rFonts w:cs="Arial"/>
          <w:b/>
          <w:u w:val="single"/>
        </w:rPr>
        <w:t>:</w:t>
      </w:r>
      <w:r w:rsidRPr="001C5D12">
        <w:rPr>
          <w:rFonts w:cs="Arial"/>
        </w:rPr>
        <w:t xml:space="preserve"> Schools forum are requested to </w:t>
      </w:r>
      <w:r>
        <w:rPr>
          <w:rFonts w:cs="Arial"/>
        </w:rPr>
        <w:t>note DSG budget update.</w:t>
      </w:r>
    </w:p>
    <w:bookmarkEnd w:id="1"/>
    <w:p w14:paraId="352559E8" w14:textId="77777777" w:rsidR="002A01AF" w:rsidRDefault="002A01AF" w:rsidP="00494474">
      <w:pPr>
        <w:pStyle w:val="ListParagraph"/>
        <w:jc w:val="both"/>
      </w:pPr>
    </w:p>
    <w:p w14:paraId="74F6EF5F" w14:textId="77777777" w:rsidR="006041E9" w:rsidRPr="005B4A8D" w:rsidRDefault="003F62CA" w:rsidP="0035103D">
      <w:pPr>
        <w:pStyle w:val="ListParagraph"/>
        <w:numPr>
          <w:ilvl w:val="0"/>
          <w:numId w:val="2"/>
        </w:numPr>
        <w:jc w:val="both"/>
        <w:rPr>
          <w:rFonts w:cs="Arial"/>
          <w:b/>
        </w:rPr>
      </w:pPr>
      <w:r w:rsidRPr="005B4A8D">
        <w:rPr>
          <w:rFonts w:cs="Arial"/>
          <w:b/>
        </w:rPr>
        <w:t xml:space="preserve">Projected </w:t>
      </w:r>
      <w:r w:rsidR="0077740F">
        <w:rPr>
          <w:rFonts w:cs="Arial"/>
          <w:b/>
        </w:rPr>
        <w:t>o</w:t>
      </w:r>
      <w:r w:rsidR="00D70723" w:rsidRPr="005B4A8D">
        <w:rPr>
          <w:rFonts w:cs="Arial"/>
          <w:b/>
        </w:rPr>
        <w:t xml:space="preserve">utturn </w:t>
      </w:r>
      <w:r w:rsidRPr="005B4A8D">
        <w:rPr>
          <w:rFonts w:cs="Arial"/>
          <w:b/>
        </w:rPr>
        <w:t xml:space="preserve">for 2018/19  </w:t>
      </w:r>
    </w:p>
    <w:p w14:paraId="404A0466" w14:textId="77777777" w:rsidR="006041E9" w:rsidRPr="005B4A8D" w:rsidRDefault="006041E9" w:rsidP="006041E9">
      <w:pPr>
        <w:jc w:val="both"/>
        <w:rPr>
          <w:rFonts w:cs="Arial"/>
          <w:b/>
        </w:rPr>
      </w:pPr>
    </w:p>
    <w:p w14:paraId="7297A4AE" w14:textId="77777777" w:rsidR="00CD1248" w:rsidRPr="005B4A8D" w:rsidRDefault="00C17EDC" w:rsidP="00494474">
      <w:pPr>
        <w:pStyle w:val="ListParagraph"/>
        <w:numPr>
          <w:ilvl w:val="1"/>
          <w:numId w:val="2"/>
        </w:numPr>
        <w:tabs>
          <w:tab w:val="clear" w:pos="360"/>
        </w:tabs>
        <w:ind w:left="720" w:hanging="720"/>
        <w:jc w:val="both"/>
      </w:pPr>
      <w:bookmarkStart w:id="2" w:name="_Hlk526413654"/>
      <w:r w:rsidRPr="005B4A8D">
        <w:t>T</w:t>
      </w:r>
      <w:r w:rsidR="00CD1248" w:rsidRPr="005B4A8D">
        <w:t>he table below shows the overall forecast outturn position for the DSG and the impact on the reserve balances.  More information on each of the blocks is given below.</w:t>
      </w:r>
    </w:p>
    <w:p w14:paraId="3E958911" w14:textId="77777777" w:rsidR="00CD1248" w:rsidRPr="005B4A8D" w:rsidRDefault="00CD1248" w:rsidP="00494474">
      <w:pPr>
        <w:pStyle w:val="ListParagraph"/>
        <w:jc w:val="both"/>
      </w:pPr>
    </w:p>
    <w:tbl>
      <w:tblPr>
        <w:tblW w:w="8961" w:type="dxa"/>
        <w:tblInd w:w="7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962"/>
        <w:gridCol w:w="1978"/>
        <w:gridCol w:w="1662"/>
        <w:gridCol w:w="1359"/>
      </w:tblGrid>
      <w:tr w:rsidR="00CD1248" w:rsidRPr="005B4A8D" w14:paraId="2B10030E" w14:textId="77777777" w:rsidTr="002039A2">
        <w:trPr>
          <w:trHeight w:val="520"/>
        </w:trPr>
        <w:tc>
          <w:tcPr>
            <w:tcW w:w="3962" w:type="dxa"/>
            <w:shd w:val="clear" w:color="auto" w:fill="auto"/>
            <w:noWrap/>
            <w:vAlign w:val="bottom"/>
            <w:hideMark/>
          </w:tcPr>
          <w:p w14:paraId="09B833B6" w14:textId="77777777" w:rsidR="00CD1248" w:rsidRPr="005B4A8D" w:rsidRDefault="00CD1248" w:rsidP="00CD1248">
            <w:pPr>
              <w:rPr>
                <w:rFonts w:ascii="Calibri" w:hAnsi="Calibri"/>
                <w:color w:val="000000"/>
                <w:sz w:val="22"/>
                <w:szCs w:val="22"/>
              </w:rPr>
            </w:pPr>
            <w:r w:rsidRPr="005B4A8D">
              <w:rPr>
                <w:rFonts w:ascii="Calibri" w:hAnsi="Calibri"/>
                <w:color w:val="000000"/>
                <w:sz w:val="22"/>
                <w:szCs w:val="22"/>
              </w:rPr>
              <w:t> </w:t>
            </w:r>
          </w:p>
        </w:tc>
        <w:tc>
          <w:tcPr>
            <w:tcW w:w="1978" w:type="dxa"/>
            <w:shd w:val="clear" w:color="auto" w:fill="auto"/>
            <w:vAlign w:val="center"/>
            <w:hideMark/>
          </w:tcPr>
          <w:p w14:paraId="7AA47B1F" w14:textId="77777777" w:rsidR="00CD1248" w:rsidRPr="005B4A8D" w:rsidRDefault="00282551" w:rsidP="00AD7A66">
            <w:pPr>
              <w:jc w:val="right"/>
              <w:rPr>
                <w:rFonts w:cs="Arial"/>
                <w:b/>
                <w:bCs/>
                <w:color w:val="000000"/>
                <w:sz w:val="20"/>
                <w:szCs w:val="20"/>
              </w:rPr>
            </w:pPr>
            <w:r w:rsidRPr="005B4A8D">
              <w:rPr>
                <w:rFonts w:cs="Arial"/>
                <w:b/>
                <w:bCs/>
                <w:color w:val="000000"/>
                <w:sz w:val="20"/>
                <w:szCs w:val="20"/>
              </w:rPr>
              <w:t xml:space="preserve">Revised </w:t>
            </w:r>
            <w:r w:rsidR="0077740F">
              <w:rPr>
                <w:rFonts w:cs="Arial"/>
                <w:b/>
                <w:bCs/>
                <w:color w:val="000000"/>
                <w:sz w:val="20"/>
                <w:szCs w:val="20"/>
              </w:rPr>
              <w:t>f</w:t>
            </w:r>
            <w:r w:rsidR="00CD1248" w:rsidRPr="005B4A8D">
              <w:rPr>
                <w:rFonts w:cs="Arial"/>
                <w:b/>
                <w:bCs/>
                <w:color w:val="000000"/>
                <w:sz w:val="20"/>
                <w:szCs w:val="20"/>
              </w:rPr>
              <w:t xml:space="preserve">unding </w:t>
            </w:r>
            <w:r w:rsidR="0077740F">
              <w:rPr>
                <w:rFonts w:cs="Arial"/>
                <w:b/>
                <w:bCs/>
                <w:color w:val="000000"/>
                <w:sz w:val="20"/>
                <w:szCs w:val="20"/>
              </w:rPr>
              <w:t>f</w:t>
            </w:r>
            <w:r w:rsidR="00CD1248" w:rsidRPr="005B4A8D">
              <w:rPr>
                <w:rFonts w:cs="Arial"/>
                <w:b/>
                <w:bCs/>
                <w:color w:val="000000"/>
                <w:sz w:val="20"/>
                <w:szCs w:val="20"/>
              </w:rPr>
              <w:t>orecast</w:t>
            </w:r>
          </w:p>
          <w:p w14:paraId="13144256" w14:textId="77777777" w:rsidR="00CD1248" w:rsidRPr="005B4A8D" w:rsidRDefault="00CD1248" w:rsidP="00AD7A66">
            <w:pPr>
              <w:jc w:val="right"/>
              <w:rPr>
                <w:rFonts w:cs="Arial"/>
                <w:b/>
                <w:bCs/>
                <w:color w:val="000000"/>
                <w:sz w:val="20"/>
                <w:szCs w:val="20"/>
              </w:rPr>
            </w:pPr>
            <w:r w:rsidRPr="005B4A8D">
              <w:rPr>
                <w:rFonts w:cs="Arial"/>
                <w:b/>
                <w:bCs/>
                <w:color w:val="000000"/>
                <w:sz w:val="20"/>
                <w:szCs w:val="20"/>
              </w:rPr>
              <w:t>£</w:t>
            </w:r>
            <w:r w:rsidR="00494474" w:rsidRPr="005B4A8D">
              <w:rPr>
                <w:rFonts w:cs="Arial"/>
                <w:b/>
                <w:bCs/>
                <w:color w:val="000000"/>
                <w:sz w:val="20"/>
                <w:szCs w:val="20"/>
              </w:rPr>
              <w:t>’</w:t>
            </w:r>
            <w:r w:rsidRPr="005B4A8D">
              <w:rPr>
                <w:rFonts w:cs="Arial"/>
                <w:b/>
                <w:bCs/>
                <w:color w:val="000000"/>
                <w:sz w:val="20"/>
                <w:szCs w:val="20"/>
              </w:rPr>
              <w:t>000</w:t>
            </w:r>
          </w:p>
        </w:tc>
        <w:tc>
          <w:tcPr>
            <w:tcW w:w="1662" w:type="dxa"/>
            <w:shd w:val="clear" w:color="auto" w:fill="auto"/>
            <w:vAlign w:val="center"/>
            <w:hideMark/>
          </w:tcPr>
          <w:p w14:paraId="0B418A47" w14:textId="77777777" w:rsidR="00CD1248" w:rsidRPr="005B4A8D" w:rsidRDefault="00CD1248" w:rsidP="00AD7A66">
            <w:pPr>
              <w:jc w:val="right"/>
              <w:rPr>
                <w:rFonts w:cs="Arial"/>
                <w:b/>
                <w:bCs/>
                <w:color w:val="000000"/>
                <w:sz w:val="20"/>
                <w:szCs w:val="20"/>
              </w:rPr>
            </w:pPr>
            <w:r w:rsidRPr="005B4A8D">
              <w:rPr>
                <w:rFonts w:cs="Arial"/>
                <w:b/>
                <w:bCs/>
                <w:color w:val="000000"/>
                <w:sz w:val="20"/>
                <w:szCs w:val="20"/>
              </w:rPr>
              <w:t xml:space="preserve">Expenditure </w:t>
            </w:r>
            <w:r w:rsidR="0077740F">
              <w:rPr>
                <w:rFonts w:cs="Arial"/>
                <w:b/>
                <w:bCs/>
                <w:color w:val="000000"/>
                <w:sz w:val="20"/>
                <w:szCs w:val="20"/>
              </w:rPr>
              <w:t>f</w:t>
            </w:r>
            <w:r w:rsidRPr="005B4A8D">
              <w:rPr>
                <w:rFonts w:cs="Arial"/>
                <w:b/>
                <w:bCs/>
                <w:color w:val="000000"/>
                <w:sz w:val="20"/>
                <w:szCs w:val="20"/>
              </w:rPr>
              <w:t>orecast</w:t>
            </w:r>
          </w:p>
          <w:p w14:paraId="6C627FA3" w14:textId="77777777" w:rsidR="00CD1248" w:rsidRPr="005B4A8D" w:rsidRDefault="00CD1248" w:rsidP="00AD7A66">
            <w:pPr>
              <w:jc w:val="right"/>
              <w:rPr>
                <w:rFonts w:cs="Arial"/>
                <w:b/>
                <w:bCs/>
                <w:color w:val="000000"/>
                <w:sz w:val="20"/>
                <w:szCs w:val="20"/>
              </w:rPr>
            </w:pPr>
            <w:r w:rsidRPr="005B4A8D">
              <w:rPr>
                <w:rFonts w:cs="Arial"/>
                <w:b/>
                <w:bCs/>
                <w:color w:val="000000"/>
                <w:sz w:val="20"/>
                <w:szCs w:val="20"/>
              </w:rPr>
              <w:t>£</w:t>
            </w:r>
            <w:r w:rsidR="00494474" w:rsidRPr="005B4A8D">
              <w:rPr>
                <w:rFonts w:cs="Arial"/>
                <w:b/>
                <w:bCs/>
                <w:color w:val="000000"/>
                <w:sz w:val="20"/>
                <w:szCs w:val="20"/>
              </w:rPr>
              <w:t>’</w:t>
            </w:r>
            <w:r w:rsidRPr="005B4A8D">
              <w:rPr>
                <w:rFonts w:cs="Arial"/>
                <w:b/>
                <w:bCs/>
                <w:color w:val="000000"/>
                <w:sz w:val="20"/>
                <w:szCs w:val="20"/>
              </w:rPr>
              <w:t>000</w:t>
            </w:r>
          </w:p>
        </w:tc>
        <w:tc>
          <w:tcPr>
            <w:tcW w:w="1359" w:type="dxa"/>
            <w:shd w:val="clear" w:color="auto" w:fill="auto"/>
            <w:noWrap/>
            <w:vAlign w:val="bottom"/>
            <w:hideMark/>
          </w:tcPr>
          <w:p w14:paraId="19C772C0" w14:textId="77777777" w:rsidR="00CD1248" w:rsidRPr="001C5D12" w:rsidRDefault="00CD1248" w:rsidP="00AD7A66">
            <w:pPr>
              <w:jc w:val="right"/>
              <w:rPr>
                <w:rFonts w:ascii="Calibri" w:hAnsi="Calibri"/>
                <w:b/>
                <w:color w:val="000000"/>
                <w:sz w:val="22"/>
                <w:szCs w:val="22"/>
              </w:rPr>
            </w:pPr>
            <w:r w:rsidRPr="001C5D12">
              <w:rPr>
                <w:rFonts w:ascii="Calibri" w:hAnsi="Calibri"/>
                <w:b/>
                <w:color w:val="000000"/>
                <w:sz w:val="22"/>
                <w:szCs w:val="22"/>
              </w:rPr>
              <w:t>Variance</w:t>
            </w:r>
          </w:p>
          <w:p w14:paraId="1389DDD5" w14:textId="77777777" w:rsidR="00CD1248" w:rsidRPr="005B4A8D" w:rsidRDefault="00CD1248" w:rsidP="00AD7A66">
            <w:pPr>
              <w:jc w:val="right"/>
              <w:rPr>
                <w:rFonts w:ascii="Calibri" w:hAnsi="Calibri"/>
                <w:color w:val="000000"/>
                <w:sz w:val="22"/>
                <w:szCs w:val="22"/>
              </w:rPr>
            </w:pPr>
            <w:r w:rsidRPr="001C5D12">
              <w:rPr>
                <w:rFonts w:ascii="Calibri" w:hAnsi="Calibri"/>
                <w:b/>
                <w:color w:val="000000"/>
                <w:sz w:val="22"/>
                <w:szCs w:val="22"/>
              </w:rPr>
              <w:t>£</w:t>
            </w:r>
            <w:r w:rsidR="00494474" w:rsidRPr="001C5D12">
              <w:rPr>
                <w:rFonts w:ascii="Calibri" w:hAnsi="Calibri"/>
                <w:b/>
                <w:color w:val="000000"/>
                <w:sz w:val="22"/>
                <w:szCs w:val="22"/>
              </w:rPr>
              <w:t>’</w:t>
            </w:r>
            <w:r w:rsidRPr="001C5D12">
              <w:rPr>
                <w:rFonts w:ascii="Calibri" w:hAnsi="Calibri"/>
                <w:b/>
                <w:color w:val="000000"/>
                <w:sz w:val="22"/>
                <w:szCs w:val="22"/>
              </w:rPr>
              <w:t>000</w:t>
            </w:r>
          </w:p>
        </w:tc>
      </w:tr>
      <w:tr w:rsidR="00CD1248" w:rsidRPr="005B4A8D" w14:paraId="44354DCA" w14:textId="77777777" w:rsidTr="002039A2">
        <w:trPr>
          <w:trHeight w:val="290"/>
        </w:trPr>
        <w:tc>
          <w:tcPr>
            <w:tcW w:w="3962" w:type="dxa"/>
            <w:shd w:val="clear" w:color="auto" w:fill="auto"/>
            <w:noWrap/>
            <w:vAlign w:val="bottom"/>
            <w:hideMark/>
          </w:tcPr>
          <w:p w14:paraId="2051FF4A" w14:textId="77777777" w:rsidR="00CD1248" w:rsidRPr="005B4A8D" w:rsidRDefault="00CD1248" w:rsidP="00CD1248">
            <w:pPr>
              <w:rPr>
                <w:rFonts w:ascii="Calibri" w:hAnsi="Calibri"/>
                <w:color w:val="000000"/>
                <w:sz w:val="22"/>
                <w:szCs w:val="22"/>
              </w:rPr>
            </w:pPr>
            <w:r w:rsidRPr="005B4A8D">
              <w:rPr>
                <w:rFonts w:ascii="Calibri" w:hAnsi="Calibri"/>
                <w:color w:val="000000"/>
                <w:sz w:val="22"/>
                <w:szCs w:val="22"/>
              </w:rPr>
              <w:t>Schools Block</w:t>
            </w:r>
          </w:p>
        </w:tc>
        <w:tc>
          <w:tcPr>
            <w:tcW w:w="1978" w:type="dxa"/>
            <w:shd w:val="clear" w:color="auto" w:fill="auto"/>
            <w:vAlign w:val="center"/>
            <w:hideMark/>
          </w:tcPr>
          <w:p w14:paraId="04BB6D23" w14:textId="77777777" w:rsidR="00CD1248" w:rsidRPr="005B4A8D" w:rsidRDefault="00CD1248" w:rsidP="00CD1248">
            <w:pPr>
              <w:jc w:val="right"/>
              <w:rPr>
                <w:rFonts w:cs="Arial"/>
                <w:color w:val="000000"/>
                <w:sz w:val="20"/>
                <w:szCs w:val="20"/>
              </w:rPr>
            </w:pPr>
            <w:r w:rsidRPr="005B4A8D">
              <w:rPr>
                <w:rFonts w:cs="Arial"/>
                <w:color w:val="000000"/>
                <w:sz w:val="20"/>
                <w:szCs w:val="20"/>
              </w:rPr>
              <w:t>167,924</w:t>
            </w:r>
          </w:p>
        </w:tc>
        <w:tc>
          <w:tcPr>
            <w:tcW w:w="1662" w:type="dxa"/>
            <w:shd w:val="clear" w:color="auto" w:fill="auto"/>
            <w:vAlign w:val="center"/>
            <w:hideMark/>
          </w:tcPr>
          <w:p w14:paraId="2556947C" w14:textId="77777777" w:rsidR="00CD1248" w:rsidRPr="005B4A8D" w:rsidRDefault="00CD1248" w:rsidP="00CD1248">
            <w:pPr>
              <w:jc w:val="right"/>
              <w:rPr>
                <w:rFonts w:cs="Arial"/>
                <w:b/>
                <w:bCs/>
                <w:color w:val="000000"/>
                <w:sz w:val="20"/>
                <w:szCs w:val="20"/>
              </w:rPr>
            </w:pPr>
            <w:r w:rsidRPr="005B4A8D">
              <w:rPr>
                <w:rFonts w:cs="Arial"/>
                <w:b/>
                <w:bCs/>
                <w:color w:val="000000"/>
                <w:sz w:val="20"/>
                <w:szCs w:val="20"/>
              </w:rPr>
              <w:t>167,</w:t>
            </w:r>
            <w:r w:rsidR="002B04ED" w:rsidRPr="005B4A8D">
              <w:rPr>
                <w:rFonts w:cs="Arial"/>
                <w:b/>
                <w:bCs/>
                <w:color w:val="000000"/>
                <w:sz w:val="20"/>
                <w:szCs w:val="20"/>
              </w:rPr>
              <w:t>624</w:t>
            </w:r>
          </w:p>
        </w:tc>
        <w:tc>
          <w:tcPr>
            <w:tcW w:w="1359" w:type="dxa"/>
            <w:shd w:val="clear" w:color="auto" w:fill="auto"/>
            <w:noWrap/>
            <w:vAlign w:val="bottom"/>
            <w:hideMark/>
          </w:tcPr>
          <w:p w14:paraId="058B1871" w14:textId="77777777" w:rsidR="00CD1248" w:rsidRPr="005B4A8D" w:rsidRDefault="00494474" w:rsidP="00CD1248">
            <w:pPr>
              <w:jc w:val="right"/>
              <w:rPr>
                <w:rFonts w:ascii="Calibri" w:hAnsi="Calibri"/>
                <w:color w:val="000000"/>
                <w:sz w:val="22"/>
                <w:szCs w:val="22"/>
              </w:rPr>
            </w:pPr>
            <w:r w:rsidRPr="00197868">
              <w:rPr>
                <w:rFonts w:ascii="Calibri" w:hAnsi="Calibri"/>
                <w:color w:val="FF0000"/>
                <w:sz w:val="22"/>
                <w:szCs w:val="22"/>
              </w:rPr>
              <w:t>(</w:t>
            </w:r>
            <w:r w:rsidR="002B04ED" w:rsidRPr="00197868">
              <w:rPr>
                <w:rFonts w:ascii="Calibri" w:hAnsi="Calibri"/>
                <w:color w:val="FF0000"/>
                <w:sz w:val="22"/>
                <w:szCs w:val="22"/>
              </w:rPr>
              <w:t>300</w:t>
            </w:r>
            <w:r w:rsidRPr="00197868">
              <w:rPr>
                <w:rFonts w:ascii="Calibri" w:hAnsi="Calibri"/>
                <w:color w:val="FF0000"/>
                <w:sz w:val="22"/>
                <w:szCs w:val="22"/>
              </w:rPr>
              <w:t>)</w:t>
            </w:r>
          </w:p>
        </w:tc>
      </w:tr>
      <w:tr w:rsidR="00CD1248" w:rsidRPr="005B4A8D" w14:paraId="6C1579E3" w14:textId="77777777" w:rsidTr="002039A2">
        <w:trPr>
          <w:trHeight w:val="290"/>
        </w:trPr>
        <w:tc>
          <w:tcPr>
            <w:tcW w:w="3962" w:type="dxa"/>
            <w:shd w:val="clear" w:color="auto" w:fill="auto"/>
            <w:noWrap/>
            <w:vAlign w:val="bottom"/>
            <w:hideMark/>
          </w:tcPr>
          <w:p w14:paraId="4BF614B3" w14:textId="77777777" w:rsidR="00CD1248" w:rsidRPr="005B4A8D" w:rsidRDefault="00CD1248" w:rsidP="00CD1248">
            <w:pPr>
              <w:rPr>
                <w:rFonts w:ascii="Calibri" w:hAnsi="Calibri"/>
                <w:color w:val="000000"/>
                <w:sz w:val="22"/>
                <w:szCs w:val="22"/>
              </w:rPr>
            </w:pPr>
            <w:r w:rsidRPr="005B4A8D">
              <w:rPr>
                <w:rFonts w:ascii="Calibri" w:hAnsi="Calibri"/>
                <w:color w:val="000000"/>
                <w:sz w:val="22"/>
                <w:szCs w:val="22"/>
              </w:rPr>
              <w:t>Early Years Block</w:t>
            </w:r>
          </w:p>
        </w:tc>
        <w:tc>
          <w:tcPr>
            <w:tcW w:w="1978" w:type="dxa"/>
            <w:shd w:val="clear" w:color="auto" w:fill="auto"/>
            <w:vAlign w:val="center"/>
            <w:hideMark/>
          </w:tcPr>
          <w:p w14:paraId="3A84FA75" w14:textId="77777777" w:rsidR="00CD1248" w:rsidRPr="005B4A8D" w:rsidRDefault="00CD1248" w:rsidP="00CD1248">
            <w:pPr>
              <w:jc w:val="right"/>
              <w:rPr>
                <w:rFonts w:cs="Arial"/>
                <w:color w:val="000000"/>
                <w:sz w:val="20"/>
                <w:szCs w:val="20"/>
              </w:rPr>
            </w:pPr>
            <w:r w:rsidRPr="005B4A8D">
              <w:rPr>
                <w:rFonts w:cs="Arial"/>
                <w:color w:val="000000"/>
                <w:sz w:val="20"/>
                <w:szCs w:val="20"/>
              </w:rPr>
              <w:t>2</w:t>
            </w:r>
            <w:r w:rsidR="003C1EBE" w:rsidRPr="005B4A8D">
              <w:rPr>
                <w:rFonts w:cs="Arial"/>
                <w:color w:val="000000"/>
                <w:sz w:val="20"/>
                <w:szCs w:val="20"/>
              </w:rPr>
              <w:t>1,319</w:t>
            </w:r>
          </w:p>
        </w:tc>
        <w:tc>
          <w:tcPr>
            <w:tcW w:w="1662" w:type="dxa"/>
            <w:shd w:val="clear" w:color="auto" w:fill="auto"/>
            <w:vAlign w:val="center"/>
            <w:hideMark/>
          </w:tcPr>
          <w:p w14:paraId="1A8935C5" w14:textId="77777777" w:rsidR="00CD1248" w:rsidRPr="005B4A8D" w:rsidRDefault="003C1EBE" w:rsidP="00CD1248">
            <w:pPr>
              <w:jc w:val="right"/>
              <w:rPr>
                <w:rFonts w:cs="Arial"/>
                <w:b/>
                <w:bCs/>
                <w:color w:val="000000"/>
                <w:sz w:val="20"/>
                <w:szCs w:val="20"/>
              </w:rPr>
            </w:pPr>
            <w:r w:rsidRPr="005B4A8D">
              <w:rPr>
                <w:rFonts w:cs="Arial"/>
                <w:b/>
                <w:bCs/>
                <w:color w:val="000000"/>
                <w:sz w:val="20"/>
                <w:szCs w:val="20"/>
              </w:rPr>
              <w:t>21,319</w:t>
            </w:r>
          </w:p>
        </w:tc>
        <w:tc>
          <w:tcPr>
            <w:tcW w:w="1359" w:type="dxa"/>
            <w:shd w:val="clear" w:color="auto" w:fill="auto"/>
            <w:noWrap/>
            <w:vAlign w:val="bottom"/>
            <w:hideMark/>
          </w:tcPr>
          <w:p w14:paraId="1CE08330" w14:textId="77777777" w:rsidR="00CD1248" w:rsidRPr="005B4A8D" w:rsidRDefault="003C1EBE" w:rsidP="00CD1248">
            <w:pPr>
              <w:jc w:val="right"/>
              <w:rPr>
                <w:rFonts w:ascii="Calibri" w:hAnsi="Calibri"/>
                <w:color w:val="000000"/>
                <w:sz w:val="22"/>
                <w:szCs w:val="22"/>
              </w:rPr>
            </w:pPr>
            <w:r w:rsidRPr="005B4A8D">
              <w:rPr>
                <w:rFonts w:ascii="Calibri" w:hAnsi="Calibri"/>
                <w:color w:val="000000"/>
                <w:sz w:val="22"/>
                <w:szCs w:val="22"/>
              </w:rPr>
              <w:t>0</w:t>
            </w:r>
          </w:p>
        </w:tc>
      </w:tr>
      <w:tr w:rsidR="00CD1248" w:rsidRPr="005B4A8D" w14:paraId="37D4862F" w14:textId="77777777" w:rsidTr="002039A2">
        <w:trPr>
          <w:trHeight w:val="290"/>
        </w:trPr>
        <w:tc>
          <w:tcPr>
            <w:tcW w:w="3962" w:type="dxa"/>
            <w:shd w:val="clear" w:color="auto" w:fill="auto"/>
            <w:noWrap/>
            <w:vAlign w:val="bottom"/>
            <w:hideMark/>
          </w:tcPr>
          <w:p w14:paraId="0EF1F52D" w14:textId="77777777" w:rsidR="00CD1248" w:rsidRPr="005B4A8D" w:rsidRDefault="00CD1248" w:rsidP="00CD1248">
            <w:pPr>
              <w:rPr>
                <w:rFonts w:ascii="Calibri" w:hAnsi="Calibri"/>
                <w:color w:val="000000"/>
                <w:sz w:val="22"/>
                <w:szCs w:val="22"/>
              </w:rPr>
            </w:pPr>
            <w:r w:rsidRPr="005B4A8D">
              <w:rPr>
                <w:rFonts w:ascii="Calibri" w:hAnsi="Calibri"/>
                <w:color w:val="000000"/>
                <w:sz w:val="22"/>
                <w:szCs w:val="22"/>
              </w:rPr>
              <w:t>High Needs Block</w:t>
            </w:r>
          </w:p>
        </w:tc>
        <w:tc>
          <w:tcPr>
            <w:tcW w:w="1978" w:type="dxa"/>
            <w:shd w:val="clear" w:color="auto" w:fill="auto"/>
            <w:vAlign w:val="center"/>
            <w:hideMark/>
          </w:tcPr>
          <w:p w14:paraId="73576EA0" w14:textId="77777777" w:rsidR="00CD1248" w:rsidRPr="005B4A8D" w:rsidRDefault="00CD1248" w:rsidP="00CD1248">
            <w:pPr>
              <w:jc w:val="right"/>
              <w:rPr>
                <w:rFonts w:cs="Arial"/>
                <w:color w:val="000000"/>
                <w:sz w:val="20"/>
                <w:szCs w:val="20"/>
              </w:rPr>
            </w:pPr>
            <w:r w:rsidRPr="005B4A8D">
              <w:rPr>
                <w:rFonts w:cs="Arial"/>
                <w:color w:val="000000"/>
                <w:sz w:val="20"/>
                <w:szCs w:val="20"/>
              </w:rPr>
              <w:t>25,867</w:t>
            </w:r>
          </w:p>
        </w:tc>
        <w:tc>
          <w:tcPr>
            <w:tcW w:w="1662" w:type="dxa"/>
            <w:shd w:val="clear" w:color="auto" w:fill="auto"/>
            <w:vAlign w:val="center"/>
            <w:hideMark/>
          </w:tcPr>
          <w:p w14:paraId="7C3BE190" w14:textId="77777777" w:rsidR="00CD1248" w:rsidRPr="005B4A8D" w:rsidRDefault="00CD1248" w:rsidP="00CD1248">
            <w:pPr>
              <w:jc w:val="right"/>
              <w:rPr>
                <w:rFonts w:cs="Arial"/>
                <w:b/>
                <w:bCs/>
                <w:color w:val="000000"/>
                <w:sz w:val="20"/>
                <w:szCs w:val="20"/>
              </w:rPr>
            </w:pPr>
            <w:r w:rsidRPr="005B4A8D">
              <w:rPr>
                <w:rFonts w:cs="Arial"/>
                <w:b/>
                <w:bCs/>
                <w:color w:val="000000"/>
                <w:sz w:val="20"/>
                <w:szCs w:val="20"/>
              </w:rPr>
              <w:t>28,0</w:t>
            </w:r>
            <w:r w:rsidR="00225B74" w:rsidRPr="005B4A8D">
              <w:rPr>
                <w:rFonts w:cs="Arial"/>
                <w:b/>
                <w:bCs/>
                <w:color w:val="000000"/>
                <w:sz w:val="20"/>
                <w:szCs w:val="20"/>
              </w:rPr>
              <w:t>8</w:t>
            </w:r>
            <w:r w:rsidR="00EA2372" w:rsidRPr="005B4A8D">
              <w:rPr>
                <w:rFonts w:cs="Arial"/>
                <w:b/>
                <w:bCs/>
                <w:color w:val="000000"/>
                <w:sz w:val="20"/>
                <w:szCs w:val="20"/>
              </w:rPr>
              <w:t>1</w:t>
            </w:r>
          </w:p>
        </w:tc>
        <w:tc>
          <w:tcPr>
            <w:tcW w:w="1359" w:type="dxa"/>
            <w:shd w:val="clear" w:color="auto" w:fill="auto"/>
            <w:noWrap/>
            <w:vAlign w:val="bottom"/>
            <w:hideMark/>
          </w:tcPr>
          <w:p w14:paraId="204951D1" w14:textId="77777777" w:rsidR="00CD1248" w:rsidRPr="005B4A8D" w:rsidRDefault="00CD1248" w:rsidP="00CD1248">
            <w:pPr>
              <w:jc w:val="right"/>
              <w:rPr>
                <w:rFonts w:ascii="Calibri" w:hAnsi="Calibri"/>
                <w:color w:val="000000"/>
                <w:sz w:val="22"/>
                <w:szCs w:val="22"/>
              </w:rPr>
            </w:pPr>
            <w:r w:rsidRPr="005B4A8D">
              <w:rPr>
                <w:rFonts w:ascii="Calibri" w:hAnsi="Calibri"/>
                <w:color w:val="000000"/>
                <w:sz w:val="22"/>
                <w:szCs w:val="22"/>
              </w:rPr>
              <w:t>2,2</w:t>
            </w:r>
            <w:r w:rsidR="00225B74" w:rsidRPr="005B4A8D">
              <w:rPr>
                <w:rFonts w:ascii="Calibri" w:hAnsi="Calibri"/>
                <w:color w:val="000000"/>
                <w:sz w:val="22"/>
                <w:szCs w:val="22"/>
              </w:rPr>
              <w:t>1</w:t>
            </w:r>
            <w:r w:rsidR="0077740F">
              <w:rPr>
                <w:rFonts w:ascii="Calibri" w:hAnsi="Calibri"/>
                <w:color w:val="000000"/>
                <w:sz w:val="22"/>
                <w:szCs w:val="22"/>
              </w:rPr>
              <w:t>4</w:t>
            </w:r>
          </w:p>
        </w:tc>
      </w:tr>
      <w:tr w:rsidR="00CD1248" w:rsidRPr="005B4A8D" w14:paraId="11CAEB8E" w14:textId="77777777" w:rsidTr="002039A2">
        <w:trPr>
          <w:trHeight w:val="290"/>
        </w:trPr>
        <w:tc>
          <w:tcPr>
            <w:tcW w:w="3962" w:type="dxa"/>
            <w:shd w:val="clear" w:color="auto" w:fill="auto"/>
            <w:noWrap/>
            <w:vAlign w:val="bottom"/>
            <w:hideMark/>
          </w:tcPr>
          <w:p w14:paraId="6F2C88F2" w14:textId="77777777" w:rsidR="00CD1248" w:rsidRPr="005B4A8D" w:rsidRDefault="00CD1248" w:rsidP="00CD1248">
            <w:pPr>
              <w:rPr>
                <w:rFonts w:ascii="Calibri" w:hAnsi="Calibri"/>
                <w:color w:val="000000"/>
                <w:sz w:val="22"/>
                <w:szCs w:val="22"/>
              </w:rPr>
            </w:pPr>
            <w:r w:rsidRPr="005B4A8D">
              <w:rPr>
                <w:rFonts w:ascii="Calibri" w:hAnsi="Calibri"/>
                <w:color w:val="000000"/>
                <w:sz w:val="22"/>
                <w:szCs w:val="22"/>
              </w:rPr>
              <w:t>Central Block</w:t>
            </w:r>
          </w:p>
        </w:tc>
        <w:tc>
          <w:tcPr>
            <w:tcW w:w="1978" w:type="dxa"/>
            <w:shd w:val="clear" w:color="auto" w:fill="auto"/>
            <w:vAlign w:val="center"/>
            <w:hideMark/>
          </w:tcPr>
          <w:p w14:paraId="1A8E9DE2" w14:textId="77777777" w:rsidR="00CD1248" w:rsidRPr="005B4A8D" w:rsidRDefault="00CD1248" w:rsidP="00CD1248">
            <w:pPr>
              <w:jc w:val="right"/>
              <w:rPr>
                <w:rFonts w:cs="Arial"/>
                <w:color w:val="000000"/>
                <w:sz w:val="20"/>
                <w:szCs w:val="20"/>
              </w:rPr>
            </w:pPr>
            <w:r w:rsidRPr="005B4A8D">
              <w:rPr>
                <w:rFonts w:cs="Arial"/>
                <w:color w:val="000000"/>
                <w:sz w:val="20"/>
                <w:szCs w:val="20"/>
              </w:rPr>
              <w:t>2,559</w:t>
            </w:r>
          </w:p>
        </w:tc>
        <w:tc>
          <w:tcPr>
            <w:tcW w:w="1662" w:type="dxa"/>
            <w:shd w:val="clear" w:color="auto" w:fill="auto"/>
            <w:vAlign w:val="center"/>
            <w:hideMark/>
          </w:tcPr>
          <w:p w14:paraId="6C4BA537" w14:textId="77777777" w:rsidR="00CD1248" w:rsidRPr="005B4A8D" w:rsidRDefault="00CD1248" w:rsidP="00CD1248">
            <w:pPr>
              <w:jc w:val="right"/>
              <w:rPr>
                <w:rFonts w:cs="Arial"/>
                <w:b/>
                <w:bCs/>
                <w:color w:val="000000"/>
                <w:sz w:val="20"/>
                <w:szCs w:val="20"/>
              </w:rPr>
            </w:pPr>
            <w:r w:rsidRPr="005B4A8D">
              <w:rPr>
                <w:rFonts w:cs="Arial"/>
                <w:b/>
                <w:bCs/>
                <w:color w:val="000000"/>
                <w:sz w:val="20"/>
                <w:szCs w:val="20"/>
              </w:rPr>
              <w:t>2,559</w:t>
            </w:r>
          </w:p>
        </w:tc>
        <w:tc>
          <w:tcPr>
            <w:tcW w:w="1359" w:type="dxa"/>
            <w:shd w:val="clear" w:color="auto" w:fill="auto"/>
            <w:noWrap/>
            <w:vAlign w:val="bottom"/>
            <w:hideMark/>
          </w:tcPr>
          <w:p w14:paraId="2D0E1F13" w14:textId="77777777" w:rsidR="00CD1248" w:rsidRPr="005B4A8D" w:rsidRDefault="00CD1248" w:rsidP="00CD1248">
            <w:pPr>
              <w:jc w:val="right"/>
              <w:rPr>
                <w:rFonts w:ascii="Calibri" w:hAnsi="Calibri"/>
                <w:color w:val="000000"/>
                <w:sz w:val="22"/>
                <w:szCs w:val="22"/>
              </w:rPr>
            </w:pPr>
            <w:r w:rsidRPr="005B4A8D">
              <w:rPr>
                <w:rFonts w:ascii="Calibri" w:hAnsi="Calibri"/>
                <w:color w:val="000000"/>
                <w:sz w:val="22"/>
                <w:szCs w:val="22"/>
              </w:rPr>
              <w:t>-</w:t>
            </w:r>
          </w:p>
        </w:tc>
      </w:tr>
      <w:tr w:rsidR="00CD1248" w:rsidRPr="00573970" w14:paraId="318972B4" w14:textId="77777777" w:rsidTr="002D45C6">
        <w:trPr>
          <w:trHeight w:val="290"/>
        </w:trPr>
        <w:tc>
          <w:tcPr>
            <w:tcW w:w="3962" w:type="dxa"/>
            <w:shd w:val="clear" w:color="auto" w:fill="auto"/>
            <w:noWrap/>
            <w:vAlign w:val="bottom"/>
            <w:hideMark/>
          </w:tcPr>
          <w:p w14:paraId="30BB5D49" w14:textId="77777777" w:rsidR="00CD1248" w:rsidRPr="00573970" w:rsidRDefault="00CD1248" w:rsidP="00CD1248">
            <w:pPr>
              <w:rPr>
                <w:rFonts w:ascii="Calibri" w:hAnsi="Calibri"/>
                <w:b/>
                <w:color w:val="000000"/>
                <w:sz w:val="22"/>
                <w:szCs w:val="22"/>
              </w:rPr>
            </w:pPr>
            <w:r w:rsidRPr="00573970">
              <w:rPr>
                <w:rFonts w:ascii="Calibri" w:hAnsi="Calibri"/>
                <w:b/>
                <w:color w:val="000000"/>
                <w:sz w:val="22"/>
                <w:szCs w:val="22"/>
              </w:rPr>
              <w:t> </w:t>
            </w:r>
            <w:r w:rsidR="00FF2954" w:rsidRPr="00573970">
              <w:rPr>
                <w:rFonts w:ascii="Calibri" w:hAnsi="Calibri"/>
                <w:b/>
                <w:color w:val="000000"/>
                <w:sz w:val="22"/>
                <w:szCs w:val="22"/>
              </w:rPr>
              <w:t>Total</w:t>
            </w:r>
          </w:p>
        </w:tc>
        <w:tc>
          <w:tcPr>
            <w:tcW w:w="1978" w:type="dxa"/>
            <w:shd w:val="clear" w:color="auto" w:fill="auto"/>
            <w:vAlign w:val="center"/>
            <w:hideMark/>
          </w:tcPr>
          <w:p w14:paraId="1EF683ED" w14:textId="77777777" w:rsidR="00CD1248" w:rsidRPr="00573970" w:rsidRDefault="00AE68DE" w:rsidP="00CD1248">
            <w:pPr>
              <w:jc w:val="right"/>
              <w:rPr>
                <w:rFonts w:cs="Arial"/>
                <w:b/>
                <w:bCs/>
                <w:color w:val="000000"/>
                <w:sz w:val="20"/>
                <w:szCs w:val="20"/>
              </w:rPr>
            </w:pPr>
            <w:r w:rsidRPr="00573970">
              <w:rPr>
                <w:rFonts w:cs="Arial"/>
                <w:b/>
                <w:bCs/>
                <w:color w:val="000000"/>
                <w:sz w:val="20"/>
                <w:szCs w:val="20"/>
              </w:rPr>
              <w:t>217,669</w:t>
            </w:r>
          </w:p>
        </w:tc>
        <w:tc>
          <w:tcPr>
            <w:tcW w:w="1662" w:type="dxa"/>
            <w:shd w:val="clear" w:color="auto" w:fill="auto"/>
            <w:vAlign w:val="center"/>
            <w:hideMark/>
          </w:tcPr>
          <w:p w14:paraId="722FDCBB" w14:textId="77777777" w:rsidR="00CD1248" w:rsidRPr="00573970" w:rsidRDefault="00AE68DE" w:rsidP="00CD1248">
            <w:pPr>
              <w:jc w:val="right"/>
              <w:rPr>
                <w:rFonts w:cs="Arial"/>
                <w:b/>
                <w:bCs/>
                <w:color w:val="000000"/>
                <w:sz w:val="20"/>
                <w:szCs w:val="20"/>
              </w:rPr>
            </w:pPr>
            <w:r w:rsidRPr="00573970">
              <w:rPr>
                <w:rFonts w:cs="Arial"/>
                <w:b/>
                <w:bCs/>
                <w:color w:val="000000"/>
                <w:sz w:val="20"/>
                <w:szCs w:val="20"/>
              </w:rPr>
              <w:t>219,</w:t>
            </w:r>
            <w:r w:rsidR="002B04ED" w:rsidRPr="00573970">
              <w:rPr>
                <w:rFonts w:cs="Arial"/>
                <w:b/>
                <w:bCs/>
                <w:color w:val="000000"/>
                <w:sz w:val="20"/>
                <w:szCs w:val="20"/>
              </w:rPr>
              <w:t>569</w:t>
            </w:r>
          </w:p>
        </w:tc>
        <w:tc>
          <w:tcPr>
            <w:tcW w:w="1359" w:type="dxa"/>
            <w:shd w:val="clear" w:color="auto" w:fill="auto"/>
            <w:vAlign w:val="center"/>
            <w:hideMark/>
          </w:tcPr>
          <w:p w14:paraId="3133F6A2" w14:textId="77777777" w:rsidR="00CD1248" w:rsidRPr="00573970" w:rsidRDefault="00CD1248" w:rsidP="00CD1248">
            <w:pPr>
              <w:jc w:val="right"/>
              <w:rPr>
                <w:rFonts w:cs="Arial"/>
                <w:b/>
                <w:bCs/>
                <w:color w:val="000000"/>
                <w:sz w:val="20"/>
                <w:szCs w:val="20"/>
              </w:rPr>
            </w:pPr>
            <w:r w:rsidRPr="00573970">
              <w:rPr>
                <w:rFonts w:cs="Arial"/>
                <w:b/>
                <w:bCs/>
                <w:color w:val="000000"/>
                <w:sz w:val="20"/>
                <w:szCs w:val="20"/>
              </w:rPr>
              <w:t>1</w:t>
            </w:r>
            <w:r w:rsidR="003C1EBE" w:rsidRPr="00573970">
              <w:rPr>
                <w:rFonts w:cs="Arial"/>
                <w:b/>
                <w:bCs/>
                <w:color w:val="000000"/>
                <w:sz w:val="20"/>
                <w:szCs w:val="20"/>
              </w:rPr>
              <w:t>,</w:t>
            </w:r>
            <w:r w:rsidR="002B04ED" w:rsidRPr="00573970">
              <w:rPr>
                <w:rFonts w:cs="Arial"/>
                <w:b/>
                <w:bCs/>
                <w:color w:val="000000"/>
                <w:sz w:val="20"/>
                <w:szCs w:val="20"/>
              </w:rPr>
              <w:t>9</w:t>
            </w:r>
            <w:r w:rsidR="00735F56" w:rsidRPr="00573970">
              <w:rPr>
                <w:rFonts w:cs="Arial"/>
                <w:b/>
                <w:bCs/>
                <w:color w:val="000000"/>
                <w:sz w:val="20"/>
                <w:szCs w:val="20"/>
              </w:rPr>
              <w:t>1</w:t>
            </w:r>
            <w:r w:rsidR="0077740F">
              <w:rPr>
                <w:rFonts w:cs="Arial"/>
                <w:b/>
                <w:bCs/>
                <w:color w:val="000000"/>
                <w:sz w:val="20"/>
                <w:szCs w:val="20"/>
              </w:rPr>
              <w:t>4</w:t>
            </w:r>
          </w:p>
        </w:tc>
      </w:tr>
      <w:tr w:rsidR="00CD1248" w:rsidRPr="00573970" w14:paraId="6107DC9D" w14:textId="77777777" w:rsidTr="002D45C6">
        <w:trPr>
          <w:trHeight w:val="290"/>
        </w:trPr>
        <w:tc>
          <w:tcPr>
            <w:tcW w:w="7602" w:type="dxa"/>
            <w:gridSpan w:val="3"/>
            <w:shd w:val="clear" w:color="auto" w:fill="auto"/>
            <w:noWrap/>
            <w:vAlign w:val="bottom"/>
            <w:hideMark/>
          </w:tcPr>
          <w:p w14:paraId="010232AB" w14:textId="77777777" w:rsidR="00CD1248" w:rsidRPr="00573970" w:rsidRDefault="00CD1248" w:rsidP="00CD1248">
            <w:pPr>
              <w:rPr>
                <w:rFonts w:ascii="Calibri" w:hAnsi="Calibri"/>
                <w:color w:val="000000"/>
                <w:sz w:val="22"/>
                <w:szCs w:val="22"/>
              </w:rPr>
            </w:pPr>
            <w:r w:rsidRPr="00573970">
              <w:rPr>
                <w:rFonts w:ascii="Calibri" w:hAnsi="Calibri"/>
                <w:color w:val="000000"/>
                <w:sz w:val="22"/>
                <w:szCs w:val="22"/>
              </w:rPr>
              <w:t xml:space="preserve">Brought </w:t>
            </w:r>
            <w:r w:rsidR="00896C7F" w:rsidRPr="00573970">
              <w:rPr>
                <w:rFonts w:ascii="Calibri" w:hAnsi="Calibri"/>
                <w:color w:val="000000"/>
                <w:sz w:val="22"/>
                <w:szCs w:val="22"/>
              </w:rPr>
              <w:t>f</w:t>
            </w:r>
            <w:r w:rsidRPr="00573970">
              <w:rPr>
                <w:rFonts w:ascii="Calibri" w:hAnsi="Calibri"/>
                <w:color w:val="000000"/>
                <w:sz w:val="22"/>
                <w:szCs w:val="22"/>
              </w:rPr>
              <w:t xml:space="preserve">orward DSG </w:t>
            </w:r>
            <w:r w:rsidR="00896C7F" w:rsidRPr="00573970">
              <w:rPr>
                <w:rFonts w:ascii="Calibri" w:hAnsi="Calibri"/>
                <w:color w:val="000000"/>
                <w:sz w:val="22"/>
                <w:szCs w:val="22"/>
              </w:rPr>
              <w:t>b</w:t>
            </w:r>
            <w:r w:rsidRPr="00573970">
              <w:rPr>
                <w:rFonts w:ascii="Calibri" w:hAnsi="Calibri"/>
                <w:color w:val="000000"/>
                <w:sz w:val="22"/>
                <w:szCs w:val="22"/>
              </w:rPr>
              <w:t>alance</w:t>
            </w:r>
            <w:r w:rsidR="00BB2ED3" w:rsidRPr="00573970">
              <w:rPr>
                <w:rFonts w:ascii="Calibri" w:hAnsi="Calibri"/>
                <w:color w:val="000000"/>
                <w:sz w:val="22"/>
                <w:szCs w:val="22"/>
              </w:rPr>
              <w:t xml:space="preserve"> (</w:t>
            </w:r>
            <w:r w:rsidR="00735F56" w:rsidRPr="00573970">
              <w:rPr>
                <w:rFonts w:ascii="Calibri" w:hAnsi="Calibri"/>
                <w:color w:val="000000"/>
                <w:sz w:val="22"/>
                <w:szCs w:val="22"/>
              </w:rPr>
              <w:t>exc</w:t>
            </w:r>
            <w:r w:rsidR="00896C7F" w:rsidRPr="00573970">
              <w:rPr>
                <w:rFonts w:ascii="Calibri" w:hAnsi="Calibri"/>
                <w:color w:val="000000"/>
                <w:sz w:val="22"/>
                <w:szCs w:val="22"/>
              </w:rPr>
              <w:t>l</w:t>
            </w:r>
            <w:r w:rsidR="00735F56" w:rsidRPr="00573970">
              <w:rPr>
                <w:rFonts w:ascii="Calibri" w:hAnsi="Calibri"/>
                <w:color w:val="000000"/>
                <w:sz w:val="22"/>
                <w:szCs w:val="22"/>
              </w:rPr>
              <w:t>.</w:t>
            </w:r>
            <w:r w:rsidR="00BB2ED3" w:rsidRPr="00573970">
              <w:rPr>
                <w:rFonts w:ascii="Calibri" w:hAnsi="Calibri"/>
                <w:color w:val="000000"/>
                <w:sz w:val="22"/>
                <w:szCs w:val="22"/>
              </w:rPr>
              <w:t xml:space="preserve"> growth fund)</w:t>
            </w:r>
          </w:p>
        </w:tc>
        <w:tc>
          <w:tcPr>
            <w:tcW w:w="1359" w:type="dxa"/>
            <w:shd w:val="clear" w:color="auto" w:fill="auto"/>
            <w:noWrap/>
            <w:vAlign w:val="bottom"/>
            <w:hideMark/>
          </w:tcPr>
          <w:p w14:paraId="4C5E8457" w14:textId="77777777" w:rsidR="00CD1248" w:rsidRPr="00573970" w:rsidRDefault="00494474" w:rsidP="00CD1248">
            <w:pPr>
              <w:jc w:val="right"/>
              <w:rPr>
                <w:rFonts w:ascii="Calibri" w:hAnsi="Calibri"/>
                <w:color w:val="FF0000"/>
                <w:sz w:val="22"/>
                <w:szCs w:val="22"/>
              </w:rPr>
            </w:pPr>
            <w:r w:rsidRPr="00573970">
              <w:rPr>
                <w:rFonts w:ascii="Calibri" w:hAnsi="Calibri"/>
                <w:color w:val="FF0000"/>
                <w:sz w:val="22"/>
                <w:szCs w:val="22"/>
              </w:rPr>
              <w:t>(</w:t>
            </w:r>
            <w:r w:rsidR="00CD1248" w:rsidRPr="00573970">
              <w:rPr>
                <w:rFonts w:ascii="Calibri" w:hAnsi="Calibri"/>
                <w:color w:val="FF0000"/>
                <w:sz w:val="22"/>
                <w:szCs w:val="22"/>
              </w:rPr>
              <w:t>3,</w:t>
            </w:r>
            <w:r w:rsidR="00735F56" w:rsidRPr="00573970">
              <w:rPr>
                <w:rFonts w:ascii="Calibri" w:hAnsi="Calibri"/>
                <w:color w:val="FF0000"/>
                <w:sz w:val="22"/>
                <w:szCs w:val="22"/>
              </w:rPr>
              <w:t>0</w:t>
            </w:r>
            <w:r w:rsidR="00CD1248" w:rsidRPr="00573970">
              <w:rPr>
                <w:rFonts w:ascii="Calibri" w:hAnsi="Calibri"/>
                <w:color w:val="FF0000"/>
                <w:sz w:val="22"/>
                <w:szCs w:val="22"/>
              </w:rPr>
              <w:t>48</w:t>
            </w:r>
            <w:r w:rsidRPr="00573970">
              <w:rPr>
                <w:rFonts w:ascii="Calibri" w:hAnsi="Calibri"/>
                <w:color w:val="FF0000"/>
                <w:sz w:val="22"/>
                <w:szCs w:val="22"/>
              </w:rPr>
              <w:t>)</w:t>
            </w:r>
          </w:p>
        </w:tc>
      </w:tr>
      <w:tr w:rsidR="00734C81" w:rsidRPr="00573970" w14:paraId="12426818" w14:textId="77777777" w:rsidTr="002D45C6">
        <w:trPr>
          <w:trHeight w:val="290"/>
        </w:trPr>
        <w:tc>
          <w:tcPr>
            <w:tcW w:w="7602" w:type="dxa"/>
            <w:gridSpan w:val="3"/>
            <w:shd w:val="clear" w:color="auto" w:fill="auto"/>
            <w:noWrap/>
            <w:vAlign w:val="bottom"/>
          </w:tcPr>
          <w:p w14:paraId="05A764A1" w14:textId="77777777" w:rsidR="00734C81" w:rsidRPr="00573970" w:rsidRDefault="00734C81" w:rsidP="00CD1248">
            <w:pPr>
              <w:rPr>
                <w:rFonts w:ascii="Calibri" w:hAnsi="Calibri"/>
                <w:color w:val="000000"/>
                <w:sz w:val="22"/>
                <w:szCs w:val="22"/>
              </w:rPr>
            </w:pPr>
            <w:r w:rsidRPr="00573970">
              <w:rPr>
                <w:rFonts w:ascii="Calibri" w:hAnsi="Calibri"/>
                <w:color w:val="000000"/>
                <w:sz w:val="22"/>
                <w:szCs w:val="22"/>
              </w:rPr>
              <w:t>Growth</w:t>
            </w:r>
            <w:r w:rsidR="00735F56" w:rsidRPr="00573970">
              <w:rPr>
                <w:rFonts w:ascii="Calibri" w:hAnsi="Calibri"/>
                <w:color w:val="000000"/>
                <w:sz w:val="22"/>
                <w:szCs w:val="22"/>
              </w:rPr>
              <w:t xml:space="preserve"> fund</w:t>
            </w:r>
          </w:p>
        </w:tc>
        <w:tc>
          <w:tcPr>
            <w:tcW w:w="1359" w:type="dxa"/>
            <w:shd w:val="clear" w:color="auto" w:fill="auto"/>
            <w:noWrap/>
            <w:vAlign w:val="bottom"/>
          </w:tcPr>
          <w:p w14:paraId="01CC360E" w14:textId="77777777" w:rsidR="00734C81" w:rsidRPr="00573970" w:rsidRDefault="00735F56" w:rsidP="00CD1248">
            <w:pPr>
              <w:jc w:val="right"/>
              <w:rPr>
                <w:rFonts w:ascii="Calibri" w:hAnsi="Calibri"/>
                <w:color w:val="000000"/>
                <w:sz w:val="22"/>
                <w:szCs w:val="22"/>
              </w:rPr>
            </w:pPr>
            <w:r w:rsidRPr="00573970">
              <w:rPr>
                <w:rFonts w:ascii="Calibri" w:hAnsi="Calibri"/>
                <w:color w:val="000000"/>
                <w:sz w:val="22"/>
                <w:szCs w:val="22"/>
              </w:rPr>
              <w:t>(500)</w:t>
            </w:r>
          </w:p>
        </w:tc>
      </w:tr>
      <w:tr w:rsidR="00CD1248" w:rsidRPr="00573970" w14:paraId="4005F205" w14:textId="77777777" w:rsidTr="002D45C6">
        <w:trPr>
          <w:trHeight w:val="290"/>
        </w:trPr>
        <w:tc>
          <w:tcPr>
            <w:tcW w:w="7602" w:type="dxa"/>
            <w:gridSpan w:val="3"/>
            <w:shd w:val="clear" w:color="auto" w:fill="auto"/>
            <w:noWrap/>
            <w:vAlign w:val="bottom"/>
            <w:hideMark/>
          </w:tcPr>
          <w:p w14:paraId="18A00C42" w14:textId="77777777" w:rsidR="00CD1248" w:rsidRPr="00573970" w:rsidRDefault="00CD1248" w:rsidP="00CD1248">
            <w:pPr>
              <w:rPr>
                <w:rFonts w:ascii="Calibri" w:hAnsi="Calibri"/>
                <w:b/>
                <w:color w:val="000000"/>
                <w:sz w:val="22"/>
                <w:szCs w:val="22"/>
              </w:rPr>
            </w:pPr>
            <w:r w:rsidRPr="00573970">
              <w:rPr>
                <w:rFonts w:ascii="Calibri" w:hAnsi="Calibri"/>
                <w:b/>
                <w:color w:val="000000"/>
                <w:sz w:val="22"/>
                <w:szCs w:val="22"/>
              </w:rPr>
              <w:t xml:space="preserve">DSG </w:t>
            </w:r>
            <w:r w:rsidR="00494474" w:rsidRPr="00573970">
              <w:rPr>
                <w:rFonts w:ascii="Calibri" w:hAnsi="Calibri"/>
                <w:b/>
                <w:color w:val="000000"/>
                <w:sz w:val="22"/>
                <w:szCs w:val="22"/>
              </w:rPr>
              <w:t>b</w:t>
            </w:r>
            <w:r w:rsidRPr="00573970">
              <w:rPr>
                <w:rFonts w:ascii="Calibri" w:hAnsi="Calibri"/>
                <w:b/>
                <w:color w:val="000000"/>
                <w:sz w:val="22"/>
                <w:szCs w:val="22"/>
              </w:rPr>
              <w:t xml:space="preserve">alance </w:t>
            </w:r>
            <w:r w:rsidR="00494474" w:rsidRPr="00573970">
              <w:rPr>
                <w:rFonts w:ascii="Calibri" w:hAnsi="Calibri"/>
                <w:b/>
                <w:color w:val="000000"/>
                <w:sz w:val="22"/>
                <w:szCs w:val="22"/>
              </w:rPr>
              <w:t>f</w:t>
            </w:r>
            <w:r w:rsidRPr="00573970">
              <w:rPr>
                <w:rFonts w:ascii="Calibri" w:hAnsi="Calibri"/>
                <w:b/>
                <w:color w:val="000000"/>
                <w:sz w:val="22"/>
                <w:szCs w:val="22"/>
              </w:rPr>
              <w:t>orecast for 31st March 2019</w:t>
            </w:r>
          </w:p>
        </w:tc>
        <w:tc>
          <w:tcPr>
            <w:tcW w:w="1359" w:type="dxa"/>
            <w:shd w:val="clear" w:color="auto" w:fill="auto"/>
            <w:noWrap/>
            <w:vAlign w:val="bottom"/>
            <w:hideMark/>
          </w:tcPr>
          <w:p w14:paraId="4F02F88C" w14:textId="77777777" w:rsidR="00CD1248" w:rsidRPr="00573970" w:rsidRDefault="00494474" w:rsidP="00494474">
            <w:pPr>
              <w:jc w:val="right"/>
              <w:rPr>
                <w:rFonts w:ascii="Calibri" w:hAnsi="Calibri"/>
                <w:b/>
                <w:color w:val="000000"/>
                <w:sz w:val="22"/>
                <w:szCs w:val="22"/>
              </w:rPr>
            </w:pPr>
            <w:r w:rsidRPr="00573970">
              <w:rPr>
                <w:rFonts w:ascii="Calibri" w:hAnsi="Calibri"/>
                <w:b/>
                <w:color w:val="FF0000"/>
                <w:sz w:val="22"/>
                <w:szCs w:val="22"/>
              </w:rPr>
              <w:t>(</w:t>
            </w:r>
            <w:r w:rsidR="003C1EBE" w:rsidRPr="00573970">
              <w:rPr>
                <w:rFonts w:ascii="Calibri" w:hAnsi="Calibri"/>
                <w:b/>
                <w:color w:val="FF0000"/>
                <w:sz w:val="22"/>
                <w:szCs w:val="22"/>
              </w:rPr>
              <w:t>1</w:t>
            </w:r>
            <w:r w:rsidR="002B04ED" w:rsidRPr="00573970">
              <w:rPr>
                <w:rFonts w:ascii="Calibri" w:hAnsi="Calibri"/>
                <w:b/>
                <w:color w:val="FF0000"/>
                <w:sz w:val="22"/>
                <w:szCs w:val="22"/>
              </w:rPr>
              <w:t>,6</w:t>
            </w:r>
            <w:r w:rsidR="0077740F">
              <w:rPr>
                <w:rFonts w:ascii="Calibri" w:hAnsi="Calibri"/>
                <w:b/>
                <w:color w:val="FF0000"/>
                <w:sz w:val="22"/>
                <w:szCs w:val="22"/>
              </w:rPr>
              <w:t>4</w:t>
            </w:r>
            <w:r w:rsidR="00735F56" w:rsidRPr="00573970">
              <w:rPr>
                <w:rFonts w:ascii="Calibri" w:hAnsi="Calibri"/>
                <w:b/>
                <w:color w:val="FF0000"/>
                <w:sz w:val="22"/>
                <w:szCs w:val="22"/>
              </w:rPr>
              <w:t>2</w:t>
            </w:r>
            <w:r w:rsidRPr="00573970">
              <w:rPr>
                <w:rFonts w:ascii="Calibri" w:hAnsi="Calibri"/>
                <w:b/>
                <w:color w:val="FF0000"/>
                <w:sz w:val="22"/>
                <w:szCs w:val="22"/>
              </w:rPr>
              <w:t>)</w:t>
            </w:r>
          </w:p>
        </w:tc>
      </w:tr>
    </w:tbl>
    <w:p w14:paraId="3F227784" w14:textId="77777777" w:rsidR="00CD1248" w:rsidRPr="005B4A8D" w:rsidRDefault="00CD1248" w:rsidP="00CD1248">
      <w:pPr>
        <w:pStyle w:val="ListParagraph"/>
        <w:rPr>
          <w:b/>
        </w:rPr>
      </w:pPr>
    </w:p>
    <w:p w14:paraId="284FEAA8" w14:textId="77777777" w:rsidR="00AE68DE" w:rsidRPr="00197868" w:rsidRDefault="00AE68DE" w:rsidP="00197868">
      <w:pPr>
        <w:ind w:left="709"/>
        <w:jc w:val="both"/>
        <w:rPr>
          <w:sz w:val="23"/>
          <w:szCs w:val="23"/>
        </w:rPr>
      </w:pPr>
      <w:r w:rsidRPr="00197868">
        <w:rPr>
          <w:sz w:val="23"/>
          <w:szCs w:val="23"/>
        </w:rPr>
        <w:t>Table</w:t>
      </w:r>
      <w:r w:rsidR="003464FC" w:rsidRPr="00197868">
        <w:rPr>
          <w:sz w:val="23"/>
          <w:szCs w:val="23"/>
        </w:rPr>
        <w:t xml:space="preserve"> </w:t>
      </w:r>
      <w:r w:rsidRPr="00197868">
        <w:rPr>
          <w:sz w:val="23"/>
          <w:szCs w:val="23"/>
        </w:rPr>
        <w:t xml:space="preserve">2: </w:t>
      </w:r>
      <w:r w:rsidR="002039A2">
        <w:rPr>
          <w:sz w:val="23"/>
          <w:szCs w:val="23"/>
        </w:rPr>
        <w:t>Forecast</w:t>
      </w:r>
      <w:r w:rsidRPr="00197868">
        <w:rPr>
          <w:sz w:val="23"/>
          <w:szCs w:val="23"/>
        </w:rPr>
        <w:t xml:space="preserve"> </w:t>
      </w:r>
      <w:r w:rsidR="002959FC" w:rsidRPr="00197868">
        <w:rPr>
          <w:sz w:val="23"/>
          <w:szCs w:val="23"/>
        </w:rPr>
        <w:t xml:space="preserve">DSG </w:t>
      </w:r>
      <w:r w:rsidRPr="00197868">
        <w:rPr>
          <w:sz w:val="23"/>
          <w:szCs w:val="23"/>
        </w:rPr>
        <w:t>outturn for</w:t>
      </w:r>
      <w:r w:rsidR="0049657F">
        <w:rPr>
          <w:sz w:val="23"/>
          <w:szCs w:val="23"/>
        </w:rPr>
        <w:t xml:space="preserve"> </w:t>
      </w:r>
      <w:r w:rsidR="002959FC" w:rsidRPr="00197868">
        <w:rPr>
          <w:sz w:val="23"/>
          <w:szCs w:val="23"/>
        </w:rPr>
        <w:t>2018/19 for all blocks.</w:t>
      </w:r>
    </w:p>
    <w:p w14:paraId="1CE9F17F" w14:textId="77777777" w:rsidR="00CD1248" w:rsidRPr="005B4A8D" w:rsidRDefault="00CD1248" w:rsidP="00CD1248">
      <w:pPr>
        <w:pStyle w:val="ListParagraph"/>
      </w:pPr>
    </w:p>
    <w:p w14:paraId="55E24D08" w14:textId="77777777" w:rsidR="00ED2D71" w:rsidRPr="005B4A8D" w:rsidRDefault="00CD1248" w:rsidP="00494474">
      <w:pPr>
        <w:pStyle w:val="ListParagraph"/>
        <w:numPr>
          <w:ilvl w:val="1"/>
          <w:numId w:val="2"/>
        </w:numPr>
        <w:tabs>
          <w:tab w:val="clear" w:pos="360"/>
        </w:tabs>
        <w:ind w:left="720" w:hanging="720"/>
        <w:jc w:val="both"/>
      </w:pPr>
      <w:r w:rsidRPr="005B4A8D">
        <w:t>T</w:t>
      </w:r>
      <w:r w:rsidR="00C17EDC" w:rsidRPr="005B4A8D">
        <w:t xml:space="preserve">here is currently an underspend of </w:t>
      </w:r>
      <w:r w:rsidR="00C17EDC" w:rsidRPr="005B4A8D">
        <w:rPr>
          <w:b/>
        </w:rPr>
        <w:t>£</w:t>
      </w:r>
      <w:r w:rsidR="002B04ED" w:rsidRPr="005B4A8D">
        <w:rPr>
          <w:b/>
        </w:rPr>
        <w:t>300</w:t>
      </w:r>
      <w:r w:rsidR="003C787F">
        <w:rPr>
          <w:b/>
        </w:rPr>
        <w:t>k</w:t>
      </w:r>
      <w:r w:rsidR="001731F1" w:rsidRPr="005B4A8D">
        <w:t xml:space="preserve"> </w:t>
      </w:r>
      <w:r w:rsidRPr="005B4A8D">
        <w:t xml:space="preserve">relating to the </w:t>
      </w:r>
      <w:r w:rsidR="00494474" w:rsidRPr="005B4A8D">
        <w:t>g</w:t>
      </w:r>
      <w:r w:rsidRPr="005B4A8D">
        <w:t xml:space="preserve">rowth </w:t>
      </w:r>
      <w:r w:rsidR="00494474" w:rsidRPr="005B4A8D">
        <w:t>f</w:t>
      </w:r>
      <w:r w:rsidRPr="005B4A8D">
        <w:t xml:space="preserve">und </w:t>
      </w:r>
      <w:r w:rsidR="001731F1" w:rsidRPr="005B4A8D">
        <w:t xml:space="preserve">within the </w:t>
      </w:r>
      <w:r w:rsidR="00494474" w:rsidRPr="005B4A8D">
        <w:rPr>
          <w:b/>
        </w:rPr>
        <w:t>s</w:t>
      </w:r>
      <w:r w:rsidR="001731F1" w:rsidRPr="005B4A8D">
        <w:rPr>
          <w:b/>
        </w:rPr>
        <w:t xml:space="preserve">chools </w:t>
      </w:r>
      <w:r w:rsidR="00494474" w:rsidRPr="005B4A8D">
        <w:rPr>
          <w:b/>
        </w:rPr>
        <w:t>b</w:t>
      </w:r>
      <w:r w:rsidR="001731F1" w:rsidRPr="005B4A8D">
        <w:rPr>
          <w:b/>
        </w:rPr>
        <w:t>lock</w:t>
      </w:r>
      <w:r w:rsidR="001731F1" w:rsidRPr="005B4A8D">
        <w:t xml:space="preserve"> as shown below:</w:t>
      </w:r>
    </w:p>
    <w:p w14:paraId="65B21913" w14:textId="77777777" w:rsidR="001731F1" w:rsidRPr="005B4A8D" w:rsidRDefault="001731F1" w:rsidP="00494474">
      <w:pPr>
        <w:jc w:val="both"/>
      </w:pPr>
    </w:p>
    <w:tbl>
      <w:tblPr>
        <w:tblW w:w="8788" w:type="dxa"/>
        <w:tblInd w:w="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gridCol w:w="2126"/>
        <w:gridCol w:w="1984"/>
      </w:tblGrid>
      <w:tr w:rsidR="003C1EBE" w:rsidRPr="005B4A8D" w14:paraId="7D51C006" w14:textId="77777777" w:rsidTr="002D45C6">
        <w:trPr>
          <w:trHeight w:val="290"/>
        </w:trPr>
        <w:tc>
          <w:tcPr>
            <w:tcW w:w="4678" w:type="dxa"/>
            <w:shd w:val="clear" w:color="auto" w:fill="auto"/>
            <w:noWrap/>
            <w:vAlign w:val="bottom"/>
            <w:hideMark/>
          </w:tcPr>
          <w:p w14:paraId="7C78E0B0" w14:textId="77777777" w:rsidR="003C1EBE" w:rsidRPr="005B4A8D" w:rsidRDefault="003C1EBE" w:rsidP="001731F1">
            <w:pPr>
              <w:rPr>
                <w:rFonts w:ascii="Times New Roman" w:hAnsi="Times New Roman"/>
                <w:sz w:val="20"/>
                <w:szCs w:val="20"/>
              </w:rPr>
            </w:pPr>
          </w:p>
        </w:tc>
        <w:tc>
          <w:tcPr>
            <w:tcW w:w="2126" w:type="dxa"/>
            <w:shd w:val="clear" w:color="auto" w:fill="auto"/>
            <w:noWrap/>
            <w:vAlign w:val="bottom"/>
            <w:hideMark/>
          </w:tcPr>
          <w:p w14:paraId="4450CAA1" w14:textId="77777777" w:rsidR="003C1EBE" w:rsidRPr="00197868" w:rsidRDefault="003C1EBE" w:rsidP="00C02C0C">
            <w:pPr>
              <w:jc w:val="right"/>
              <w:rPr>
                <w:rFonts w:ascii="Calibri" w:hAnsi="Calibri"/>
                <w:b/>
                <w:color w:val="000000"/>
                <w:sz w:val="22"/>
                <w:szCs w:val="22"/>
              </w:rPr>
            </w:pPr>
            <w:r w:rsidRPr="00197868">
              <w:rPr>
                <w:rFonts w:ascii="Calibri" w:hAnsi="Calibri"/>
                <w:b/>
                <w:color w:val="000000"/>
                <w:sz w:val="22"/>
                <w:szCs w:val="22"/>
              </w:rPr>
              <w:t>Budget</w:t>
            </w:r>
          </w:p>
          <w:p w14:paraId="6A7A64B8" w14:textId="77777777" w:rsidR="003C1EBE" w:rsidRPr="00197868" w:rsidRDefault="003C1EBE" w:rsidP="00C02C0C">
            <w:pPr>
              <w:jc w:val="right"/>
              <w:rPr>
                <w:rFonts w:ascii="Calibri" w:hAnsi="Calibri"/>
                <w:b/>
                <w:color w:val="000000"/>
                <w:sz w:val="22"/>
                <w:szCs w:val="22"/>
              </w:rPr>
            </w:pPr>
            <w:r w:rsidRPr="00197868">
              <w:rPr>
                <w:rFonts w:ascii="Calibri" w:hAnsi="Calibri"/>
                <w:b/>
                <w:color w:val="000000"/>
                <w:sz w:val="22"/>
                <w:szCs w:val="22"/>
              </w:rPr>
              <w:t>£</w:t>
            </w:r>
          </w:p>
        </w:tc>
        <w:tc>
          <w:tcPr>
            <w:tcW w:w="1984" w:type="dxa"/>
            <w:shd w:val="clear" w:color="auto" w:fill="auto"/>
            <w:noWrap/>
            <w:vAlign w:val="bottom"/>
            <w:hideMark/>
          </w:tcPr>
          <w:p w14:paraId="7476C5B3" w14:textId="77777777" w:rsidR="003C1EBE" w:rsidRPr="00197868" w:rsidRDefault="003C1EBE" w:rsidP="00C02C0C">
            <w:pPr>
              <w:jc w:val="right"/>
              <w:rPr>
                <w:rFonts w:ascii="Calibri" w:hAnsi="Calibri"/>
                <w:b/>
                <w:color w:val="000000"/>
                <w:sz w:val="22"/>
                <w:szCs w:val="22"/>
              </w:rPr>
            </w:pPr>
            <w:r w:rsidRPr="00197868">
              <w:rPr>
                <w:rFonts w:ascii="Calibri" w:hAnsi="Calibri"/>
                <w:b/>
                <w:color w:val="000000"/>
                <w:sz w:val="22"/>
                <w:szCs w:val="22"/>
              </w:rPr>
              <w:t>Actual/Forecast</w:t>
            </w:r>
          </w:p>
          <w:p w14:paraId="0B8B6296" w14:textId="77777777" w:rsidR="003C1EBE" w:rsidRPr="00197868" w:rsidRDefault="003C1EBE" w:rsidP="00C02C0C">
            <w:pPr>
              <w:jc w:val="right"/>
              <w:rPr>
                <w:rFonts w:ascii="Calibri" w:hAnsi="Calibri"/>
                <w:b/>
                <w:color w:val="000000"/>
                <w:sz w:val="22"/>
                <w:szCs w:val="22"/>
              </w:rPr>
            </w:pPr>
            <w:r w:rsidRPr="00197868">
              <w:rPr>
                <w:rFonts w:ascii="Calibri" w:hAnsi="Calibri"/>
                <w:b/>
                <w:color w:val="000000"/>
                <w:sz w:val="22"/>
                <w:szCs w:val="22"/>
              </w:rPr>
              <w:t>£</w:t>
            </w:r>
          </w:p>
        </w:tc>
      </w:tr>
      <w:tr w:rsidR="001731F1" w:rsidRPr="005B4A8D" w14:paraId="53F42B34" w14:textId="77777777" w:rsidTr="002D45C6">
        <w:trPr>
          <w:trHeight w:val="290"/>
        </w:trPr>
        <w:tc>
          <w:tcPr>
            <w:tcW w:w="4678" w:type="dxa"/>
            <w:shd w:val="clear" w:color="auto" w:fill="auto"/>
            <w:noWrap/>
            <w:vAlign w:val="bottom"/>
            <w:hideMark/>
          </w:tcPr>
          <w:p w14:paraId="44409479" w14:textId="77777777" w:rsidR="001731F1" w:rsidRPr="005B4A8D" w:rsidRDefault="001731F1" w:rsidP="001731F1">
            <w:pPr>
              <w:rPr>
                <w:rFonts w:ascii="Calibri" w:hAnsi="Calibri"/>
                <w:color w:val="000000"/>
                <w:sz w:val="22"/>
                <w:szCs w:val="22"/>
              </w:rPr>
            </w:pPr>
            <w:r w:rsidRPr="005B4A8D">
              <w:rPr>
                <w:rFonts w:ascii="Calibri" w:hAnsi="Calibri"/>
                <w:color w:val="000000"/>
                <w:sz w:val="22"/>
                <w:szCs w:val="22"/>
              </w:rPr>
              <w:t xml:space="preserve">Schools </w:t>
            </w:r>
            <w:r w:rsidR="00C02C0C" w:rsidRPr="005B4A8D">
              <w:rPr>
                <w:rFonts w:ascii="Calibri" w:hAnsi="Calibri"/>
                <w:color w:val="000000"/>
                <w:sz w:val="22"/>
                <w:szCs w:val="22"/>
              </w:rPr>
              <w:t>b</w:t>
            </w:r>
            <w:r w:rsidRPr="005B4A8D">
              <w:rPr>
                <w:rFonts w:ascii="Calibri" w:hAnsi="Calibri"/>
                <w:color w:val="000000"/>
                <w:sz w:val="22"/>
                <w:szCs w:val="22"/>
              </w:rPr>
              <w:t xml:space="preserve">lock </w:t>
            </w:r>
            <w:r w:rsidR="00C02C0C" w:rsidRPr="005B4A8D">
              <w:rPr>
                <w:rFonts w:ascii="Calibri" w:hAnsi="Calibri"/>
                <w:color w:val="000000"/>
                <w:sz w:val="22"/>
                <w:szCs w:val="22"/>
              </w:rPr>
              <w:t>g</w:t>
            </w:r>
            <w:r w:rsidRPr="005B4A8D">
              <w:rPr>
                <w:rFonts w:ascii="Calibri" w:hAnsi="Calibri"/>
                <w:color w:val="000000"/>
                <w:sz w:val="22"/>
                <w:szCs w:val="22"/>
              </w:rPr>
              <w:t>rant</w:t>
            </w:r>
          </w:p>
        </w:tc>
        <w:tc>
          <w:tcPr>
            <w:tcW w:w="2126" w:type="dxa"/>
            <w:shd w:val="clear" w:color="auto" w:fill="auto"/>
            <w:noWrap/>
            <w:vAlign w:val="bottom"/>
            <w:hideMark/>
          </w:tcPr>
          <w:p w14:paraId="7C8CCE2E" w14:textId="77777777" w:rsidR="001731F1" w:rsidRPr="005B4A8D" w:rsidRDefault="001731F1" w:rsidP="001731F1">
            <w:pPr>
              <w:jc w:val="right"/>
              <w:rPr>
                <w:rFonts w:ascii="Calibri" w:hAnsi="Calibri"/>
                <w:color w:val="000000"/>
                <w:sz w:val="22"/>
                <w:szCs w:val="22"/>
              </w:rPr>
            </w:pPr>
            <w:r w:rsidRPr="005B4A8D">
              <w:rPr>
                <w:rFonts w:ascii="Calibri" w:hAnsi="Calibri"/>
                <w:color w:val="FF0000"/>
                <w:sz w:val="22"/>
                <w:szCs w:val="22"/>
              </w:rPr>
              <w:t>(£212,260,876)</w:t>
            </w:r>
          </w:p>
        </w:tc>
        <w:tc>
          <w:tcPr>
            <w:tcW w:w="1984" w:type="dxa"/>
            <w:shd w:val="clear" w:color="auto" w:fill="auto"/>
            <w:noWrap/>
            <w:vAlign w:val="bottom"/>
            <w:hideMark/>
          </w:tcPr>
          <w:p w14:paraId="40CEADF3" w14:textId="77777777" w:rsidR="001731F1" w:rsidRPr="005B4A8D" w:rsidRDefault="001731F1" w:rsidP="001731F1">
            <w:pPr>
              <w:jc w:val="right"/>
              <w:rPr>
                <w:rFonts w:ascii="Calibri" w:hAnsi="Calibri"/>
                <w:color w:val="000000"/>
                <w:sz w:val="22"/>
                <w:szCs w:val="22"/>
              </w:rPr>
            </w:pPr>
            <w:r w:rsidRPr="005B4A8D">
              <w:rPr>
                <w:rFonts w:ascii="Calibri" w:hAnsi="Calibri"/>
                <w:color w:val="FF0000"/>
                <w:sz w:val="22"/>
                <w:szCs w:val="22"/>
              </w:rPr>
              <w:t>(£212,260,876)</w:t>
            </w:r>
          </w:p>
        </w:tc>
      </w:tr>
      <w:tr w:rsidR="001731F1" w:rsidRPr="005B4A8D" w14:paraId="43354F90" w14:textId="77777777" w:rsidTr="002D45C6">
        <w:trPr>
          <w:trHeight w:val="290"/>
        </w:trPr>
        <w:tc>
          <w:tcPr>
            <w:tcW w:w="4678" w:type="dxa"/>
            <w:shd w:val="clear" w:color="auto" w:fill="auto"/>
            <w:noWrap/>
            <w:vAlign w:val="bottom"/>
            <w:hideMark/>
          </w:tcPr>
          <w:p w14:paraId="592A4141" w14:textId="77777777" w:rsidR="001731F1" w:rsidRPr="005B4A8D" w:rsidRDefault="001731F1" w:rsidP="001731F1">
            <w:pPr>
              <w:rPr>
                <w:rFonts w:ascii="Calibri" w:hAnsi="Calibri"/>
                <w:color w:val="000000"/>
                <w:sz w:val="22"/>
                <w:szCs w:val="22"/>
              </w:rPr>
            </w:pPr>
            <w:r w:rsidRPr="005B4A8D">
              <w:rPr>
                <w:rFonts w:ascii="Calibri" w:hAnsi="Calibri"/>
                <w:color w:val="000000"/>
                <w:sz w:val="22"/>
                <w:szCs w:val="22"/>
              </w:rPr>
              <w:t xml:space="preserve">Distributed to </w:t>
            </w:r>
            <w:r w:rsidR="00C02C0C" w:rsidRPr="005B4A8D">
              <w:rPr>
                <w:rFonts w:ascii="Calibri" w:hAnsi="Calibri"/>
                <w:color w:val="000000"/>
                <w:sz w:val="22"/>
                <w:szCs w:val="22"/>
              </w:rPr>
              <w:t>s</w:t>
            </w:r>
            <w:r w:rsidRPr="005B4A8D">
              <w:rPr>
                <w:rFonts w:ascii="Calibri" w:hAnsi="Calibri"/>
                <w:color w:val="000000"/>
                <w:sz w:val="22"/>
                <w:szCs w:val="22"/>
              </w:rPr>
              <w:t>chools</w:t>
            </w:r>
            <w:r w:rsidR="00987B18" w:rsidRPr="005B4A8D">
              <w:rPr>
                <w:rFonts w:ascii="Calibri" w:hAnsi="Calibri"/>
                <w:color w:val="000000"/>
                <w:sz w:val="22"/>
                <w:szCs w:val="22"/>
              </w:rPr>
              <w:t xml:space="preserve"> (inc</w:t>
            </w:r>
            <w:r w:rsidR="00684845" w:rsidRPr="005B4A8D">
              <w:rPr>
                <w:rFonts w:ascii="Calibri" w:hAnsi="Calibri"/>
                <w:color w:val="000000"/>
                <w:sz w:val="22"/>
                <w:szCs w:val="22"/>
              </w:rPr>
              <w:t>l.</w:t>
            </w:r>
            <w:r w:rsidR="00987B18" w:rsidRPr="005B4A8D">
              <w:rPr>
                <w:rFonts w:ascii="Calibri" w:hAnsi="Calibri"/>
                <w:color w:val="000000"/>
                <w:sz w:val="22"/>
                <w:szCs w:val="22"/>
              </w:rPr>
              <w:t xml:space="preserve"> academies)</w:t>
            </w:r>
          </w:p>
        </w:tc>
        <w:tc>
          <w:tcPr>
            <w:tcW w:w="2126" w:type="dxa"/>
            <w:shd w:val="clear" w:color="auto" w:fill="auto"/>
            <w:noWrap/>
            <w:vAlign w:val="bottom"/>
            <w:hideMark/>
          </w:tcPr>
          <w:p w14:paraId="451652E0" w14:textId="77777777" w:rsidR="001731F1" w:rsidRPr="005B4A8D" w:rsidRDefault="001731F1" w:rsidP="001731F1">
            <w:pPr>
              <w:jc w:val="right"/>
              <w:rPr>
                <w:rFonts w:ascii="Calibri" w:hAnsi="Calibri"/>
                <w:color w:val="000000"/>
                <w:sz w:val="22"/>
                <w:szCs w:val="22"/>
              </w:rPr>
            </w:pPr>
            <w:r w:rsidRPr="005B4A8D">
              <w:rPr>
                <w:rFonts w:ascii="Calibri" w:hAnsi="Calibri"/>
                <w:color w:val="000000"/>
                <w:sz w:val="22"/>
                <w:szCs w:val="22"/>
              </w:rPr>
              <w:t>£208,582,215</w:t>
            </w:r>
          </w:p>
        </w:tc>
        <w:tc>
          <w:tcPr>
            <w:tcW w:w="1984" w:type="dxa"/>
            <w:shd w:val="clear" w:color="auto" w:fill="auto"/>
            <w:noWrap/>
            <w:vAlign w:val="bottom"/>
            <w:hideMark/>
          </w:tcPr>
          <w:p w14:paraId="0476234F" w14:textId="77777777" w:rsidR="001731F1" w:rsidRPr="005B4A8D" w:rsidRDefault="001731F1" w:rsidP="001731F1">
            <w:pPr>
              <w:jc w:val="right"/>
              <w:rPr>
                <w:rFonts w:ascii="Calibri" w:hAnsi="Calibri"/>
                <w:color w:val="000000"/>
                <w:sz w:val="22"/>
                <w:szCs w:val="22"/>
              </w:rPr>
            </w:pPr>
            <w:r w:rsidRPr="005B4A8D">
              <w:rPr>
                <w:rFonts w:ascii="Calibri" w:hAnsi="Calibri"/>
                <w:color w:val="000000"/>
                <w:sz w:val="22"/>
                <w:szCs w:val="22"/>
              </w:rPr>
              <w:t>£208,582,215</w:t>
            </w:r>
          </w:p>
        </w:tc>
      </w:tr>
      <w:tr w:rsidR="001731F1" w:rsidRPr="005B4A8D" w14:paraId="58CC0627" w14:textId="77777777" w:rsidTr="002D45C6">
        <w:trPr>
          <w:trHeight w:val="290"/>
        </w:trPr>
        <w:tc>
          <w:tcPr>
            <w:tcW w:w="4678" w:type="dxa"/>
            <w:shd w:val="clear" w:color="auto" w:fill="auto"/>
            <w:noWrap/>
            <w:vAlign w:val="bottom"/>
            <w:hideMark/>
          </w:tcPr>
          <w:p w14:paraId="6F3A1430" w14:textId="77777777" w:rsidR="001731F1" w:rsidRPr="005B4A8D" w:rsidRDefault="001731F1" w:rsidP="001731F1">
            <w:pPr>
              <w:rPr>
                <w:rFonts w:ascii="Calibri" w:hAnsi="Calibri"/>
                <w:color w:val="000000"/>
                <w:sz w:val="22"/>
                <w:szCs w:val="22"/>
              </w:rPr>
            </w:pPr>
            <w:r w:rsidRPr="005B4A8D">
              <w:rPr>
                <w:rFonts w:ascii="Calibri" w:hAnsi="Calibri"/>
                <w:color w:val="000000"/>
                <w:sz w:val="22"/>
                <w:szCs w:val="22"/>
              </w:rPr>
              <w:t xml:space="preserve">Transferred to </w:t>
            </w:r>
            <w:r w:rsidR="00C02C0C" w:rsidRPr="005B4A8D">
              <w:rPr>
                <w:rFonts w:ascii="Calibri" w:hAnsi="Calibri"/>
                <w:color w:val="000000"/>
                <w:sz w:val="22"/>
                <w:szCs w:val="22"/>
              </w:rPr>
              <w:t>h</w:t>
            </w:r>
            <w:r w:rsidRPr="005B4A8D">
              <w:rPr>
                <w:rFonts w:ascii="Calibri" w:hAnsi="Calibri"/>
                <w:color w:val="000000"/>
                <w:sz w:val="22"/>
                <w:szCs w:val="22"/>
              </w:rPr>
              <w:t xml:space="preserve">igh </w:t>
            </w:r>
            <w:r w:rsidR="00C02C0C" w:rsidRPr="005B4A8D">
              <w:rPr>
                <w:rFonts w:ascii="Calibri" w:hAnsi="Calibri"/>
                <w:color w:val="000000"/>
                <w:sz w:val="22"/>
                <w:szCs w:val="22"/>
              </w:rPr>
              <w:t>n</w:t>
            </w:r>
            <w:r w:rsidRPr="005B4A8D">
              <w:rPr>
                <w:rFonts w:ascii="Calibri" w:hAnsi="Calibri"/>
                <w:color w:val="000000"/>
                <w:sz w:val="22"/>
                <w:szCs w:val="22"/>
              </w:rPr>
              <w:t xml:space="preserve">eeds </w:t>
            </w:r>
            <w:r w:rsidR="00C02C0C" w:rsidRPr="005B4A8D">
              <w:rPr>
                <w:rFonts w:ascii="Calibri" w:hAnsi="Calibri"/>
                <w:color w:val="000000"/>
                <w:sz w:val="22"/>
                <w:szCs w:val="22"/>
              </w:rPr>
              <w:t>b</w:t>
            </w:r>
            <w:r w:rsidRPr="005B4A8D">
              <w:rPr>
                <w:rFonts w:ascii="Calibri" w:hAnsi="Calibri"/>
                <w:color w:val="000000"/>
                <w:sz w:val="22"/>
                <w:szCs w:val="22"/>
              </w:rPr>
              <w:t>lock</w:t>
            </w:r>
          </w:p>
        </w:tc>
        <w:tc>
          <w:tcPr>
            <w:tcW w:w="2126" w:type="dxa"/>
            <w:shd w:val="clear" w:color="auto" w:fill="auto"/>
            <w:noWrap/>
            <w:vAlign w:val="bottom"/>
            <w:hideMark/>
          </w:tcPr>
          <w:p w14:paraId="22255D37" w14:textId="77777777" w:rsidR="001731F1" w:rsidRPr="005B4A8D" w:rsidRDefault="001731F1" w:rsidP="001731F1">
            <w:pPr>
              <w:jc w:val="right"/>
              <w:rPr>
                <w:rFonts w:ascii="Calibri" w:hAnsi="Calibri"/>
                <w:color w:val="000000"/>
                <w:sz w:val="22"/>
                <w:szCs w:val="22"/>
              </w:rPr>
            </w:pPr>
            <w:r w:rsidRPr="005B4A8D">
              <w:rPr>
                <w:rFonts w:ascii="Calibri" w:hAnsi="Calibri"/>
                <w:color w:val="000000"/>
                <w:sz w:val="22"/>
                <w:szCs w:val="22"/>
              </w:rPr>
              <w:t>£750,000</w:t>
            </w:r>
          </w:p>
        </w:tc>
        <w:tc>
          <w:tcPr>
            <w:tcW w:w="1984" w:type="dxa"/>
            <w:shd w:val="clear" w:color="auto" w:fill="auto"/>
            <w:noWrap/>
            <w:vAlign w:val="bottom"/>
            <w:hideMark/>
          </w:tcPr>
          <w:p w14:paraId="0E75D07D" w14:textId="77777777" w:rsidR="001731F1" w:rsidRPr="005B4A8D" w:rsidRDefault="001731F1" w:rsidP="001731F1">
            <w:pPr>
              <w:jc w:val="right"/>
              <w:rPr>
                <w:rFonts w:ascii="Calibri" w:hAnsi="Calibri"/>
                <w:color w:val="000000"/>
                <w:sz w:val="22"/>
                <w:szCs w:val="22"/>
              </w:rPr>
            </w:pPr>
            <w:r w:rsidRPr="005B4A8D">
              <w:rPr>
                <w:rFonts w:ascii="Calibri" w:hAnsi="Calibri"/>
                <w:color w:val="000000"/>
                <w:sz w:val="22"/>
                <w:szCs w:val="22"/>
              </w:rPr>
              <w:t>£750,000</w:t>
            </w:r>
          </w:p>
        </w:tc>
      </w:tr>
      <w:tr w:rsidR="003C1EBE" w:rsidRPr="005B4A8D" w14:paraId="4B3E55D0" w14:textId="77777777" w:rsidTr="002D45C6">
        <w:trPr>
          <w:trHeight w:val="290"/>
        </w:trPr>
        <w:tc>
          <w:tcPr>
            <w:tcW w:w="4678" w:type="dxa"/>
            <w:shd w:val="clear" w:color="auto" w:fill="auto"/>
            <w:noWrap/>
            <w:vAlign w:val="bottom"/>
            <w:hideMark/>
          </w:tcPr>
          <w:p w14:paraId="2614EF98" w14:textId="77777777" w:rsidR="003C1EBE" w:rsidRPr="005B4A8D" w:rsidRDefault="003C1EBE" w:rsidP="001731F1">
            <w:pPr>
              <w:rPr>
                <w:rFonts w:ascii="Calibri" w:hAnsi="Calibri"/>
                <w:color w:val="000000"/>
                <w:sz w:val="22"/>
                <w:szCs w:val="22"/>
              </w:rPr>
            </w:pPr>
            <w:r w:rsidRPr="005B4A8D">
              <w:rPr>
                <w:rFonts w:ascii="Calibri" w:hAnsi="Calibri"/>
                <w:color w:val="000000"/>
                <w:sz w:val="22"/>
                <w:szCs w:val="22"/>
              </w:rPr>
              <w:t>Growth fund</w:t>
            </w:r>
          </w:p>
        </w:tc>
        <w:tc>
          <w:tcPr>
            <w:tcW w:w="2126" w:type="dxa"/>
            <w:shd w:val="clear" w:color="auto" w:fill="auto"/>
            <w:noWrap/>
            <w:vAlign w:val="bottom"/>
            <w:hideMark/>
          </w:tcPr>
          <w:p w14:paraId="0C386381" w14:textId="77777777" w:rsidR="003C1EBE" w:rsidRPr="005B4A8D" w:rsidRDefault="003C1EBE" w:rsidP="001731F1">
            <w:pPr>
              <w:jc w:val="right"/>
              <w:rPr>
                <w:rFonts w:ascii="Calibri" w:hAnsi="Calibri"/>
                <w:color w:val="000000"/>
                <w:sz w:val="22"/>
                <w:szCs w:val="22"/>
              </w:rPr>
            </w:pPr>
            <w:r w:rsidRPr="005B4A8D">
              <w:rPr>
                <w:rFonts w:ascii="Calibri" w:hAnsi="Calibri"/>
                <w:color w:val="000000"/>
                <w:sz w:val="22"/>
                <w:szCs w:val="22"/>
              </w:rPr>
              <w:t>£2,781,244</w:t>
            </w:r>
          </w:p>
        </w:tc>
        <w:tc>
          <w:tcPr>
            <w:tcW w:w="1984" w:type="dxa"/>
            <w:shd w:val="clear" w:color="auto" w:fill="auto"/>
            <w:noWrap/>
            <w:vAlign w:val="bottom"/>
            <w:hideMark/>
          </w:tcPr>
          <w:p w14:paraId="6A4DF1B3" w14:textId="77777777" w:rsidR="003C1EBE" w:rsidRPr="005B4A8D" w:rsidRDefault="003C1EBE" w:rsidP="001731F1">
            <w:pPr>
              <w:jc w:val="right"/>
              <w:rPr>
                <w:rFonts w:ascii="Calibri" w:hAnsi="Calibri"/>
                <w:color w:val="000000"/>
                <w:sz w:val="22"/>
                <w:szCs w:val="22"/>
              </w:rPr>
            </w:pPr>
            <w:r w:rsidRPr="005B4A8D">
              <w:rPr>
                <w:rFonts w:ascii="Calibri" w:hAnsi="Calibri"/>
                <w:color w:val="000000"/>
                <w:sz w:val="22"/>
                <w:szCs w:val="22"/>
              </w:rPr>
              <w:t>£2,479,940</w:t>
            </w:r>
          </w:p>
        </w:tc>
      </w:tr>
      <w:tr w:rsidR="003C1EBE" w:rsidRPr="005B4A8D" w14:paraId="3A83AB93" w14:textId="77777777" w:rsidTr="002D45C6">
        <w:trPr>
          <w:trHeight w:val="290"/>
        </w:trPr>
        <w:tc>
          <w:tcPr>
            <w:tcW w:w="4678" w:type="dxa"/>
            <w:shd w:val="clear" w:color="auto" w:fill="auto"/>
            <w:noWrap/>
            <w:vAlign w:val="bottom"/>
            <w:hideMark/>
          </w:tcPr>
          <w:p w14:paraId="316EFB15" w14:textId="77777777" w:rsidR="003C1EBE" w:rsidRPr="005B4A8D" w:rsidRDefault="003C1EBE" w:rsidP="001731F1">
            <w:pPr>
              <w:rPr>
                <w:rFonts w:ascii="Calibri" w:hAnsi="Calibri"/>
                <w:color w:val="000000"/>
                <w:sz w:val="22"/>
                <w:szCs w:val="22"/>
              </w:rPr>
            </w:pPr>
            <w:r w:rsidRPr="005B4A8D">
              <w:rPr>
                <w:rFonts w:ascii="Calibri" w:hAnsi="Calibri"/>
                <w:color w:val="000000"/>
                <w:sz w:val="22"/>
                <w:szCs w:val="22"/>
              </w:rPr>
              <w:t>Contingency</w:t>
            </w:r>
          </w:p>
        </w:tc>
        <w:tc>
          <w:tcPr>
            <w:tcW w:w="2126" w:type="dxa"/>
            <w:shd w:val="clear" w:color="auto" w:fill="auto"/>
            <w:noWrap/>
            <w:vAlign w:val="bottom"/>
            <w:hideMark/>
          </w:tcPr>
          <w:p w14:paraId="09A32B66" w14:textId="77777777" w:rsidR="003C1EBE" w:rsidRPr="005B4A8D" w:rsidRDefault="003C1EBE" w:rsidP="001731F1">
            <w:pPr>
              <w:jc w:val="right"/>
              <w:rPr>
                <w:rFonts w:ascii="Calibri" w:hAnsi="Calibri"/>
                <w:color w:val="000000"/>
                <w:sz w:val="22"/>
                <w:szCs w:val="22"/>
              </w:rPr>
            </w:pPr>
            <w:r w:rsidRPr="005B4A8D">
              <w:rPr>
                <w:rFonts w:ascii="Calibri" w:hAnsi="Calibri"/>
                <w:color w:val="000000"/>
                <w:sz w:val="22"/>
                <w:szCs w:val="22"/>
              </w:rPr>
              <w:t>£147,417</w:t>
            </w:r>
          </w:p>
        </w:tc>
        <w:tc>
          <w:tcPr>
            <w:tcW w:w="1984" w:type="dxa"/>
            <w:shd w:val="clear" w:color="auto" w:fill="auto"/>
            <w:noWrap/>
            <w:vAlign w:val="bottom"/>
            <w:hideMark/>
          </w:tcPr>
          <w:p w14:paraId="53C4A891" w14:textId="77777777" w:rsidR="003C1EBE" w:rsidRPr="005B4A8D" w:rsidRDefault="003C1EBE" w:rsidP="001731F1">
            <w:pPr>
              <w:jc w:val="right"/>
              <w:rPr>
                <w:rFonts w:ascii="Calibri" w:hAnsi="Calibri"/>
                <w:color w:val="000000"/>
                <w:sz w:val="22"/>
                <w:szCs w:val="22"/>
              </w:rPr>
            </w:pPr>
            <w:r w:rsidRPr="005B4A8D">
              <w:rPr>
                <w:rFonts w:ascii="Calibri" w:hAnsi="Calibri"/>
                <w:color w:val="000000"/>
                <w:sz w:val="22"/>
                <w:szCs w:val="22"/>
              </w:rPr>
              <w:t>£</w:t>
            </w:r>
            <w:r w:rsidR="002959FC" w:rsidRPr="005B4A8D">
              <w:rPr>
                <w:rFonts w:ascii="Calibri" w:hAnsi="Calibri"/>
                <w:color w:val="000000"/>
                <w:sz w:val="22"/>
                <w:szCs w:val="22"/>
              </w:rPr>
              <w:t>148,600</w:t>
            </w:r>
          </w:p>
        </w:tc>
      </w:tr>
      <w:tr w:rsidR="003C1EBE" w:rsidRPr="005B4A8D" w14:paraId="40894BA2" w14:textId="77777777" w:rsidTr="002D45C6">
        <w:trPr>
          <w:trHeight w:val="290"/>
        </w:trPr>
        <w:tc>
          <w:tcPr>
            <w:tcW w:w="4678" w:type="dxa"/>
            <w:shd w:val="clear" w:color="auto" w:fill="auto"/>
            <w:noWrap/>
            <w:vAlign w:val="bottom"/>
            <w:hideMark/>
          </w:tcPr>
          <w:p w14:paraId="685A0BA1" w14:textId="77777777" w:rsidR="003C1EBE" w:rsidRPr="001C5D12" w:rsidRDefault="003C1EBE" w:rsidP="001731F1">
            <w:pPr>
              <w:rPr>
                <w:rFonts w:ascii="Calibri" w:hAnsi="Calibri"/>
                <w:b/>
                <w:color w:val="000000"/>
                <w:sz w:val="22"/>
                <w:szCs w:val="22"/>
              </w:rPr>
            </w:pPr>
            <w:r w:rsidRPr="001C5D12">
              <w:rPr>
                <w:rFonts w:ascii="Calibri" w:hAnsi="Calibri"/>
                <w:b/>
                <w:color w:val="000000"/>
                <w:sz w:val="22"/>
                <w:szCs w:val="22"/>
              </w:rPr>
              <w:t>Balance</w:t>
            </w:r>
          </w:p>
        </w:tc>
        <w:tc>
          <w:tcPr>
            <w:tcW w:w="2126" w:type="dxa"/>
            <w:shd w:val="clear" w:color="auto" w:fill="auto"/>
            <w:noWrap/>
            <w:vAlign w:val="bottom"/>
            <w:hideMark/>
          </w:tcPr>
          <w:p w14:paraId="617D0889" w14:textId="77777777" w:rsidR="003C1EBE" w:rsidRPr="001C5D12" w:rsidRDefault="003C1EBE" w:rsidP="001731F1">
            <w:pPr>
              <w:jc w:val="right"/>
              <w:rPr>
                <w:rFonts w:ascii="Calibri" w:hAnsi="Calibri"/>
                <w:b/>
                <w:color w:val="000000"/>
                <w:sz w:val="22"/>
                <w:szCs w:val="22"/>
              </w:rPr>
            </w:pPr>
            <w:r w:rsidRPr="001C5D12">
              <w:rPr>
                <w:rFonts w:ascii="Calibri" w:hAnsi="Calibri"/>
                <w:b/>
                <w:color w:val="000000"/>
                <w:sz w:val="22"/>
                <w:szCs w:val="22"/>
              </w:rPr>
              <w:t>£0</w:t>
            </w:r>
          </w:p>
        </w:tc>
        <w:tc>
          <w:tcPr>
            <w:tcW w:w="1984" w:type="dxa"/>
            <w:shd w:val="clear" w:color="auto" w:fill="auto"/>
            <w:noWrap/>
            <w:vAlign w:val="bottom"/>
            <w:hideMark/>
          </w:tcPr>
          <w:p w14:paraId="14BD62F0" w14:textId="77777777" w:rsidR="003C1EBE" w:rsidRPr="001C5D12" w:rsidRDefault="003C1EBE" w:rsidP="001731F1">
            <w:pPr>
              <w:jc w:val="right"/>
              <w:rPr>
                <w:rFonts w:ascii="Calibri" w:hAnsi="Calibri"/>
                <w:b/>
                <w:color w:val="000000"/>
                <w:sz w:val="22"/>
                <w:szCs w:val="22"/>
              </w:rPr>
            </w:pPr>
            <w:r w:rsidRPr="001C5D12">
              <w:rPr>
                <w:rFonts w:ascii="Calibri" w:hAnsi="Calibri"/>
                <w:b/>
                <w:color w:val="FF0000"/>
                <w:sz w:val="22"/>
                <w:szCs w:val="22"/>
              </w:rPr>
              <w:t>(£</w:t>
            </w:r>
            <w:r w:rsidR="002959FC" w:rsidRPr="001C5D12">
              <w:rPr>
                <w:rFonts w:ascii="Calibri" w:hAnsi="Calibri"/>
                <w:b/>
                <w:color w:val="FF0000"/>
                <w:sz w:val="22"/>
                <w:szCs w:val="22"/>
              </w:rPr>
              <w:t>300,121</w:t>
            </w:r>
            <w:r w:rsidRPr="001C5D12">
              <w:rPr>
                <w:rFonts w:ascii="Calibri" w:hAnsi="Calibri"/>
                <w:b/>
                <w:color w:val="FF0000"/>
                <w:sz w:val="22"/>
                <w:szCs w:val="22"/>
              </w:rPr>
              <w:t>)</w:t>
            </w:r>
          </w:p>
        </w:tc>
      </w:tr>
    </w:tbl>
    <w:p w14:paraId="6E275366" w14:textId="77777777" w:rsidR="001731F1" w:rsidRPr="005B4A8D" w:rsidRDefault="001731F1" w:rsidP="001731F1"/>
    <w:p w14:paraId="75B7702E" w14:textId="77777777" w:rsidR="002B04ED" w:rsidRPr="00197868" w:rsidRDefault="002B04ED" w:rsidP="00197868">
      <w:pPr>
        <w:ind w:left="709"/>
        <w:jc w:val="both"/>
        <w:rPr>
          <w:sz w:val="23"/>
          <w:szCs w:val="23"/>
        </w:rPr>
      </w:pPr>
      <w:r w:rsidRPr="00197868">
        <w:rPr>
          <w:sz w:val="23"/>
          <w:szCs w:val="23"/>
        </w:rPr>
        <w:tab/>
        <w:t xml:space="preserve">Table </w:t>
      </w:r>
      <w:r w:rsidR="002959FC" w:rsidRPr="00197868">
        <w:rPr>
          <w:sz w:val="23"/>
          <w:szCs w:val="23"/>
        </w:rPr>
        <w:t>3: Projected schools block outturn for 2018/19.</w:t>
      </w:r>
    </w:p>
    <w:p w14:paraId="195785EE" w14:textId="77777777" w:rsidR="002B04ED" w:rsidRPr="005B4A8D" w:rsidRDefault="002B04ED" w:rsidP="001731F1"/>
    <w:p w14:paraId="4DB9C09F" w14:textId="77777777" w:rsidR="001731F1" w:rsidRPr="005B4A8D" w:rsidRDefault="001731F1" w:rsidP="00494474">
      <w:pPr>
        <w:ind w:left="720"/>
        <w:jc w:val="both"/>
      </w:pPr>
      <w:r w:rsidRPr="005B4A8D">
        <w:lastRenderedPageBreak/>
        <w:t xml:space="preserve">The </w:t>
      </w:r>
      <w:r w:rsidR="00684845" w:rsidRPr="005B4A8D">
        <w:t>g</w:t>
      </w:r>
      <w:r w:rsidRPr="005B4A8D">
        <w:t xml:space="preserve">rowth </w:t>
      </w:r>
      <w:r w:rsidR="00684845" w:rsidRPr="005B4A8D">
        <w:t>f</w:t>
      </w:r>
      <w:r w:rsidRPr="005B4A8D">
        <w:t xml:space="preserve">und allocation is underspent reflecting a reduced requirement for </w:t>
      </w:r>
      <w:r w:rsidR="00684845" w:rsidRPr="005B4A8D">
        <w:t>s</w:t>
      </w:r>
      <w:r w:rsidRPr="005B4A8D">
        <w:t xml:space="preserve">econdary place growth and two fewer classes at Eastbrook school.  The forecast assumes </w:t>
      </w:r>
      <w:r w:rsidR="00FF2954" w:rsidRPr="005B4A8D">
        <w:t xml:space="preserve">a reduced </w:t>
      </w:r>
      <w:r w:rsidRPr="005B4A8D">
        <w:t>contingency</w:t>
      </w:r>
      <w:r w:rsidR="00FF2954" w:rsidRPr="005B4A8D">
        <w:t xml:space="preserve"> for growth (4 months provision for one primary and on</w:t>
      </w:r>
      <w:r w:rsidR="00734C81" w:rsidRPr="005B4A8D">
        <w:t>e</w:t>
      </w:r>
      <w:r w:rsidR="00FF2954" w:rsidRPr="005B4A8D">
        <w:t xml:space="preserve"> secondary)</w:t>
      </w:r>
      <w:r w:rsidRPr="005B4A8D">
        <w:t xml:space="preserve"> </w:t>
      </w:r>
      <w:r w:rsidR="00FF2954" w:rsidRPr="005B4A8D">
        <w:t>and other provisions for in</w:t>
      </w:r>
      <w:r w:rsidR="0077740F">
        <w:t xml:space="preserve"> </w:t>
      </w:r>
      <w:r w:rsidR="00FF2954" w:rsidRPr="005B4A8D">
        <w:t>year business rate</w:t>
      </w:r>
      <w:r w:rsidR="00734C81" w:rsidRPr="005B4A8D">
        <w:t xml:space="preserve">s </w:t>
      </w:r>
      <w:r w:rsidR="00FF2954" w:rsidRPr="005B4A8D">
        <w:t>no</w:t>
      </w:r>
      <w:r w:rsidR="00734C81" w:rsidRPr="005B4A8D">
        <w:t>t</w:t>
      </w:r>
      <w:r w:rsidR="00FF2954" w:rsidRPr="005B4A8D">
        <w:t xml:space="preserve"> previously factored in</w:t>
      </w:r>
      <w:r w:rsidRPr="005B4A8D">
        <w:t xml:space="preserve">.  Any underspend on the </w:t>
      </w:r>
      <w:r w:rsidR="00684845" w:rsidRPr="005B4A8D">
        <w:t>s</w:t>
      </w:r>
      <w:r w:rsidRPr="005B4A8D">
        <w:t xml:space="preserve">chools </w:t>
      </w:r>
      <w:r w:rsidR="00684845" w:rsidRPr="005B4A8D">
        <w:t>b</w:t>
      </w:r>
      <w:r w:rsidRPr="005B4A8D">
        <w:t xml:space="preserve">lock can be retained by the authority as part of the DSG reserve for use in future years.  </w:t>
      </w:r>
    </w:p>
    <w:p w14:paraId="6A1F6056" w14:textId="77777777" w:rsidR="001731F1" w:rsidRPr="005B4A8D" w:rsidRDefault="001731F1" w:rsidP="001731F1"/>
    <w:bookmarkEnd w:id="2"/>
    <w:p w14:paraId="50BFB582" w14:textId="77777777" w:rsidR="0077740F" w:rsidRDefault="00B27E6B" w:rsidP="00621F58">
      <w:pPr>
        <w:pStyle w:val="ListParagraph"/>
        <w:numPr>
          <w:ilvl w:val="1"/>
          <w:numId w:val="2"/>
        </w:numPr>
        <w:tabs>
          <w:tab w:val="clear" w:pos="360"/>
        </w:tabs>
        <w:ind w:left="720" w:hanging="720"/>
        <w:jc w:val="both"/>
      </w:pPr>
      <w:r w:rsidRPr="0077740F">
        <w:t xml:space="preserve">Early </w:t>
      </w:r>
      <w:r w:rsidR="00684845" w:rsidRPr="0077740F">
        <w:t>y</w:t>
      </w:r>
      <w:r w:rsidRPr="0077740F">
        <w:t>ears</w:t>
      </w:r>
      <w:r w:rsidRPr="005B4A8D">
        <w:t xml:space="preserve"> is reporting a </w:t>
      </w:r>
      <w:r w:rsidR="003C1EBE" w:rsidRPr="005B4A8D">
        <w:t xml:space="preserve">reduction in expenditure of </w:t>
      </w:r>
      <w:r w:rsidRPr="005B4A8D">
        <w:t>£2</w:t>
      </w:r>
      <w:r w:rsidR="003E2AE5">
        <w:t>.</w:t>
      </w:r>
      <w:r w:rsidRPr="005B4A8D">
        <w:t>100</w:t>
      </w:r>
      <w:r w:rsidR="003E2AE5">
        <w:t>m</w:t>
      </w:r>
      <w:r w:rsidR="003C1EBE" w:rsidRPr="005B4A8D">
        <w:t>, of which £904k has been factored into the revised funding forecast</w:t>
      </w:r>
      <w:r w:rsidR="00621F58" w:rsidRPr="005B4A8D">
        <w:t xml:space="preserve"> of £21</w:t>
      </w:r>
      <w:r w:rsidR="003E2AE5">
        <w:t>.</w:t>
      </w:r>
      <w:r w:rsidR="00621F58" w:rsidRPr="005B4A8D">
        <w:t>319</w:t>
      </w:r>
      <w:r w:rsidR="003E2AE5">
        <w:t>m</w:t>
      </w:r>
      <w:r w:rsidR="00621F58" w:rsidRPr="005B4A8D">
        <w:t>. It is also anticipated that there would be further reduction of £1</w:t>
      </w:r>
      <w:r w:rsidR="003E2AE5">
        <w:t>.</w:t>
      </w:r>
      <w:r w:rsidR="00621F58" w:rsidRPr="005B4A8D">
        <w:t>196</w:t>
      </w:r>
      <w:r w:rsidR="003E2AE5">
        <w:t>m</w:t>
      </w:r>
      <w:r w:rsidR="00621F58" w:rsidRPr="005B4A8D">
        <w:t xml:space="preserve"> to the early years block.</w:t>
      </w:r>
      <w:r w:rsidRPr="005B4A8D">
        <w:t xml:space="preserve"> </w:t>
      </w:r>
    </w:p>
    <w:p w14:paraId="65A31623" w14:textId="77777777" w:rsidR="0077740F" w:rsidRDefault="0077740F" w:rsidP="0077740F">
      <w:pPr>
        <w:pStyle w:val="ListParagraph"/>
        <w:jc w:val="both"/>
      </w:pPr>
    </w:p>
    <w:p w14:paraId="3C953BB8" w14:textId="77777777" w:rsidR="00024035" w:rsidRPr="005B4A8D" w:rsidRDefault="00B27E6B" w:rsidP="00621F58">
      <w:pPr>
        <w:pStyle w:val="ListParagraph"/>
        <w:numPr>
          <w:ilvl w:val="1"/>
          <w:numId w:val="2"/>
        </w:numPr>
        <w:tabs>
          <w:tab w:val="clear" w:pos="360"/>
        </w:tabs>
        <w:ind w:left="720" w:hanging="720"/>
        <w:jc w:val="both"/>
      </w:pPr>
      <w:r w:rsidRPr="005B4A8D">
        <w:t>Th</w:t>
      </w:r>
      <w:r w:rsidR="00621F58" w:rsidRPr="005B4A8D">
        <w:t>e reduction in early years expenditure is due</w:t>
      </w:r>
      <w:r w:rsidR="00734C81" w:rsidRPr="005B4A8D">
        <w:t xml:space="preserve"> to lower than expected </w:t>
      </w:r>
      <w:r w:rsidRPr="005B4A8D">
        <w:t>take up</w:t>
      </w:r>
      <w:r w:rsidR="00621F58" w:rsidRPr="005B4A8D">
        <w:t xml:space="preserve"> of places</w:t>
      </w:r>
      <w:r w:rsidRPr="005B4A8D">
        <w:t xml:space="preserve">. The local authority is currently looking at ways of </w:t>
      </w:r>
      <w:r w:rsidR="00734C81" w:rsidRPr="005B4A8D">
        <w:t xml:space="preserve">attracting </w:t>
      </w:r>
      <w:r w:rsidRPr="005B4A8D">
        <w:t>families to encourage take up of 3 and 4 year old places. The</w:t>
      </w:r>
      <w:r w:rsidR="00621F58" w:rsidRPr="005B4A8D">
        <w:t xml:space="preserve"> falling numbers</w:t>
      </w:r>
      <w:r w:rsidRPr="005B4A8D">
        <w:t xml:space="preserve"> are impacting PVIs and </w:t>
      </w:r>
      <w:r w:rsidR="00684845" w:rsidRPr="005B4A8D">
        <w:t>s</w:t>
      </w:r>
      <w:r w:rsidRPr="005B4A8D">
        <w:t xml:space="preserve">chools differently, whilst school numbers are falling the numbers in PVIs are increasing. </w:t>
      </w:r>
      <w:r w:rsidR="00024035" w:rsidRPr="005B4A8D">
        <w:t>There is no fall in take up of 2 year old places and this continues to rise year on year.  The overall reduction in funding will have</w:t>
      </w:r>
      <w:r w:rsidR="00734C81" w:rsidRPr="005B4A8D">
        <w:t xml:space="preserve"> an</w:t>
      </w:r>
      <w:r w:rsidR="00024035" w:rsidRPr="005B4A8D">
        <w:t xml:space="preserve"> impact on centrally retained funding, which is limited to 5% of the budget.</w:t>
      </w:r>
      <w:r w:rsidR="001731F1" w:rsidRPr="005B4A8D">
        <w:t xml:space="preserve">  Most of this underspend will be clawed back by the DfE and not retained by the Local Authority.  </w:t>
      </w:r>
    </w:p>
    <w:p w14:paraId="4420D71D" w14:textId="77777777" w:rsidR="00024035" w:rsidRPr="005B4A8D" w:rsidRDefault="00024035" w:rsidP="00494474">
      <w:pPr>
        <w:pStyle w:val="ListParagraph"/>
        <w:jc w:val="both"/>
      </w:pPr>
    </w:p>
    <w:p w14:paraId="3AE94223" w14:textId="77777777" w:rsidR="00CD1248" w:rsidRPr="005B4A8D" w:rsidRDefault="005B35C5" w:rsidP="00494474">
      <w:pPr>
        <w:pStyle w:val="ListParagraph"/>
        <w:numPr>
          <w:ilvl w:val="1"/>
          <w:numId w:val="2"/>
        </w:numPr>
        <w:tabs>
          <w:tab w:val="clear" w:pos="360"/>
        </w:tabs>
        <w:ind w:left="720" w:hanging="720"/>
        <w:jc w:val="both"/>
      </w:pPr>
      <w:r w:rsidRPr="005B4A8D">
        <w:t xml:space="preserve">The take up of extended entitlement </w:t>
      </w:r>
      <w:r w:rsidR="00B27E6B" w:rsidRPr="005B4A8D">
        <w:t xml:space="preserve">(30 hours) is </w:t>
      </w:r>
      <w:r w:rsidRPr="005B4A8D">
        <w:t>also low. T</w:t>
      </w:r>
      <w:r w:rsidR="00B27E6B" w:rsidRPr="005B4A8D">
        <w:t>he local authority has no leverage in terms of encouraging take up other than generic marketing.</w:t>
      </w:r>
    </w:p>
    <w:p w14:paraId="219B00F3" w14:textId="77777777" w:rsidR="00CD1248" w:rsidRPr="005B4A8D" w:rsidRDefault="00CD1248" w:rsidP="00494474">
      <w:pPr>
        <w:pStyle w:val="ListParagraph"/>
        <w:jc w:val="both"/>
      </w:pPr>
    </w:p>
    <w:p w14:paraId="528021A6" w14:textId="77777777" w:rsidR="00CD1248" w:rsidRPr="005B4A8D" w:rsidRDefault="00CD1248" w:rsidP="00494474">
      <w:pPr>
        <w:pStyle w:val="ListParagraph"/>
        <w:numPr>
          <w:ilvl w:val="1"/>
          <w:numId w:val="2"/>
        </w:numPr>
        <w:tabs>
          <w:tab w:val="clear" w:pos="360"/>
        </w:tabs>
        <w:ind w:left="720" w:hanging="720"/>
        <w:jc w:val="both"/>
      </w:pPr>
      <w:r w:rsidRPr="005B4A8D">
        <w:t xml:space="preserve">The overall pressure within </w:t>
      </w:r>
      <w:r w:rsidR="00684845" w:rsidRPr="0077740F">
        <w:t>h</w:t>
      </w:r>
      <w:r w:rsidRPr="0077740F">
        <w:t xml:space="preserve">igh </w:t>
      </w:r>
      <w:r w:rsidR="00684845" w:rsidRPr="0077740F">
        <w:t>n</w:t>
      </w:r>
      <w:r w:rsidRPr="0077740F">
        <w:t>eeds</w:t>
      </w:r>
      <w:r w:rsidRPr="005B4A8D">
        <w:t xml:space="preserve"> is currently £2.2</w:t>
      </w:r>
      <w:r w:rsidR="00C01B1F">
        <w:t>1</w:t>
      </w:r>
      <w:r w:rsidR="0077740F">
        <w:t>4</w:t>
      </w:r>
      <w:r w:rsidRPr="005B4A8D">
        <w:t>m. This is based on the current level of placement data supplied by the service and other forecasts provided by the service managers. There are a number of mitigation measures being discussed to manage and reduce the level of the pressure including the following:</w:t>
      </w:r>
    </w:p>
    <w:p w14:paraId="1897C010" w14:textId="77777777" w:rsidR="00684845" w:rsidRPr="005B4A8D" w:rsidRDefault="00684845" w:rsidP="00684845">
      <w:pPr>
        <w:jc w:val="both"/>
      </w:pPr>
    </w:p>
    <w:p w14:paraId="10AFE8BA" w14:textId="77777777" w:rsidR="0017756C" w:rsidRDefault="0017756C" w:rsidP="0017756C">
      <w:pPr>
        <w:pStyle w:val="ListParagraph"/>
        <w:numPr>
          <w:ilvl w:val="0"/>
          <w:numId w:val="38"/>
        </w:numPr>
        <w:spacing w:after="160" w:line="256" w:lineRule="auto"/>
        <w:contextualSpacing/>
        <w:rPr>
          <w:rFonts w:asciiTheme="minorHAnsi" w:hAnsiTheme="minorHAnsi"/>
          <w:sz w:val="22"/>
          <w:szCs w:val="22"/>
        </w:rPr>
      </w:pPr>
      <w:r>
        <w:t>Alternative Provision (AP) review in conjunction with the recent Education Select committee reporting and income generation plus alternative ways of supporting the placements to offset the pressure within the AP area and outturn within the budget envelope for the service</w:t>
      </w:r>
    </w:p>
    <w:p w14:paraId="477FE2EA" w14:textId="77777777" w:rsidR="0017756C" w:rsidRDefault="0017756C" w:rsidP="0017756C">
      <w:pPr>
        <w:pStyle w:val="ListParagraph"/>
        <w:numPr>
          <w:ilvl w:val="0"/>
          <w:numId w:val="38"/>
        </w:numPr>
        <w:spacing w:after="160" w:line="256" w:lineRule="auto"/>
        <w:contextualSpacing/>
      </w:pPr>
      <w:r>
        <w:t>Pupil Referral Unit (PRU) review as part of the AP umbrella service.</w:t>
      </w:r>
    </w:p>
    <w:p w14:paraId="1030FF75" w14:textId="77777777" w:rsidR="0017756C" w:rsidRDefault="0017756C" w:rsidP="0017756C">
      <w:pPr>
        <w:pStyle w:val="ListParagraph"/>
        <w:numPr>
          <w:ilvl w:val="0"/>
          <w:numId w:val="38"/>
        </w:numPr>
        <w:spacing w:after="160" w:line="256" w:lineRule="auto"/>
        <w:contextualSpacing/>
      </w:pPr>
      <w:r>
        <w:t>Ongoing review work of non-maintained and out of Borough placements into suitable inhouse provision for example expansions of ARP provisions and redesign of 6</w:t>
      </w:r>
      <w:r>
        <w:rPr>
          <w:vertAlign w:val="superscript"/>
        </w:rPr>
        <w:t>th</w:t>
      </w:r>
      <w:r>
        <w:t xml:space="preserve"> Day respite for primary aged children.</w:t>
      </w:r>
    </w:p>
    <w:p w14:paraId="42C4D3D1" w14:textId="77777777" w:rsidR="0017756C" w:rsidRDefault="0017756C" w:rsidP="0017756C">
      <w:pPr>
        <w:pStyle w:val="ListParagraph"/>
        <w:numPr>
          <w:ilvl w:val="0"/>
          <w:numId w:val="38"/>
        </w:numPr>
        <w:spacing w:after="160" w:line="256" w:lineRule="auto"/>
        <w:contextualSpacing/>
      </w:pPr>
      <w:r>
        <w:t>Establishment of Post 16 top up payment Panel meetings in align with Pre-16 top up payment Panel meetings</w:t>
      </w:r>
    </w:p>
    <w:p w14:paraId="13FEC821" w14:textId="77777777" w:rsidR="0017756C" w:rsidRDefault="0017756C" w:rsidP="0017756C">
      <w:pPr>
        <w:pStyle w:val="ListParagraph"/>
        <w:numPr>
          <w:ilvl w:val="0"/>
          <w:numId w:val="38"/>
        </w:numPr>
        <w:spacing w:after="160" w:line="256" w:lineRule="auto"/>
        <w:contextualSpacing/>
      </w:pPr>
      <w:r>
        <w:t>Census data training and awareness of linkage with funding for Special Education Needs (SEN) for schools recording</w:t>
      </w:r>
    </w:p>
    <w:p w14:paraId="30504D3E" w14:textId="77777777" w:rsidR="0017756C" w:rsidRDefault="0017756C" w:rsidP="0017756C">
      <w:pPr>
        <w:pStyle w:val="ListParagraph"/>
        <w:numPr>
          <w:ilvl w:val="0"/>
          <w:numId w:val="38"/>
        </w:numPr>
        <w:spacing w:after="160" w:line="256" w:lineRule="auto"/>
        <w:contextualSpacing/>
      </w:pPr>
      <w:r>
        <w:t>Review vacant ARP places and redesign funding in accordance to SEN demand and forecast places including external reviews undertaken.</w:t>
      </w:r>
    </w:p>
    <w:p w14:paraId="13B0004B" w14:textId="77777777" w:rsidR="00CD1248" w:rsidRPr="005B4A8D" w:rsidRDefault="00CD1248" w:rsidP="00494474">
      <w:pPr>
        <w:ind w:left="720" w:hanging="720"/>
        <w:jc w:val="both"/>
      </w:pPr>
      <w:r w:rsidRPr="005B4A8D">
        <w:t>3.6</w:t>
      </w:r>
      <w:r w:rsidRPr="005B4A8D">
        <w:tab/>
        <w:t>If management action is successful this should reduce the pressure to £1.5</w:t>
      </w:r>
      <w:r w:rsidR="00396A9F">
        <w:t>00</w:t>
      </w:r>
      <w:r w:rsidRPr="005B4A8D">
        <w:t>m by year end.  However</w:t>
      </w:r>
      <w:r w:rsidR="00684845" w:rsidRPr="005B4A8D">
        <w:t>,</w:t>
      </w:r>
      <w:r w:rsidRPr="005B4A8D">
        <w:t xml:space="preserve"> the </w:t>
      </w:r>
      <w:proofErr w:type="gramStart"/>
      <w:r w:rsidR="0017756C" w:rsidRPr="005B4A8D">
        <w:t>worst case</w:t>
      </w:r>
      <w:proofErr w:type="gramEnd"/>
      <w:r w:rsidRPr="005B4A8D">
        <w:t xml:space="preserve"> scenario of £2.2</w:t>
      </w:r>
      <w:r w:rsidR="00C01B1F">
        <w:t>1</w:t>
      </w:r>
      <w:r w:rsidR="0077740F">
        <w:t>4</w:t>
      </w:r>
      <w:r w:rsidRPr="005B4A8D">
        <w:t xml:space="preserve">m is shown in the forecast above. A key factor </w:t>
      </w:r>
      <w:r w:rsidR="00394013" w:rsidRPr="005B4A8D">
        <w:t xml:space="preserve">in containing and reducing costs is the availability of suitable provision in the borough and it is not clear that much more progress will be made on this within this financial year.  </w:t>
      </w:r>
    </w:p>
    <w:p w14:paraId="6207FCA2" w14:textId="77777777" w:rsidR="00CD1248" w:rsidRPr="005B4A8D" w:rsidRDefault="00CD1248" w:rsidP="00494474">
      <w:pPr>
        <w:jc w:val="both"/>
      </w:pPr>
    </w:p>
    <w:p w14:paraId="6773C650" w14:textId="77777777" w:rsidR="008F20C7" w:rsidRPr="005B4A8D" w:rsidRDefault="00394013" w:rsidP="002D45C6">
      <w:pPr>
        <w:pStyle w:val="ListParagraph"/>
        <w:numPr>
          <w:ilvl w:val="1"/>
          <w:numId w:val="38"/>
        </w:numPr>
        <w:ind w:left="709"/>
        <w:jc w:val="both"/>
      </w:pPr>
      <w:r w:rsidRPr="005B4A8D">
        <w:t xml:space="preserve">The combined impact of the variances on the blocks will be a reduction in the DSG reserve balance.  This reduces our capacity to manage future pressures. </w:t>
      </w:r>
    </w:p>
    <w:p w14:paraId="5F8BE7BE" w14:textId="77777777" w:rsidR="008F20C7" w:rsidRDefault="008F20C7" w:rsidP="008F20C7">
      <w:pPr>
        <w:ind w:left="720"/>
        <w:jc w:val="both"/>
        <w:rPr>
          <w:rFonts w:cs="Arial"/>
          <w:b/>
          <w:u w:val="single"/>
        </w:rPr>
      </w:pPr>
    </w:p>
    <w:p w14:paraId="15464775" w14:textId="77777777" w:rsidR="008F20C7" w:rsidRPr="001C5D12" w:rsidRDefault="008F20C7" w:rsidP="002D45C6">
      <w:pPr>
        <w:pBdr>
          <w:top w:val="single" w:sz="12" w:space="1" w:color="auto"/>
          <w:left w:val="single" w:sz="12" w:space="4" w:color="auto"/>
          <w:bottom w:val="single" w:sz="12" w:space="1" w:color="auto"/>
          <w:right w:val="single" w:sz="12" w:space="4" w:color="auto"/>
        </w:pBdr>
        <w:ind w:left="720"/>
        <w:jc w:val="both"/>
        <w:rPr>
          <w:rFonts w:cs="Arial"/>
        </w:rPr>
      </w:pPr>
      <w:bookmarkStart w:id="3" w:name="_Hlk527022637"/>
      <w:r w:rsidRPr="001A32DF">
        <w:rPr>
          <w:rFonts w:cs="Arial"/>
          <w:b/>
          <w:u w:val="single"/>
        </w:rPr>
        <w:t>Recommendation</w:t>
      </w:r>
      <w:r>
        <w:rPr>
          <w:rFonts w:cs="Arial"/>
          <w:b/>
          <w:u w:val="single"/>
        </w:rPr>
        <w:t xml:space="preserve"> (ii)</w:t>
      </w:r>
      <w:r w:rsidRPr="001A32DF">
        <w:rPr>
          <w:rFonts w:cs="Arial"/>
          <w:b/>
          <w:u w:val="single"/>
        </w:rPr>
        <w:t>:</w:t>
      </w:r>
      <w:r w:rsidRPr="001C5D12">
        <w:rPr>
          <w:rFonts w:cs="Arial"/>
        </w:rPr>
        <w:t xml:space="preserve"> Schools forum are requested to </w:t>
      </w:r>
      <w:r>
        <w:rPr>
          <w:rFonts w:cs="Arial"/>
        </w:rPr>
        <w:t>note DSG 2018/19 forecast outturn position.</w:t>
      </w:r>
      <w:bookmarkEnd w:id="3"/>
    </w:p>
    <w:p w14:paraId="44300867" w14:textId="77777777" w:rsidR="00394013" w:rsidRPr="005B4A8D" w:rsidRDefault="00394013" w:rsidP="00494474">
      <w:pPr>
        <w:ind w:left="720" w:hanging="720"/>
        <w:jc w:val="both"/>
      </w:pPr>
    </w:p>
    <w:p w14:paraId="01BF3A67" w14:textId="77777777" w:rsidR="00A94CA9" w:rsidRPr="005B4A8D" w:rsidRDefault="00A94CA9" w:rsidP="00A94CA9">
      <w:pPr>
        <w:pStyle w:val="ListParagraph"/>
        <w:numPr>
          <w:ilvl w:val="0"/>
          <w:numId w:val="2"/>
        </w:numPr>
        <w:jc w:val="both"/>
        <w:rPr>
          <w:rFonts w:cs="Arial"/>
          <w:b/>
        </w:rPr>
      </w:pPr>
      <w:r w:rsidRPr="005B4A8D">
        <w:rPr>
          <w:rFonts w:cs="Arial"/>
          <w:b/>
        </w:rPr>
        <w:t xml:space="preserve">Growth </w:t>
      </w:r>
      <w:r w:rsidR="00684845" w:rsidRPr="005B4A8D">
        <w:rPr>
          <w:rFonts w:cs="Arial"/>
          <w:b/>
        </w:rPr>
        <w:t>f</w:t>
      </w:r>
      <w:r w:rsidRPr="005B4A8D">
        <w:rPr>
          <w:rFonts w:cs="Arial"/>
          <w:b/>
        </w:rPr>
        <w:t xml:space="preserve">und </w:t>
      </w:r>
      <w:r w:rsidR="00E53E6A" w:rsidRPr="005B4A8D">
        <w:rPr>
          <w:rFonts w:cs="Arial"/>
          <w:b/>
        </w:rPr>
        <w:t xml:space="preserve">and </w:t>
      </w:r>
      <w:r w:rsidR="00684845" w:rsidRPr="005B4A8D">
        <w:rPr>
          <w:rFonts w:cs="Arial"/>
          <w:b/>
        </w:rPr>
        <w:t>f</w:t>
      </w:r>
      <w:r w:rsidR="00E53E6A" w:rsidRPr="005B4A8D">
        <w:rPr>
          <w:rFonts w:cs="Arial"/>
          <w:b/>
        </w:rPr>
        <w:t xml:space="preserve">alling </w:t>
      </w:r>
      <w:r w:rsidR="00684845" w:rsidRPr="005B4A8D">
        <w:rPr>
          <w:rFonts w:cs="Arial"/>
          <w:b/>
        </w:rPr>
        <w:t>r</w:t>
      </w:r>
      <w:r w:rsidR="00E53E6A" w:rsidRPr="005B4A8D">
        <w:rPr>
          <w:rFonts w:cs="Arial"/>
          <w:b/>
        </w:rPr>
        <w:t xml:space="preserve">olls </w:t>
      </w:r>
      <w:r w:rsidRPr="005B4A8D">
        <w:rPr>
          <w:rFonts w:cs="Arial"/>
          <w:b/>
        </w:rPr>
        <w:t>2018/19</w:t>
      </w:r>
    </w:p>
    <w:p w14:paraId="203032DF" w14:textId="77777777" w:rsidR="00A94CA9" w:rsidRPr="005B4A8D" w:rsidRDefault="00A94CA9" w:rsidP="00A94CA9">
      <w:pPr>
        <w:pStyle w:val="ListParagraph"/>
        <w:jc w:val="both"/>
        <w:rPr>
          <w:rFonts w:cs="Arial"/>
          <w:b/>
        </w:rPr>
      </w:pPr>
    </w:p>
    <w:p w14:paraId="741C6A5B" w14:textId="77777777" w:rsidR="001B0526" w:rsidRPr="005B4A8D" w:rsidRDefault="00107B00" w:rsidP="00494474">
      <w:pPr>
        <w:pStyle w:val="ListParagraph"/>
        <w:numPr>
          <w:ilvl w:val="1"/>
          <w:numId w:val="2"/>
        </w:numPr>
        <w:tabs>
          <w:tab w:val="clear" w:pos="360"/>
        </w:tabs>
        <w:ind w:left="709" w:hanging="709"/>
        <w:jc w:val="both"/>
      </w:pPr>
      <w:r w:rsidRPr="005B4A8D">
        <w:t>In the 2018/19 budget setting process an allocation of £2.</w:t>
      </w:r>
      <w:r w:rsidR="00FF2954" w:rsidRPr="005B4A8D">
        <w:t>8</w:t>
      </w:r>
      <w:r w:rsidRPr="005B4A8D">
        <w:t xml:space="preserve">m was made for the </w:t>
      </w:r>
      <w:r w:rsidR="00684845" w:rsidRPr="005B4A8D">
        <w:t>g</w:t>
      </w:r>
      <w:r w:rsidRPr="005B4A8D">
        <w:t xml:space="preserve">rowth </w:t>
      </w:r>
      <w:r w:rsidR="00684845" w:rsidRPr="005B4A8D">
        <w:t>f</w:t>
      </w:r>
      <w:r w:rsidRPr="005B4A8D">
        <w:t xml:space="preserve">und. </w:t>
      </w:r>
      <w:r w:rsidR="001B0526" w:rsidRPr="005B4A8D">
        <w:t>This was sufficient to provide funding for fourteen new primary classes and twenty three secondary (four of which were not allocated to particular schools but for which funding was held as an additional planning contingency)</w:t>
      </w:r>
      <w:r w:rsidR="00684845" w:rsidRPr="005B4A8D">
        <w:t>.</w:t>
      </w:r>
      <w:r w:rsidR="001B0526" w:rsidRPr="005B4A8D">
        <w:t xml:space="preserve">  </w:t>
      </w:r>
    </w:p>
    <w:p w14:paraId="012911A2" w14:textId="77777777" w:rsidR="001B0526" w:rsidRPr="005B4A8D" w:rsidRDefault="001B0526" w:rsidP="00494474">
      <w:pPr>
        <w:pStyle w:val="ListParagraph"/>
        <w:ind w:left="709"/>
        <w:jc w:val="both"/>
      </w:pPr>
    </w:p>
    <w:p w14:paraId="1F962EF9" w14:textId="77777777" w:rsidR="00A94CA9" w:rsidRPr="005B4A8D" w:rsidRDefault="001B0526" w:rsidP="00494474">
      <w:pPr>
        <w:pStyle w:val="ListParagraph"/>
        <w:numPr>
          <w:ilvl w:val="1"/>
          <w:numId w:val="2"/>
        </w:numPr>
        <w:tabs>
          <w:tab w:val="clear" w:pos="360"/>
        </w:tabs>
        <w:ind w:left="709" w:hanging="709"/>
        <w:jc w:val="both"/>
      </w:pPr>
      <w:r w:rsidRPr="005B4A8D">
        <w:t>Based on the latest position funding has been allocated for twelve new primary classes and eighteen new secondary (not including the four contingency places)</w:t>
      </w:r>
      <w:r w:rsidR="00684845" w:rsidRPr="005B4A8D">
        <w:t>.</w:t>
      </w:r>
      <w:r w:rsidRPr="005B4A8D">
        <w:t xml:space="preserve">  </w:t>
      </w:r>
    </w:p>
    <w:p w14:paraId="5F94C5FF" w14:textId="77777777" w:rsidR="00EA2372" w:rsidRPr="005B4A8D" w:rsidRDefault="00EA2372" w:rsidP="001C5D12">
      <w:pPr>
        <w:pStyle w:val="ListParagraph"/>
      </w:pPr>
    </w:p>
    <w:p w14:paraId="697CAE2D" w14:textId="77777777" w:rsidR="00EA2372" w:rsidRPr="005B4A8D" w:rsidRDefault="00EA2372" w:rsidP="00494474">
      <w:pPr>
        <w:pStyle w:val="ListParagraph"/>
        <w:numPr>
          <w:ilvl w:val="1"/>
          <w:numId w:val="2"/>
        </w:numPr>
        <w:tabs>
          <w:tab w:val="clear" w:pos="360"/>
        </w:tabs>
        <w:ind w:left="709" w:hanging="709"/>
        <w:jc w:val="both"/>
      </w:pPr>
      <w:r w:rsidRPr="005B4A8D">
        <w:t xml:space="preserve">There is </w:t>
      </w:r>
      <w:r w:rsidR="0077740F">
        <w:t xml:space="preserve">a </w:t>
      </w:r>
      <w:r w:rsidRPr="005B4A8D">
        <w:t>projected underspend of £300</w:t>
      </w:r>
      <w:r w:rsidR="002A6B6E">
        <w:t>k</w:t>
      </w:r>
      <w:r w:rsidRPr="005B4A8D">
        <w:t xml:space="preserve"> on the schools block which can be </w:t>
      </w:r>
      <w:r w:rsidR="00906F12" w:rsidRPr="005B4A8D">
        <w:t xml:space="preserve">used to create the falling roll fund. </w:t>
      </w:r>
      <w:r w:rsidRPr="005B4A8D">
        <w:t xml:space="preserve">There is provision in </w:t>
      </w:r>
      <w:r w:rsidR="00906F12" w:rsidRPr="005B4A8D">
        <w:t>contingency</w:t>
      </w:r>
      <w:r w:rsidRPr="005B4A8D">
        <w:t xml:space="preserve"> to fun</w:t>
      </w:r>
      <w:r w:rsidR="00906F12" w:rsidRPr="005B4A8D">
        <w:t xml:space="preserve">ding for further in-year growth for one primary and one secondary for the remaining part of the financial year. </w:t>
      </w:r>
    </w:p>
    <w:p w14:paraId="6F32D11B" w14:textId="77777777" w:rsidR="00A94CA9" w:rsidRPr="005B4A8D" w:rsidRDefault="00A94CA9" w:rsidP="00494474">
      <w:pPr>
        <w:jc w:val="both"/>
        <w:rPr>
          <w:rFonts w:cs="Arial"/>
          <w:b/>
        </w:rPr>
      </w:pPr>
    </w:p>
    <w:p w14:paraId="0B8CF412" w14:textId="77777777" w:rsidR="00ED2769" w:rsidRPr="005B4A8D" w:rsidRDefault="00ED2769" w:rsidP="00494474">
      <w:pPr>
        <w:pStyle w:val="ListParagraph"/>
        <w:numPr>
          <w:ilvl w:val="1"/>
          <w:numId w:val="2"/>
        </w:numPr>
        <w:tabs>
          <w:tab w:val="clear" w:pos="360"/>
        </w:tabs>
        <w:ind w:left="709" w:hanging="709"/>
        <w:jc w:val="both"/>
        <w:rPr>
          <w:b/>
        </w:rPr>
      </w:pPr>
      <w:r w:rsidRPr="005B4A8D">
        <w:t xml:space="preserve">In the </w:t>
      </w:r>
      <w:r w:rsidR="00684845" w:rsidRPr="005B4A8D">
        <w:t>s</w:t>
      </w:r>
      <w:r w:rsidRPr="005B4A8D">
        <w:t xml:space="preserve">ummer term </w:t>
      </w:r>
      <w:r w:rsidR="00684845" w:rsidRPr="005B4A8D">
        <w:t>s</w:t>
      </w:r>
      <w:r w:rsidRPr="005B4A8D">
        <w:t xml:space="preserve">chools </w:t>
      </w:r>
      <w:r w:rsidR="00684845" w:rsidRPr="005B4A8D">
        <w:t>f</w:t>
      </w:r>
      <w:r w:rsidRPr="005B4A8D">
        <w:t xml:space="preserve">orum identified that falling rolls was also becoming an issue for some schools in Barking and Dagenham and it was agreed that part of the growth fund should be used to provide support for schools in this situation.  </w:t>
      </w:r>
    </w:p>
    <w:p w14:paraId="397C025F" w14:textId="77777777" w:rsidR="00ED2769" w:rsidRPr="005B4A8D" w:rsidRDefault="00ED2769" w:rsidP="00494474">
      <w:pPr>
        <w:pStyle w:val="ListParagraph"/>
        <w:jc w:val="both"/>
      </w:pPr>
    </w:p>
    <w:p w14:paraId="6573DA50" w14:textId="77777777" w:rsidR="00ED2769" w:rsidRPr="005B4A8D" w:rsidRDefault="00ED2769" w:rsidP="00494474">
      <w:pPr>
        <w:pStyle w:val="ListParagraph"/>
        <w:numPr>
          <w:ilvl w:val="1"/>
          <w:numId w:val="2"/>
        </w:numPr>
        <w:tabs>
          <w:tab w:val="clear" w:pos="360"/>
        </w:tabs>
        <w:ind w:left="709" w:hanging="709"/>
        <w:jc w:val="both"/>
        <w:rPr>
          <w:b/>
        </w:rPr>
      </w:pPr>
      <w:r w:rsidRPr="005B4A8D">
        <w:t>The criteria agreed for this funding were as follows:</w:t>
      </w:r>
    </w:p>
    <w:p w14:paraId="288B2D2B" w14:textId="77777777" w:rsidR="00684845" w:rsidRPr="005B4A8D" w:rsidRDefault="00684845" w:rsidP="00684845">
      <w:pPr>
        <w:jc w:val="both"/>
        <w:rPr>
          <w:b/>
        </w:rPr>
      </w:pPr>
    </w:p>
    <w:p w14:paraId="7E5098FE" w14:textId="77777777" w:rsidR="00ED2769" w:rsidRPr="005B4A8D" w:rsidRDefault="00ED2769" w:rsidP="00494474">
      <w:pPr>
        <w:pStyle w:val="ListParagraph"/>
        <w:numPr>
          <w:ilvl w:val="0"/>
          <w:numId w:val="35"/>
        </w:numPr>
        <w:jc w:val="both"/>
      </w:pPr>
      <w:r w:rsidRPr="005B4A8D">
        <w:t>Only good or outstanding schools (this is a DfE requirement)</w:t>
      </w:r>
    </w:p>
    <w:p w14:paraId="750A4853" w14:textId="77777777" w:rsidR="00ED2769" w:rsidRPr="005B4A8D" w:rsidRDefault="00ED2769" w:rsidP="00494474">
      <w:pPr>
        <w:pStyle w:val="ListParagraph"/>
        <w:numPr>
          <w:ilvl w:val="0"/>
          <w:numId w:val="35"/>
        </w:numPr>
        <w:jc w:val="both"/>
      </w:pPr>
      <w:r w:rsidRPr="005B4A8D">
        <w:t xml:space="preserve">Confirmation from the </w:t>
      </w:r>
      <w:r w:rsidR="00684845" w:rsidRPr="005B4A8D">
        <w:t>s</w:t>
      </w:r>
      <w:r w:rsidRPr="005B4A8D">
        <w:t xml:space="preserve">chools </w:t>
      </w:r>
      <w:r w:rsidR="00684845" w:rsidRPr="005B4A8D">
        <w:t>p</w:t>
      </w:r>
      <w:r w:rsidRPr="005B4A8D">
        <w:t xml:space="preserve">lanning team that numbers are expected to rise again within three years.  This is expected to be the case for all schools in the local area.  </w:t>
      </w:r>
    </w:p>
    <w:p w14:paraId="26858254" w14:textId="77777777" w:rsidR="00ED2769" w:rsidRPr="005B4A8D" w:rsidRDefault="00ED2769" w:rsidP="00494474">
      <w:pPr>
        <w:pStyle w:val="ListParagraph"/>
        <w:numPr>
          <w:ilvl w:val="0"/>
          <w:numId w:val="35"/>
        </w:numPr>
        <w:jc w:val="both"/>
      </w:pPr>
      <w:r w:rsidRPr="005B4A8D">
        <w:t xml:space="preserve">A significant reduction in numbers on roll.  It was agreed that this should be defined as a more than 5% drop in the numbers on roll between two censuses.  </w:t>
      </w:r>
    </w:p>
    <w:p w14:paraId="6AE592D3" w14:textId="77777777" w:rsidR="00ED2769" w:rsidRPr="005B4A8D" w:rsidRDefault="00ED2769" w:rsidP="00494474">
      <w:pPr>
        <w:pStyle w:val="ListParagraph"/>
        <w:numPr>
          <w:ilvl w:val="0"/>
          <w:numId w:val="35"/>
        </w:numPr>
        <w:jc w:val="both"/>
      </w:pPr>
      <w:r w:rsidRPr="005B4A8D">
        <w:t>Either school balances are below a minimum of 3%</w:t>
      </w:r>
    </w:p>
    <w:p w14:paraId="043E9F58" w14:textId="77777777" w:rsidR="00ED2769" w:rsidRPr="005B4A8D" w:rsidRDefault="00ED2769" w:rsidP="00494474">
      <w:pPr>
        <w:pStyle w:val="ListParagraph"/>
        <w:numPr>
          <w:ilvl w:val="0"/>
          <w:numId w:val="35"/>
        </w:numPr>
        <w:jc w:val="both"/>
      </w:pPr>
      <w:r w:rsidRPr="005B4A8D">
        <w:t>Or the school can evidence that the existing funding cannot support an appropriate curriculum for the children at the school.</w:t>
      </w:r>
      <w:r w:rsidR="00DC089D" w:rsidRPr="005B4A8D">
        <w:t xml:space="preserve"> Payments would be tapered where schools qualify under this criteri</w:t>
      </w:r>
      <w:r w:rsidR="00715175">
        <w:t>on</w:t>
      </w:r>
      <w:r w:rsidR="00DC089D" w:rsidRPr="005B4A8D">
        <w:t xml:space="preserve"> up to a maximum of the lump sum.</w:t>
      </w:r>
    </w:p>
    <w:p w14:paraId="71739BA7" w14:textId="77777777" w:rsidR="00ED2769" w:rsidRPr="005B4A8D" w:rsidRDefault="00ED2769" w:rsidP="00494474">
      <w:pPr>
        <w:pStyle w:val="ListParagraph"/>
        <w:jc w:val="both"/>
      </w:pPr>
    </w:p>
    <w:p w14:paraId="7B2747B5" w14:textId="77777777" w:rsidR="00ED2769" w:rsidRPr="005B4A8D" w:rsidRDefault="00ED2769" w:rsidP="00C02C0C">
      <w:pPr>
        <w:pStyle w:val="ListParagraph"/>
        <w:numPr>
          <w:ilvl w:val="1"/>
          <w:numId w:val="2"/>
        </w:numPr>
        <w:tabs>
          <w:tab w:val="clear" w:pos="360"/>
        </w:tabs>
        <w:ind w:left="709" w:hanging="709"/>
        <w:jc w:val="both"/>
      </w:pPr>
      <w:r w:rsidRPr="005B4A8D">
        <w:t xml:space="preserve">It was </w:t>
      </w:r>
      <w:r w:rsidR="00041B3F">
        <w:t xml:space="preserve">agreed </w:t>
      </w:r>
      <w:r w:rsidRPr="005B4A8D">
        <w:t>that the assessment of whether a school can support an appropriate curriculum be delegated to the Schools Financial Monitoring Group as this includes both finance and headteacher</w:t>
      </w:r>
      <w:r w:rsidR="0077740F">
        <w:t xml:space="preserve"> representatives</w:t>
      </w:r>
      <w:r w:rsidRPr="005B4A8D">
        <w:t xml:space="preserve">.  </w:t>
      </w:r>
    </w:p>
    <w:p w14:paraId="2CF6D647" w14:textId="77777777" w:rsidR="00ED2769" w:rsidRPr="005B4A8D" w:rsidRDefault="00ED2769" w:rsidP="00494474">
      <w:pPr>
        <w:jc w:val="both"/>
      </w:pPr>
    </w:p>
    <w:p w14:paraId="14872E73" w14:textId="77777777" w:rsidR="00ED2769" w:rsidRPr="005B4A8D" w:rsidRDefault="00ED2769" w:rsidP="00494474">
      <w:pPr>
        <w:pStyle w:val="ListParagraph"/>
        <w:numPr>
          <w:ilvl w:val="1"/>
          <w:numId w:val="2"/>
        </w:numPr>
        <w:tabs>
          <w:tab w:val="clear" w:pos="360"/>
        </w:tabs>
        <w:ind w:left="709" w:hanging="709"/>
        <w:jc w:val="both"/>
      </w:pPr>
      <w:r w:rsidRPr="005B4A8D">
        <w:t xml:space="preserve">Schools </w:t>
      </w:r>
      <w:r w:rsidR="00041B3F">
        <w:t>F</w:t>
      </w:r>
      <w:r w:rsidRPr="005B4A8D">
        <w:t xml:space="preserve">orum further agreed that the financial support would take the form of a </w:t>
      </w:r>
      <w:proofErr w:type="gramStart"/>
      <w:r w:rsidRPr="005B4A8D">
        <w:t>one</w:t>
      </w:r>
      <w:r w:rsidR="003C787F">
        <w:t xml:space="preserve"> </w:t>
      </w:r>
      <w:r w:rsidRPr="005B4A8D">
        <w:t>off</w:t>
      </w:r>
      <w:proofErr w:type="gramEnd"/>
      <w:r w:rsidRPr="005B4A8D">
        <w:t xml:space="preserve"> paym</w:t>
      </w:r>
      <w:r w:rsidR="00041B3F">
        <w:t>e</w:t>
      </w:r>
      <w:r w:rsidRPr="005B4A8D">
        <w:t xml:space="preserve">nt of £68k per school.  The scheme would run for one year and be reviewed again early in 2019 calendar year.  </w:t>
      </w:r>
    </w:p>
    <w:p w14:paraId="210D9E49" w14:textId="77777777" w:rsidR="00BB2ED3" w:rsidRPr="005B4A8D" w:rsidRDefault="00BB2ED3" w:rsidP="00494474">
      <w:pPr>
        <w:jc w:val="both"/>
      </w:pPr>
    </w:p>
    <w:p w14:paraId="227E2C51" w14:textId="77777777" w:rsidR="00ED2769" w:rsidRPr="005B4A8D" w:rsidRDefault="00400A25" w:rsidP="00494474">
      <w:pPr>
        <w:pStyle w:val="ListParagraph"/>
        <w:numPr>
          <w:ilvl w:val="1"/>
          <w:numId w:val="2"/>
        </w:numPr>
        <w:tabs>
          <w:tab w:val="clear" w:pos="360"/>
        </w:tabs>
        <w:ind w:left="709" w:hanging="709"/>
        <w:jc w:val="both"/>
        <w:rPr>
          <w:b/>
        </w:rPr>
      </w:pPr>
      <w:r w:rsidRPr="005B4A8D">
        <w:t xml:space="preserve">The local authority will invite schools that potentially qualify, under criteria set out above to apply for the falling rolls fund. </w:t>
      </w:r>
      <w:r w:rsidR="00582D8C">
        <w:t>The timescale for this process shall start with</w:t>
      </w:r>
      <w:r w:rsidR="006B53A6">
        <w:t xml:space="preserve"> the issuing of</w:t>
      </w:r>
      <w:r w:rsidR="00582D8C">
        <w:t xml:space="preserve"> formal letters </w:t>
      </w:r>
      <w:r w:rsidR="0077740F">
        <w:t>for</w:t>
      </w:r>
      <w:r w:rsidR="00582D8C">
        <w:t xml:space="preserve"> application to school</w:t>
      </w:r>
      <w:r w:rsidR="0077740F">
        <w:t>s</w:t>
      </w:r>
      <w:r w:rsidR="00582D8C">
        <w:t xml:space="preserve"> by 19</w:t>
      </w:r>
      <w:r w:rsidR="0077740F" w:rsidRPr="0077740F">
        <w:rPr>
          <w:vertAlign w:val="superscript"/>
        </w:rPr>
        <w:t>th</w:t>
      </w:r>
      <w:r w:rsidR="0077740F">
        <w:t xml:space="preserve"> </w:t>
      </w:r>
      <w:r w:rsidR="00582D8C">
        <w:t xml:space="preserve">October, </w:t>
      </w:r>
      <w:r w:rsidR="0077740F">
        <w:t>with</w:t>
      </w:r>
      <w:r w:rsidR="006B53A6">
        <w:t xml:space="preserve"> return of</w:t>
      </w:r>
      <w:r w:rsidR="00582D8C">
        <w:t xml:space="preserve"> completed applications by no later than 31</w:t>
      </w:r>
      <w:r w:rsidR="0077740F" w:rsidRPr="0077740F">
        <w:rPr>
          <w:vertAlign w:val="superscript"/>
        </w:rPr>
        <w:t>st</w:t>
      </w:r>
      <w:r w:rsidR="0077740F">
        <w:t xml:space="preserve"> </w:t>
      </w:r>
      <w:r w:rsidR="00582D8C">
        <w:t>October for consideration by the financial monitoring group on 14</w:t>
      </w:r>
      <w:r w:rsidR="0077740F" w:rsidRPr="0077740F">
        <w:rPr>
          <w:vertAlign w:val="superscript"/>
        </w:rPr>
        <w:t>th</w:t>
      </w:r>
      <w:r w:rsidR="0077740F">
        <w:t xml:space="preserve"> </w:t>
      </w:r>
      <w:r w:rsidR="00582D8C">
        <w:t xml:space="preserve">November. </w:t>
      </w:r>
    </w:p>
    <w:p w14:paraId="5D76D213" w14:textId="77777777" w:rsidR="001B0526" w:rsidRDefault="001B0526" w:rsidP="00494474">
      <w:pPr>
        <w:pStyle w:val="ListParagraph"/>
        <w:ind w:left="709"/>
        <w:jc w:val="both"/>
        <w:rPr>
          <w:b/>
        </w:rPr>
      </w:pPr>
    </w:p>
    <w:p w14:paraId="32661B03" w14:textId="77777777" w:rsidR="00A323C8" w:rsidRPr="001C5D12" w:rsidRDefault="002039A2" w:rsidP="002D45C6">
      <w:pPr>
        <w:pStyle w:val="ListParagraph"/>
        <w:pBdr>
          <w:top w:val="single" w:sz="12" w:space="1" w:color="auto"/>
          <w:left w:val="single" w:sz="12" w:space="4" w:color="auto"/>
          <w:bottom w:val="single" w:sz="12" w:space="1" w:color="auto"/>
          <w:right w:val="single" w:sz="12" w:space="4" w:color="auto"/>
        </w:pBdr>
        <w:ind w:left="709"/>
        <w:jc w:val="both"/>
        <w:rPr>
          <w:rFonts w:cs="Arial"/>
        </w:rPr>
      </w:pPr>
      <w:bookmarkStart w:id="4" w:name="_Hlk527022809"/>
      <w:r w:rsidRPr="001A32DF">
        <w:rPr>
          <w:rFonts w:cs="Arial"/>
          <w:b/>
          <w:u w:val="single"/>
        </w:rPr>
        <w:t>Recommendation</w:t>
      </w:r>
      <w:r>
        <w:rPr>
          <w:rFonts w:cs="Arial"/>
          <w:b/>
          <w:u w:val="single"/>
        </w:rPr>
        <w:t xml:space="preserve"> (iii)</w:t>
      </w:r>
      <w:r w:rsidRPr="001A32DF">
        <w:rPr>
          <w:rFonts w:cs="Arial"/>
          <w:b/>
          <w:u w:val="single"/>
        </w:rPr>
        <w:t>:</w:t>
      </w:r>
      <w:r w:rsidRPr="001C5D12">
        <w:rPr>
          <w:rFonts w:cs="Arial"/>
        </w:rPr>
        <w:t xml:space="preserve"> Schools forum are requested to </w:t>
      </w:r>
      <w:r>
        <w:rPr>
          <w:rFonts w:cs="Arial"/>
        </w:rPr>
        <w:t xml:space="preserve">note the update on falling rolls fund and approve request to invite applications from schools </w:t>
      </w:r>
      <w:bookmarkStart w:id="5" w:name="_Hlk527022199"/>
      <w:r w:rsidR="00446889" w:rsidRPr="001C5D12">
        <w:rPr>
          <w:rFonts w:cs="Arial"/>
        </w:rPr>
        <w:t>that may qualify for falling rolls fund.</w:t>
      </w:r>
    </w:p>
    <w:bookmarkEnd w:id="4"/>
    <w:bookmarkEnd w:id="5"/>
    <w:p w14:paraId="12272273" w14:textId="77777777" w:rsidR="002A6B6E" w:rsidRDefault="002A6B6E" w:rsidP="00A94CA9">
      <w:pPr>
        <w:jc w:val="both"/>
        <w:rPr>
          <w:rFonts w:cs="Arial"/>
        </w:rPr>
      </w:pPr>
    </w:p>
    <w:p w14:paraId="02615FE3" w14:textId="77777777" w:rsidR="002A6B6E" w:rsidRPr="005B4A8D" w:rsidRDefault="002A6B6E" w:rsidP="00A94CA9">
      <w:pPr>
        <w:jc w:val="both"/>
        <w:rPr>
          <w:rFonts w:cs="Arial"/>
        </w:rPr>
      </w:pPr>
    </w:p>
    <w:p w14:paraId="6CA82D3A" w14:textId="77777777" w:rsidR="001F5F0F" w:rsidRPr="005B4A8D" w:rsidRDefault="00314CCF" w:rsidP="0035103D">
      <w:pPr>
        <w:pStyle w:val="ListParagraph"/>
        <w:numPr>
          <w:ilvl w:val="0"/>
          <w:numId w:val="2"/>
        </w:numPr>
        <w:jc w:val="both"/>
        <w:rPr>
          <w:rFonts w:cs="Arial"/>
          <w:b/>
        </w:rPr>
      </w:pPr>
      <w:r w:rsidRPr="005B4A8D">
        <w:rPr>
          <w:rFonts w:cs="Arial"/>
          <w:b/>
        </w:rPr>
        <w:t>Dedicated Schools Grant 2019/20</w:t>
      </w:r>
      <w:r w:rsidR="001F5F0F" w:rsidRPr="005B4A8D">
        <w:rPr>
          <w:rFonts w:cs="Arial"/>
          <w:b/>
        </w:rPr>
        <w:t xml:space="preserve"> </w:t>
      </w:r>
    </w:p>
    <w:p w14:paraId="0ADBF8E5" w14:textId="77777777" w:rsidR="001F5F0F" w:rsidRPr="005B4A8D" w:rsidRDefault="001F5F0F" w:rsidP="001F5F0F">
      <w:pPr>
        <w:pStyle w:val="ListParagraph"/>
        <w:jc w:val="both"/>
      </w:pPr>
    </w:p>
    <w:p w14:paraId="33E8261C" w14:textId="77777777" w:rsidR="001F5F0F" w:rsidRPr="005B4A8D" w:rsidRDefault="001F5F0F" w:rsidP="00494474">
      <w:pPr>
        <w:pStyle w:val="ListParagraph"/>
        <w:numPr>
          <w:ilvl w:val="1"/>
          <w:numId w:val="2"/>
        </w:numPr>
        <w:tabs>
          <w:tab w:val="clear" w:pos="360"/>
        </w:tabs>
        <w:ind w:left="709" w:hanging="709"/>
        <w:jc w:val="both"/>
        <w:rPr>
          <w:sz w:val="23"/>
          <w:szCs w:val="23"/>
        </w:rPr>
      </w:pPr>
      <w:r w:rsidRPr="005B4A8D">
        <w:rPr>
          <w:sz w:val="23"/>
          <w:szCs w:val="23"/>
        </w:rPr>
        <w:t xml:space="preserve">In July, the Department for Education (DfE) </w:t>
      </w:r>
      <w:r w:rsidR="007F53B1" w:rsidRPr="005B4A8D">
        <w:rPr>
          <w:sz w:val="23"/>
          <w:szCs w:val="23"/>
        </w:rPr>
        <w:t xml:space="preserve">published </w:t>
      </w:r>
      <w:r w:rsidRPr="005B4A8D">
        <w:rPr>
          <w:sz w:val="23"/>
          <w:szCs w:val="23"/>
        </w:rPr>
        <w:t>policy changes</w:t>
      </w:r>
      <w:r w:rsidR="007F53B1" w:rsidRPr="005B4A8D">
        <w:rPr>
          <w:sz w:val="23"/>
          <w:szCs w:val="23"/>
        </w:rPr>
        <w:t xml:space="preserve">, </w:t>
      </w:r>
      <w:r w:rsidRPr="005B4A8D">
        <w:rPr>
          <w:sz w:val="23"/>
          <w:szCs w:val="23"/>
        </w:rPr>
        <w:t>schools funding arrangements and</w:t>
      </w:r>
      <w:r w:rsidR="007F53B1" w:rsidRPr="005B4A8D">
        <w:rPr>
          <w:sz w:val="23"/>
          <w:szCs w:val="23"/>
        </w:rPr>
        <w:t xml:space="preserve"> the</w:t>
      </w:r>
      <w:r w:rsidRPr="005B4A8D">
        <w:rPr>
          <w:sz w:val="23"/>
          <w:szCs w:val="23"/>
        </w:rPr>
        <w:t xml:space="preserve"> DSG </w:t>
      </w:r>
      <w:r w:rsidR="00377322" w:rsidRPr="005B4A8D">
        <w:rPr>
          <w:sz w:val="23"/>
          <w:szCs w:val="23"/>
        </w:rPr>
        <w:t>o</w:t>
      </w:r>
      <w:r w:rsidRPr="005B4A8D">
        <w:rPr>
          <w:sz w:val="23"/>
          <w:szCs w:val="23"/>
        </w:rPr>
        <w:t xml:space="preserve">perational </w:t>
      </w:r>
      <w:r w:rsidR="00377322" w:rsidRPr="005B4A8D">
        <w:rPr>
          <w:sz w:val="23"/>
          <w:szCs w:val="23"/>
        </w:rPr>
        <w:t>g</w:t>
      </w:r>
      <w:r w:rsidRPr="005B4A8D">
        <w:rPr>
          <w:sz w:val="23"/>
          <w:szCs w:val="23"/>
        </w:rPr>
        <w:t xml:space="preserve">uidance for the 2019 to 2020 financial year. </w:t>
      </w:r>
      <w:r w:rsidR="007F53B1" w:rsidRPr="005B4A8D">
        <w:rPr>
          <w:sz w:val="23"/>
          <w:szCs w:val="23"/>
        </w:rPr>
        <w:t xml:space="preserve">  2019/20 is the second year of the </w:t>
      </w:r>
      <w:r w:rsidR="002D070B">
        <w:rPr>
          <w:sz w:val="23"/>
          <w:szCs w:val="23"/>
        </w:rPr>
        <w:t xml:space="preserve">NFF </w:t>
      </w:r>
      <w:r w:rsidR="007F53B1" w:rsidRPr="005B4A8D">
        <w:rPr>
          <w:sz w:val="23"/>
          <w:szCs w:val="23"/>
        </w:rPr>
        <w:t xml:space="preserve">for </w:t>
      </w:r>
      <w:r w:rsidR="00377322" w:rsidRPr="005B4A8D">
        <w:rPr>
          <w:sz w:val="23"/>
          <w:szCs w:val="23"/>
        </w:rPr>
        <w:t>s</w:t>
      </w:r>
      <w:r w:rsidR="007F53B1" w:rsidRPr="005B4A8D">
        <w:rPr>
          <w:sz w:val="23"/>
          <w:szCs w:val="23"/>
        </w:rPr>
        <w:t xml:space="preserve">chools, </w:t>
      </w:r>
      <w:r w:rsidR="00377322" w:rsidRPr="005B4A8D">
        <w:rPr>
          <w:sz w:val="23"/>
          <w:szCs w:val="23"/>
        </w:rPr>
        <w:t>h</w:t>
      </w:r>
      <w:r w:rsidR="007F53B1" w:rsidRPr="005B4A8D">
        <w:rPr>
          <w:sz w:val="23"/>
          <w:szCs w:val="23"/>
        </w:rPr>
        <w:t xml:space="preserve">igh </w:t>
      </w:r>
      <w:r w:rsidR="00377322" w:rsidRPr="005B4A8D">
        <w:rPr>
          <w:sz w:val="23"/>
          <w:szCs w:val="23"/>
        </w:rPr>
        <w:t>n</w:t>
      </w:r>
      <w:r w:rsidR="007F53B1" w:rsidRPr="005B4A8D">
        <w:rPr>
          <w:sz w:val="23"/>
          <w:szCs w:val="23"/>
        </w:rPr>
        <w:t xml:space="preserve">eeds and </w:t>
      </w:r>
      <w:r w:rsidR="00377322" w:rsidRPr="005B4A8D">
        <w:rPr>
          <w:sz w:val="23"/>
          <w:szCs w:val="23"/>
        </w:rPr>
        <w:t>c</w:t>
      </w:r>
      <w:r w:rsidR="007F53B1" w:rsidRPr="005B4A8D">
        <w:rPr>
          <w:sz w:val="23"/>
          <w:szCs w:val="23"/>
        </w:rPr>
        <w:t xml:space="preserve">entral </w:t>
      </w:r>
      <w:r w:rsidR="00377322" w:rsidRPr="005B4A8D">
        <w:rPr>
          <w:sz w:val="23"/>
          <w:szCs w:val="23"/>
        </w:rPr>
        <w:t>s</w:t>
      </w:r>
      <w:r w:rsidR="007F53B1" w:rsidRPr="005B4A8D">
        <w:rPr>
          <w:sz w:val="23"/>
          <w:szCs w:val="23"/>
        </w:rPr>
        <w:t xml:space="preserve">ervice. </w:t>
      </w:r>
    </w:p>
    <w:p w14:paraId="6C0ACD7F" w14:textId="77777777" w:rsidR="007F53B1" w:rsidRPr="005B4A8D" w:rsidRDefault="007F53B1" w:rsidP="00494474">
      <w:pPr>
        <w:pStyle w:val="ListParagraph"/>
        <w:ind w:left="709"/>
        <w:jc w:val="both"/>
        <w:rPr>
          <w:sz w:val="23"/>
          <w:szCs w:val="23"/>
        </w:rPr>
      </w:pPr>
    </w:p>
    <w:p w14:paraId="757A6C5B" w14:textId="77777777" w:rsidR="007F53B1" w:rsidRPr="005B4A8D" w:rsidRDefault="007F53B1" w:rsidP="00494474">
      <w:pPr>
        <w:pStyle w:val="ListParagraph"/>
        <w:numPr>
          <w:ilvl w:val="1"/>
          <w:numId w:val="2"/>
        </w:numPr>
        <w:tabs>
          <w:tab w:val="clear" w:pos="360"/>
        </w:tabs>
        <w:ind w:left="709" w:hanging="709"/>
        <w:jc w:val="both"/>
        <w:rPr>
          <w:sz w:val="23"/>
          <w:szCs w:val="23"/>
        </w:rPr>
      </w:pPr>
      <w:r w:rsidRPr="005B4A8D">
        <w:rPr>
          <w:sz w:val="23"/>
          <w:szCs w:val="23"/>
        </w:rPr>
        <w:t>From 2018/19, the funding blocks allocated to local authorities are calculated on the basis of NFF</w:t>
      </w:r>
      <w:r w:rsidR="00780F71" w:rsidRPr="005B4A8D">
        <w:rPr>
          <w:sz w:val="23"/>
          <w:szCs w:val="23"/>
        </w:rPr>
        <w:t xml:space="preserve">, and local authority level allocations have been published based on October census.  In respect of </w:t>
      </w:r>
      <w:r w:rsidR="004E3C57">
        <w:rPr>
          <w:sz w:val="23"/>
          <w:szCs w:val="23"/>
        </w:rPr>
        <w:t>s</w:t>
      </w:r>
      <w:r w:rsidR="002D070B" w:rsidRPr="005B4A8D">
        <w:rPr>
          <w:sz w:val="23"/>
          <w:szCs w:val="23"/>
        </w:rPr>
        <w:t xml:space="preserve">chools </w:t>
      </w:r>
      <w:r w:rsidR="004E3C57">
        <w:rPr>
          <w:sz w:val="23"/>
          <w:szCs w:val="23"/>
        </w:rPr>
        <w:t>b</w:t>
      </w:r>
      <w:r w:rsidR="002D070B" w:rsidRPr="005B4A8D">
        <w:rPr>
          <w:sz w:val="23"/>
          <w:szCs w:val="23"/>
        </w:rPr>
        <w:t>lock</w:t>
      </w:r>
      <w:r w:rsidR="00780F71" w:rsidRPr="005B4A8D">
        <w:rPr>
          <w:sz w:val="23"/>
          <w:szCs w:val="23"/>
        </w:rPr>
        <w:t>, this means notional allocations will be set for each school which will then be aggregated to calculate the school block allocation for the local authority.</w:t>
      </w:r>
    </w:p>
    <w:p w14:paraId="749BDC90" w14:textId="77777777" w:rsidR="00780F71" w:rsidRPr="005B4A8D" w:rsidRDefault="00780F71" w:rsidP="00494474">
      <w:pPr>
        <w:pStyle w:val="ListParagraph"/>
        <w:jc w:val="both"/>
        <w:rPr>
          <w:sz w:val="23"/>
          <w:szCs w:val="23"/>
        </w:rPr>
      </w:pPr>
    </w:p>
    <w:p w14:paraId="1A6963BF" w14:textId="77777777" w:rsidR="00184BEE" w:rsidRPr="005B4A8D" w:rsidRDefault="00780F71" w:rsidP="00494474">
      <w:pPr>
        <w:pStyle w:val="ListParagraph"/>
        <w:numPr>
          <w:ilvl w:val="1"/>
          <w:numId w:val="2"/>
        </w:numPr>
        <w:tabs>
          <w:tab w:val="clear" w:pos="360"/>
        </w:tabs>
        <w:ind w:left="709" w:hanging="709"/>
        <w:jc w:val="both"/>
        <w:rPr>
          <w:color w:val="4472C4"/>
        </w:rPr>
      </w:pPr>
      <w:bookmarkStart w:id="6" w:name="_Hlk526417992"/>
      <w:r w:rsidRPr="005B4A8D">
        <w:rPr>
          <w:sz w:val="23"/>
          <w:szCs w:val="23"/>
        </w:rPr>
        <w:t xml:space="preserve">DfE had intended </w:t>
      </w:r>
      <w:r w:rsidR="002D070B">
        <w:rPr>
          <w:sz w:val="23"/>
          <w:szCs w:val="23"/>
        </w:rPr>
        <w:t xml:space="preserve">to </w:t>
      </w:r>
      <w:r w:rsidRPr="005B4A8D">
        <w:rPr>
          <w:sz w:val="23"/>
          <w:szCs w:val="23"/>
        </w:rPr>
        <w:t xml:space="preserve">phase in NFF over </w:t>
      </w:r>
      <w:r w:rsidR="0017756C">
        <w:rPr>
          <w:sz w:val="23"/>
          <w:szCs w:val="23"/>
        </w:rPr>
        <w:t xml:space="preserve">two </w:t>
      </w:r>
      <w:r w:rsidRPr="005B4A8D">
        <w:rPr>
          <w:sz w:val="23"/>
          <w:szCs w:val="23"/>
        </w:rPr>
        <w:t xml:space="preserve">years, </w:t>
      </w:r>
      <w:r w:rsidR="0017756C">
        <w:rPr>
          <w:sz w:val="23"/>
          <w:szCs w:val="23"/>
        </w:rPr>
        <w:t xml:space="preserve">as the </w:t>
      </w:r>
      <w:r w:rsidRPr="005B4A8D">
        <w:rPr>
          <w:sz w:val="23"/>
          <w:szCs w:val="23"/>
        </w:rPr>
        <w:t xml:space="preserve">“soft” formula, (2018/19 </w:t>
      </w:r>
      <w:bookmarkEnd w:id="6"/>
      <w:r w:rsidRPr="005B4A8D">
        <w:rPr>
          <w:sz w:val="23"/>
          <w:szCs w:val="23"/>
        </w:rPr>
        <w:t>and 2019/20) with</w:t>
      </w:r>
      <w:r w:rsidR="0017756C">
        <w:rPr>
          <w:sz w:val="23"/>
          <w:szCs w:val="23"/>
        </w:rPr>
        <w:t xml:space="preserve"> the</w:t>
      </w:r>
      <w:r w:rsidRPr="005B4A8D">
        <w:rPr>
          <w:sz w:val="23"/>
          <w:szCs w:val="23"/>
        </w:rPr>
        <w:t xml:space="preserve"> “hard” formula in place in 2020/21. </w:t>
      </w:r>
      <w:r w:rsidR="00184BEE" w:rsidRPr="005B4A8D">
        <w:rPr>
          <w:sz w:val="23"/>
          <w:szCs w:val="23"/>
        </w:rPr>
        <w:t xml:space="preserve">During this transition phase, local </w:t>
      </w:r>
      <w:r w:rsidR="00377322" w:rsidRPr="005B4A8D">
        <w:rPr>
          <w:sz w:val="23"/>
          <w:szCs w:val="23"/>
        </w:rPr>
        <w:t>a</w:t>
      </w:r>
      <w:r w:rsidR="00184BEE" w:rsidRPr="005B4A8D">
        <w:rPr>
          <w:sz w:val="23"/>
          <w:szCs w:val="23"/>
        </w:rPr>
        <w:t>uthorities are permitted to</w:t>
      </w:r>
      <w:r w:rsidR="00377322" w:rsidRPr="005B4A8D">
        <w:rPr>
          <w:sz w:val="23"/>
          <w:szCs w:val="23"/>
        </w:rPr>
        <w:t xml:space="preserve"> use</w:t>
      </w:r>
      <w:r w:rsidR="00184BEE" w:rsidRPr="005B4A8D">
        <w:rPr>
          <w:sz w:val="23"/>
          <w:szCs w:val="23"/>
        </w:rPr>
        <w:t xml:space="preserve"> </w:t>
      </w:r>
      <w:r w:rsidR="002D070B">
        <w:rPr>
          <w:sz w:val="23"/>
          <w:szCs w:val="23"/>
        </w:rPr>
        <w:t>a</w:t>
      </w:r>
      <w:r w:rsidR="00184BEE" w:rsidRPr="005B4A8D">
        <w:rPr>
          <w:sz w:val="23"/>
          <w:szCs w:val="23"/>
        </w:rPr>
        <w:t xml:space="preserve"> local schools formula in consultation with </w:t>
      </w:r>
      <w:r w:rsidR="002D070B">
        <w:rPr>
          <w:sz w:val="23"/>
          <w:szCs w:val="23"/>
        </w:rPr>
        <w:t>their Schools Forum</w:t>
      </w:r>
      <w:r w:rsidR="00184BEE" w:rsidRPr="005B4A8D">
        <w:rPr>
          <w:sz w:val="23"/>
          <w:szCs w:val="23"/>
        </w:rPr>
        <w:t>. This initial t</w:t>
      </w:r>
      <w:r w:rsidRPr="005B4A8D">
        <w:rPr>
          <w:sz w:val="23"/>
          <w:szCs w:val="23"/>
        </w:rPr>
        <w:t xml:space="preserve">he two-year </w:t>
      </w:r>
      <w:r w:rsidR="00184BEE" w:rsidRPr="005B4A8D">
        <w:rPr>
          <w:sz w:val="23"/>
          <w:szCs w:val="23"/>
        </w:rPr>
        <w:t>“soft” formula phase is now being extended by a further year into 2020</w:t>
      </w:r>
      <w:r w:rsidR="00934EC0">
        <w:rPr>
          <w:sz w:val="23"/>
          <w:szCs w:val="23"/>
        </w:rPr>
        <w:t>/21</w:t>
      </w:r>
      <w:r w:rsidR="00184BEE" w:rsidRPr="005B4A8D">
        <w:rPr>
          <w:sz w:val="23"/>
          <w:szCs w:val="23"/>
        </w:rPr>
        <w:t xml:space="preserve">. </w:t>
      </w:r>
    </w:p>
    <w:p w14:paraId="58244B5C" w14:textId="77777777" w:rsidR="00314CCF" w:rsidRPr="005B4A8D" w:rsidRDefault="00314CCF" w:rsidP="00494474">
      <w:pPr>
        <w:pStyle w:val="ListParagraph"/>
        <w:jc w:val="both"/>
        <w:rPr>
          <w:color w:val="4472C4"/>
        </w:rPr>
      </w:pPr>
    </w:p>
    <w:p w14:paraId="036BF260" w14:textId="77777777" w:rsidR="00314CCF" w:rsidRPr="005B4A8D" w:rsidRDefault="00314CCF" w:rsidP="00494474">
      <w:pPr>
        <w:pStyle w:val="ListParagraph"/>
        <w:numPr>
          <w:ilvl w:val="1"/>
          <w:numId w:val="2"/>
        </w:numPr>
        <w:tabs>
          <w:tab w:val="clear" w:pos="360"/>
        </w:tabs>
        <w:ind w:left="709" w:hanging="709"/>
        <w:jc w:val="both"/>
        <w:rPr>
          <w:color w:val="4472C4"/>
        </w:rPr>
      </w:pPr>
      <w:r w:rsidRPr="005B4A8D">
        <w:rPr>
          <w:sz w:val="23"/>
          <w:szCs w:val="23"/>
        </w:rPr>
        <w:t xml:space="preserve">The indicative allocations for 2019/20 published this summer are shown below.  It should be noted that these are based on the </w:t>
      </w:r>
      <w:r w:rsidR="00377322" w:rsidRPr="005B4A8D">
        <w:rPr>
          <w:sz w:val="23"/>
          <w:szCs w:val="23"/>
        </w:rPr>
        <w:t>c</w:t>
      </w:r>
      <w:r w:rsidRPr="005B4A8D">
        <w:rPr>
          <w:sz w:val="23"/>
          <w:szCs w:val="23"/>
        </w:rPr>
        <w:t xml:space="preserve">ensus data from October 2017 </w:t>
      </w:r>
      <w:r w:rsidR="004D2286" w:rsidRPr="005B4A8D">
        <w:rPr>
          <w:sz w:val="23"/>
          <w:szCs w:val="23"/>
        </w:rPr>
        <w:t xml:space="preserve">(and some known pupil growth) </w:t>
      </w:r>
      <w:r w:rsidRPr="001C5D12">
        <w:rPr>
          <w:sz w:val="23"/>
          <w:szCs w:val="23"/>
        </w:rPr>
        <w:t xml:space="preserve">and </w:t>
      </w:r>
      <w:r w:rsidR="002D070B">
        <w:rPr>
          <w:sz w:val="23"/>
          <w:szCs w:val="23"/>
        </w:rPr>
        <w:t xml:space="preserve">are likely </w:t>
      </w:r>
      <w:r w:rsidRPr="001C5D12">
        <w:rPr>
          <w:sz w:val="23"/>
          <w:szCs w:val="23"/>
        </w:rPr>
        <w:t>to change following the October 2018 census.</w:t>
      </w:r>
      <w:r w:rsidRPr="005B4A8D">
        <w:rPr>
          <w:sz w:val="23"/>
          <w:szCs w:val="23"/>
        </w:rPr>
        <w:t xml:space="preserve">  </w:t>
      </w:r>
    </w:p>
    <w:p w14:paraId="5F3DFA34" w14:textId="77777777" w:rsidR="002C0CCC" w:rsidRPr="005B4A8D" w:rsidRDefault="002C0CCC" w:rsidP="002C0CCC">
      <w:pPr>
        <w:pStyle w:val="ListParagraph"/>
        <w:rPr>
          <w:color w:val="4472C4"/>
        </w:rPr>
      </w:pPr>
    </w:p>
    <w:tbl>
      <w:tblPr>
        <w:tblW w:w="8923" w:type="dxa"/>
        <w:tblInd w:w="7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962"/>
        <w:gridCol w:w="1843"/>
        <w:gridCol w:w="1559"/>
        <w:gridCol w:w="1559"/>
      </w:tblGrid>
      <w:tr w:rsidR="004D2286" w:rsidRPr="005B4A8D" w14:paraId="5BE03179" w14:textId="77777777" w:rsidTr="004E3C57">
        <w:trPr>
          <w:trHeight w:val="290"/>
        </w:trPr>
        <w:tc>
          <w:tcPr>
            <w:tcW w:w="3962" w:type="dxa"/>
            <w:shd w:val="clear" w:color="auto" w:fill="auto"/>
            <w:noWrap/>
            <w:vAlign w:val="bottom"/>
            <w:hideMark/>
          </w:tcPr>
          <w:p w14:paraId="67B498F8" w14:textId="77777777" w:rsidR="004D2286" w:rsidRPr="005B4A8D" w:rsidRDefault="004D2286" w:rsidP="00D060AD">
            <w:pPr>
              <w:rPr>
                <w:rFonts w:ascii="Times New Roman" w:hAnsi="Times New Roman"/>
                <w:sz w:val="20"/>
                <w:szCs w:val="20"/>
              </w:rPr>
            </w:pPr>
          </w:p>
        </w:tc>
        <w:tc>
          <w:tcPr>
            <w:tcW w:w="1843" w:type="dxa"/>
            <w:shd w:val="clear" w:color="auto" w:fill="auto"/>
            <w:noWrap/>
            <w:vAlign w:val="bottom"/>
            <w:hideMark/>
          </w:tcPr>
          <w:p w14:paraId="165D5A82" w14:textId="77777777" w:rsidR="004D2286" w:rsidRPr="004E3C57" w:rsidRDefault="004D2286" w:rsidP="004E3C57">
            <w:pPr>
              <w:jc w:val="right"/>
              <w:rPr>
                <w:rFonts w:ascii="Calibri" w:hAnsi="Calibri"/>
                <w:b/>
                <w:color w:val="000000"/>
                <w:sz w:val="22"/>
                <w:szCs w:val="22"/>
              </w:rPr>
            </w:pPr>
            <w:r w:rsidRPr="004E3C57">
              <w:rPr>
                <w:rFonts w:ascii="Calibri" w:hAnsi="Calibri"/>
                <w:b/>
                <w:color w:val="000000"/>
                <w:sz w:val="22"/>
                <w:szCs w:val="22"/>
              </w:rPr>
              <w:t>2018/19</w:t>
            </w:r>
          </w:p>
          <w:p w14:paraId="1665DCBC" w14:textId="77777777" w:rsidR="00377322" w:rsidRPr="004E3C57" w:rsidRDefault="00377322" w:rsidP="004E3C57">
            <w:pPr>
              <w:jc w:val="right"/>
              <w:rPr>
                <w:rFonts w:ascii="Calibri" w:hAnsi="Calibri"/>
                <w:b/>
                <w:color w:val="000000"/>
                <w:sz w:val="22"/>
                <w:szCs w:val="22"/>
              </w:rPr>
            </w:pPr>
            <w:r w:rsidRPr="004E3C57">
              <w:rPr>
                <w:rFonts w:ascii="Calibri" w:hAnsi="Calibri"/>
                <w:b/>
                <w:color w:val="000000"/>
                <w:sz w:val="22"/>
                <w:szCs w:val="22"/>
              </w:rPr>
              <w:t>£</w:t>
            </w:r>
          </w:p>
        </w:tc>
        <w:tc>
          <w:tcPr>
            <w:tcW w:w="1559" w:type="dxa"/>
            <w:shd w:val="clear" w:color="auto" w:fill="auto"/>
            <w:noWrap/>
            <w:vAlign w:val="bottom"/>
            <w:hideMark/>
          </w:tcPr>
          <w:p w14:paraId="5CD1D1EA" w14:textId="77777777" w:rsidR="004D2286" w:rsidRPr="004E3C57" w:rsidRDefault="004D2286" w:rsidP="004E3C57">
            <w:pPr>
              <w:jc w:val="right"/>
              <w:rPr>
                <w:rFonts w:ascii="Calibri" w:hAnsi="Calibri"/>
                <w:b/>
                <w:color w:val="000000"/>
                <w:sz w:val="22"/>
                <w:szCs w:val="22"/>
              </w:rPr>
            </w:pPr>
            <w:r w:rsidRPr="004E3C57">
              <w:rPr>
                <w:rFonts w:ascii="Calibri" w:hAnsi="Calibri"/>
                <w:b/>
                <w:color w:val="000000"/>
                <w:sz w:val="22"/>
                <w:szCs w:val="22"/>
              </w:rPr>
              <w:t>2019/20</w:t>
            </w:r>
          </w:p>
          <w:p w14:paraId="786EF1FE" w14:textId="77777777" w:rsidR="00377322" w:rsidRPr="004E3C57" w:rsidRDefault="00377322" w:rsidP="004E3C57">
            <w:pPr>
              <w:jc w:val="right"/>
              <w:rPr>
                <w:rFonts w:ascii="Calibri" w:hAnsi="Calibri"/>
                <w:b/>
                <w:color w:val="000000"/>
                <w:sz w:val="22"/>
                <w:szCs w:val="22"/>
              </w:rPr>
            </w:pPr>
            <w:r w:rsidRPr="004E3C57">
              <w:rPr>
                <w:rFonts w:ascii="Calibri" w:hAnsi="Calibri"/>
                <w:b/>
                <w:color w:val="000000"/>
                <w:sz w:val="22"/>
                <w:szCs w:val="22"/>
              </w:rPr>
              <w:t>£</w:t>
            </w:r>
          </w:p>
        </w:tc>
        <w:tc>
          <w:tcPr>
            <w:tcW w:w="1559" w:type="dxa"/>
            <w:shd w:val="clear" w:color="auto" w:fill="auto"/>
            <w:noWrap/>
            <w:vAlign w:val="bottom"/>
            <w:hideMark/>
          </w:tcPr>
          <w:p w14:paraId="5346A45E" w14:textId="77777777" w:rsidR="004D2286" w:rsidRPr="004E3C57" w:rsidRDefault="004D2286" w:rsidP="004E3C57">
            <w:pPr>
              <w:jc w:val="right"/>
              <w:rPr>
                <w:rFonts w:ascii="Calibri" w:hAnsi="Calibri"/>
                <w:b/>
                <w:color w:val="000000"/>
                <w:sz w:val="22"/>
                <w:szCs w:val="22"/>
              </w:rPr>
            </w:pPr>
            <w:r w:rsidRPr="004E3C57">
              <w:rPr>
                <w:rFonts w:ascii="Calibri" w:hAnsi="Calibri"/>
                <w:b/>
                <w:color w:val="000000"/>
                <w:sz w:val="22"/>
                <w:szCs w:val="22"/>
              </w:rPr>
              <w:t>Change</w:t>
            </w:r>
          </w:p>
          <w:p w14:paraId="581C972B" w14:textId="77777777" w:rsidR="00377322" w:rsidRPr="004E3C57" w:rsidRDefault="00377322" w:rsidP="004E3C57">
            <w:pPr>
              <w:jc w:val="right"/>
              <w:rPr>
                <w:rFonts w:ascii="Calibri" w:hAnsi="Calibri"/>
                <w:b/>
                <w:color w:val="000000"/>
                <w:sz w:val="22"/>
                <w:szCs w:val="22"/>
              </w:rPr>
            </w:pPr>
            <w:r w:rsidRPr="004E3C57">
              <w:rPr>
                <w:rFonts w:ascii="Calibri" w:hAnsi="Calibri"/>
                <w:b/>
                <w:color w:val="000000"/>
                <w:sz w:val="22"/>
                <w:szCs w:val="22"/>
              </w:rPr>
              <w:t>£</w:t>
            </w:r>
          </w:p>
        </w:tc>
      </w:tr>
      <w:tr w:rsidR="004D2286" w:rsidRPr="005B4A8D" w14:paraId="350AA37F" w14:textId="77777777" w:rsidTr="004E3C57">
        <w:trPr>
          <w:trHeight w:val="290"/>
        </w:trPr>
        <w:tc>
          <w:tcPr>
            <w:tcW w:w="3962" w:type="dxa"/>
            <w:shd w:val="clear" w:color="auto" w:fill="auto"/>
            <w:noWrap/>
            <w:vAlign w:val="bottom"/>
            <w:hideMark/>
          </w:tcPr>
          <w:p w14:paraId="42D6DB87" w14:textId="77777777" w:rsidR="004D2286" w:rsidRPr="005B4A8D" w:rsidRDefault="004D2286" w:rsidP="00D060AD">
            <w:pPr>
              <w:rPr>
                <w:rFonts w:ascii="Calibri" w:hAnsi="Calibri"/>
                <w:color w:val="000000"/>
                <w:sz w:val="22"/>
                <w:szCs w:val="22"/>
              </w:rPr>
            </w:pPr>
            <w:r w:rsidRPr="005B4A8D">
              <w:rPr>
                <w:rFonts w:ascii="Calibri" w:hAnsi="Calibri"/>
                <w:color w:val="000000"/>
                <w:sz w:val="22"/>
                <w:szCs w:val="22"/>
              </w:rPr>
              <w:t xml:space="preserve">Schools </w:t>
            </w:r>
            <w:r w:rsidR="00377322" w:rsidRPr="005B4A8D">
              <w:rPr>
                <w:rFonts w:ascii="Calibri" w:hAnsi="Calibri"/>
                <w:color w:val="000000"/>
                <w:sz w:val="22"/>
                <w:szCs w:val="22"/>
              </w:rPr>
              <w:t>b</w:t>
            </w:r>
            <w:r w:rsidRPr="005B4A8D">
              <w:rPr>
                <w:rFonts w:ascii="Calibri" w:hAnsi="Calibri"/>
                <w:color w:val="000000"/>
                <w:sz w:val="22"/>
                <w:szCs w:val="22"/>
              </w:rPr>
              <w:t>lock exc</w:t>
            </w:r>
            <w:r w:rsidR="007E3A48">
              <w:rPr>
                <w:rFonts w:ascii="Calibri" w:hAnsi="Calibri"/>
                <w:color w:val="000000"/>
                <w:sz w:val="22"/>
                <w:szCs w:val="22"/>
              </w:rPr>
              <w:t>l.</w:t>
            </w:r>
            <w:r w:rsidRPr="005B4A8D">
              <w:rPr>
                <w:rFonts w:ascii="Calibri" w:hAnsi="Calibri"/>
                <w:color w:val="000000"/>
                <w:sz w:val="22"/>
                <w:szCs w:val="22"/>
              </w:rPr>
              <w:t xml:space="preserve"> </w:t>
            </w:r>
            <w:r w:rsidR="00377322" w:rsidRPr="005B4A8D">
              <w:rPr>
                <w:rFonts w:ascii="Calibri" w:hAnsi="Calibri"/>
                <w:color w:val="000000"/>
                <w:sz w:val="22"/>
                <w:szCs w:val="22"/>
              </w:rPr>
              <w:t>g</w:t>
            </w:r>
            <w:r w:rsidRPr="005B4A8D">
              <w:rPr>
                <w:rFonts w:ascii="Calibri" w:hAnsi="Calibri"/>
                <w:color w:val="000000"/>
                <w:sz w:val="22"/>
                <w:szCs w:val="22"/>
              </w:rPr>
              <w:t>rowth</w:t>
            </w:r>
          </w:p>
        </w:tc>
        <w:tc>
          <w:tcPr>
            <w:tcW w:w="1843" w:type="dxa"/>
            <w:shd w:val="clear" w:color="auto" w:fill="auto"/>
            <w:noWrap/>
            <w:vAlign w:val="bottom"/>
            <w:hideMark/>
          </w:tcPr>
          <w:p w14:paraId="47B0AB73"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208,216,844 </w:t>
            </w:r>
          </w:p>
        </w:tc>
        <w:tc>
          <w:tcPr>
            <w:tcW w:w="1559" w:type="dxa"/>
            <w:shd w:val="clear" w:color="auto" w:fill="auto"/>
            <w:noWrap/>
            <w:vAlign w:val="bottom"/>
            <w:hideMark/>
          </w:tcPr>
          <w:p w14:paraId="5FAE39B6"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211,692,625 </w:t>
            </w:r>
          </w:p>
        </w:tc>
        <w:tc>
          <w:tcPr>
            <w:tcW w:w="1559" w:type="dxa"/>
            <w:shd w:val="clear" w:color="auto" w:fill="auto"/>
            <w:noWrap/>
            <w:vAlign w:val="bottom"/>
            <w:hideMark/>
          </w:tcPr>
          <w:p w14:paraId="39E8DA47"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3,475,781 </w:t>
            </w:r>
          </w:p>
        </w:tc>
      </w:tr>
      <w:tr w:rsidR="004D2286" w:rsidRPr="005B4A8D" w14:paraId="70E7992D" w14:textId="77777777" w:rsidTr="004E3C57">
        <w:trPr>
          <w:trHeight w:val="290"/>
        </w:trPr>
        <w:tc>
          <w:tcPr>
            <w:tcW w:w="3962" w:type="dxa"/>
            <w:shd w:val="clear" w:color="auto" w:fill="auto"/>
            <w:noWrap/>
            <w:vAlign w:val="bottom"/>
            <w:hideMark/>
          </w:tcPr>
          <w:p w14:paraId="742F0079" w14:textId="77777777" w:rsidR="004D2286" w:rsidRPr="005B4A8D" w:rsidRDefault="004D2286" w:rsidP="00D060AD">
            <w:pPr>
              <w:rPr>
                <w:rFonts w:ascii="Calibri" w:hAnsi="Calibri"/>
                <w:color w:val="000000"/>
                <w:sz w:val="22"/>
                <w:szCs w:val="22"/>
              </w:rPr>
            </w:pPr>
            <w:r w:rsidRPr="005B4A8D">
              <w:rPr>
                <w:rFonts w:ascii="Calibri" w:hAnsi="Calibri"/>
                <w:color w:val="000000"/>
                <w:sz w:val="22"/>
                <w:szCs w:val="22"/>
              </w:rPr>
              <w:t xml:space="preserve">Growth </w:t>
            </w:r>
          </w:p>
        </w:tc>
        <w:tc>
          <w:tcPr>
            <w:tcW w:w="1843" w:type="dxa"/>
            <w:shd w:val="clear" w:color="auto" w:fill="auto"/>
            <w:noWrap/>
            <w:vAlign w:val="bottom"/>
            <w:hideMark/>
          </w:tcPr>
          <w:p w14:paraId="4A320AC8"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4,044,032 </w:t>
            </w:r>
          </w:p>
        </w:tc>
        <w:tc>
          <w:tcPr>
            <w:tcW w:w="1559" w:type="dxa"/>
            <w:shd w:val="clear" w:color="auto" w:fill="auto"/>
            <w:noWrap/>
            <w:vAlign w:val="bottom"/>
            <w:hideMark/>
          </w:tcPr>
          <w:p w14:paraId="7CD478FD"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2,982,728 </w:t>
            </w:r>
          </w:p>
        </w:tc>
        <w:tc>
          <w:tcPr>
            <w:tcW w:w="1559" w:type="dxa"/>
            <w:shd w:val="clear" w:color="auto" w:fill="auto"/>
            <w:noWrap/>
            <w:vAlign w:val="bottom"/>
            <w:hideMark/>
          </w:tcPr>
          <w:p w14:paraId="7E32760C" w14:textId="77777777" w:rsidR="004D2286" w:rsidRPr="005B4A8D" w:rsidRDefault="00377322" w:rsidP="00377322">
            <w:pPr>
              <w:jc w:val="right"/>
              <w:rPr>
                <w:rFonts w:ascii="Calibri" w:hAnsi="Calibri"/>
                <w:color w:val="000000"/>
                <w:sz w:val="22"/>
                <w:szCs w:val="22"/>
              </w:rPr>
            </w:pPr>
            <w:r w:rsidRPr="004E3C57">
              <w:rPr>
                <w:rFonts w:ascii="Calibri" w:hAnsi="Calibri"/>
                <w:color w:val="FF0000"/>
                <w:sz w:val="22"/>
                <w:szCs w:val="22"/>
              </w:rPr>
              <w:t>(</w:t>
            </w:r>
            <w:r w:rsidR="004D2286" w:rsidRPr="004E3C57">
              <w:rPr>
                <w:rFonts w:ascii="Calibri" w:hAnsi="Calibri"/>
                <w:color w:val="FF0000"/>
                <w:sz w:val="22"/>
                <w:szCs w:val="22"/>
              </w:rPr>
              <w:t>1,061,304</w:t>
            </w:r>
            <w:r w:rsidRPr="004E3C57">
              <w:rPr>
                <w:rFonts w:ascii="Calibri" w:hAnsi="Calibri"/>
                <w:color w:val="FF0000"/>
                <w:sz w:val="22"/>
                <w:szCs w:val="22"/>
              </w:rPr>
              <w:t>)</w:t>
            </w:r>
            <w:r w:rsidR="004D2286" w:rsidRPr="004E3C57">
              <w:rPr>
                <w:rFonts w:ascii="Calibri" w:hAnsi="Calibri"/>
                <w:color w:val="FF0000"/>
                <w:sz w:val="22"/>
                <w:szCs w:val="22"/>
              </w:rPr>
              <w:t xml:space="preserve"> </w:t>
            </w:r>
          </w:p>
        </w:tc>
      </w:tr>
      <w:tr w:rsidR="004D2286" w:rsidRPr="005B4A8D" w14:paraId="5E7D8B7C" w14:textId="77777777" w:rsidTr="004E3C57">
        <w:trPr>
          <w:trHeight w:val="290"/>
        </w:trPr>
        <w:tc>
          <w:tcPr>
            <w:tcW w:w="3962" w:type="dxa"/>
            <w:shd w:val="clear" w:color="auto" w:fill="auto"/>
            <w:noWrap/>
            <w:vAlign w:val="bottom"/>
            <w:hideMark/>
          </w:tcPr>
          <w:p w14:paraId="7FEC460F" w14:textId="77777777" w:rsidR="004D2286" w:rsidRPr="005B4A8D" w:rsidRDefault="004D2286" w:rsidP="00D060AD">
            <w:pPr>
              <w:rPr>
                <w:rFonts w:ascii="Calibri" w:hAnsi="Calibri"/>
                <w:color w:val="000000"/>
                <w:sz w:val="22"/>
                <w:szCs w:val="22"/>
              </w:rPr>
            </w:pPr>
            <w:r w:rsidRPr="005B4A8D">
              <w:rPr>
                <w:rFonts w:ascii="Calibri" w:hAnsi="Calibri"/>
                <w:color w:val="000000"/>
                <w:sz w:val="22"/>
                <w:szCs w:val="22"/>
              </w:rPr>
              <w:t xml:space="preserve">High </w:t>
            </w:r>
            <w:r w:rsidR="00377322" w:rsidRPr="005B4A8D">
              <w:rPr>
                <w:rFonts w:ascii="Calibri" w:hAnsi="Calibri"/>
                <w:color w:val="000000"/>
                <w:sz w:val="22"/>
                <w:szCs w:val="22"/>
              </w:rPr>
              <w:t>n</w:t>
            </w:r>
            <w:r w:rsidRPr="005B4A8D">
              <w:rPr>
                <w:rFonts w:ascii="Calibri" w:hAnsi="Calibri"/>
                <w:color w:val="000000"/>
                <w:sz w:val="22"/>
                <w:szCs w:val="22"/>
              </w:rPr>
              <w:t xml:space="preserve">eeds </w:t>
            </w:r>
            <w:r w:rsidR="00377322" w:rsidRPr="005B4A8D">
              <w:rPr>
                <w:rFonts w:ascii="Calibri" w:hAnsi="Calibri"/>
                <w:color w:val="000000"/>
                <w:sz w:val="22"/>
                <w:szCs w:val="22"/>
              </w:rPr>
              <w:t>b</w:t>
            </w:r>
            <w:r w:rsidRPr="005B4A8D">
              <w:rPr>
                <w:rFonts w:ascii="Calibri" w:hAnsi="Calibri"/>
                <w:color w:val="000000"/>
                <w:sz w:val="22"/>
                <w:szCs w:val="22"/>
              </w:rPr>
              <w:t>lock</w:t>
            </w:r>
          </w:p>
        </w:tc>
        <w:tc>
          <w:tcPr>
            <w:tcW w:w="1843" w:type="dxa"/>
            <w:shd w:val="clear" w:color="auto" w:fill="auto"/>
            <w:noWrap/>
            <w:vAlign w:val="bottom"/>
            <w:hideMark/>
          </w:tcPr>
          <w:p w14:paraId="2648B140"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27,971,413 </w:t>
            </w:r>
          </w:p>
        </w:tc>
        <w:tc>
          <w:tcPr>
            <w:tcW w:w="1559" w:type="dxa"/>
            <w:shd w:val="clear" w:color="auto" w:fill="auto"/>
            <w:noWrap/>
            <w:vAlign w:val="bottom"/>
            <w:hideMark/>
          </w:tcPr>
          <w:p w14:paraId="4DC4AB35"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29,625,741 </w:t>
            </w:r>
          </w:p>
        </w:tc>
        <w:tc>
          <w:tcPr>
            <w:tcW w:w="1559" w:type="dxa"/>
            <w:shd w:val="clear" w:color="auto" w:fill="auto"/>
            <w:noWrap/>
            <w:vAlign w:val="bottom"/>
            <w:hideMark/>
          </w:tcPr>
          <w:p w14:paraId="0CE8EA9F"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1,654,328 </w:t>
            </w:r>
          </w:p>
        </w:tc>
      </w:tr>
      <w:tr w:rsidR="00EF37A6" w:rsidRPr="00EF37A6" w14:paraId="48CEA5AC" w14:textId="77777777" w:rsidTr="004E3C57">
        <w:trPr>
          <w:trHeight w:val="290"/>
        </w:trPr>
        <w:tc>
          <w:tcPr>
            <w:tcW w:w="3962" w:type="dxa"/>
            <w:shd w:val="clear" w:color="auto" w:fill="auto"/>
            <w:noWrap/>
            <w:vAlign w:val="bottom"/>
            <w:hideMark/>
          </w:tcPr>
          <w:p w14:paraId="115CF6F5" w14:textId="77777777" w:rsidR="004D2286" w:rsidRPr="005B4A8D" w:rsidRDefault="004D2286" w:rsidP="00D060AD">
            <w:pPr>
              <w:rPr>
                <w:rFonts w:ascii="Calibri" w:hAnsi="Calibri"/>
                <w:color w:val="000000"/>
                <w:sz w:val="22"/>
                <w:szCs w:val="22"/>
              </w:rPr>
            </w:pPr>
            <w:r w:rsidRPr="005B4A8D">
              <w:rPr>
                <w:rFonts w:ascii="Calibri" w:hAnsi="Calibri"/>
                <w:color w:val="000000"/>
                <w:sz w:val="22"/>
                <w:szCs w:val="22"/>
              </w:rPr>
              <w:t xml:space="preserve">Central </w:t>
            </w:r>
            <w:r w:rsidR="00377322" w:rsidRPr="005B4A8D">
              <w:rPr>
                <w:rFonts w:ascii="Calibri" w:hAnsi="Calibri"/>
                <w:color w:val="000000"/>
                <w:sz w:val="22"/>
                <w:szCs w:val="22"/>
              </w:rPr>
              <w:t>s</w:t>
            </w:r>
            <w:r w:rsidRPr="005B4A8D">
              <w:rPr>
                <w:rFonts w:ascii="Calibri" w:hAnsi="Calibri"/>
                <w:color w:val="000000"/>
                <w:sz w:val="22"/>
                <w:szCs w:val="22"/>
              </w:rPr>
              <w:t xml:space="preserve">chools </w:t>
            </w:r>
            <w:r w:rsidR="00377322" w:rsidRPr="005B4A8D">
              <w:rPr>
                <w:rFonts w:ascii="Calibri" w:hAnsi="Calibri"/>
                <w:color w:val="000000"/>
                <w:sz w:val="22"/>
                <w:szCs w:val="22"/>
              </w:rPr>
              <w:t>s</w:t>
            </w:r>
            <w:r w:rsidRPr="005B4A8D">
              <w:rPr>
                <w:rFonts w:ascii="Calibri" w:hAnsi="Calibri"/>
                <w:color w:val="000000"/>
                <w:sz w:val="22"/>
                <w:szCs w:val="22"/>
              </w:rPr>
              <w:t xml:space="preserve">ervices </w:t>
            </w:r>
            <w:r w:rsidR="00377322" w:rsidRPr="005B4A8D">
              <w:rPr>
                <w:rFonts w:ascii="Calibri" w:hAnsi="Calibri"/>
                <w:color w:val="000000"/>
                <w:sz w:val="22"/>
                <w:szCs w:val="22"/>
              </w:rPr>
              <w:t>b</w:t>
            </w:r>
            <w:r w:rsidRPr="005B4A8D">
              <w:rPr>
                <w:rFonts w:ascii="Calibri" w:hAnsi="Calibri"/>
                <w:color w:val="000000"/>
                <w:sz w:val="22"/>
                <w:szCs w:val="22"/>
              </w:rPr>
              <w:t>lock</w:t>
            </w:r>
          </w:p>
        </w:tc>
        <w:tc>
          <w:tcPr>
            <w:tcW w:w="1843" w:type="dxa"/>
            <w:shd w:val="clear" w:color="auto" w:fill="auto"/>
            <w:noWrap/>
            <w:vAlign w:val="bottom"/>
            <w:hideMark/>
          </w:tcPr>
          <w:p w14:paraId="367ABF7D"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2,559,240 </w:t>
            </w:r>
          </w:p>
        </w:tc>
        <w:tc>
          <w:tcPr>
            <w:tcW w:w="1559" w:type="dxa"/>
            <w:shd w:val="clear" w:color="auto" w:fill="auto"/>
            <w:noWrap/>
            <w:vAlign w:val="bottom"/>
            <w:hideMark/>
          </w:tcPr>
          <w:p w14:paraId="1E10F7E0" w14:textId="77777777" w:rsidR="004D2286" w:rsidRPr="005B4A8D" w:rsidRDefault="004D2286" w:rsidP="00377322">
            <w:pPr>
              <w:jc w:val="right"/>
              <w:rPr>
                <w:rFonts w:ascii="Calibri" w:hAnsi="Calibri"/>
                <w:color w:val="000000"/>
                <w:sz w:val="22"/>
                <w:szCs w:val="22"/>
              </w:rPr>
            </w:pPr>
            <w:r w:rsidRPr="005B4A8D">
              <w:rPr>
                <w:rFonts w:ascii="Calibri" w:hAnsi="Calibri"/>
                <w:color w:val="000000"/>
                <w:sz w:val="22"/>
                <w:szCs w:val="22"/>
              </w:rPr>
              <w:t xml:space="preserve">2,558,366 </w:t>
            </w:r>
          </w:p>
        </w:tc>
        <w:tc>
          <w:tcPr>
            <w:tcW w:w="1559" w:type="dxa"/>
            <w:shd w:val="clear" w:color="auto" w:fill="auto"/>
            <w:noWrap/>
            <w:vAlign w:val="bottom"/>
            <w:hideMark/>
          </w:tcPr>
          <w:p w14:paraId="0C022192" w14:textId="77777777" w:rsidR="004D2286" w:rsidRPr="004E3C57" w:rsidRDefault="00377322" w:rsidP="00377322">
            <w:pPr>
              <w:jc w:val="right"/>
              <w:rPr>
                <w:rFonts w:ascii="Calibri" w:hAnsi="Calibri"/>
                <w:color w:val="FF0000"/>
                <w:sz w:val="22"/>
                <w:szCs w:val="22"/>
              </w:rPr>
            </w:pPr>
            <w:r w:rsidRPr="004E3C57">
              <w:rPr>
                <w:rFonts w:ascii="Calibri" w:hAnsi="Calibri"/>
                <w:color w:val="FF0000"/>
                <w:sz w:val="22"/>
                <w:szCs w:val="22"/>
              </w:rPr>
              <w:t>(</w:t>
            </w:r>
            <w:r w:rsidR="004D2286" w:rsidRPr="004E3C57">
              <w:rPr>
                <w:rFonts w:ascii="Calibri" w:hAnsi="Calibri"/>
                <w:color w:val="FF0000"/>
                <w:sz w:val="22"/>
                <w:szCs w:val="22"/>
              </w:rPr>
              <w:t>874</w:t>
            </w:r>
            <w:r w:rsidRPr="004E3C57">
              <w:rPr>
                <w:rFonts w:ascii="Calibri" w:hAnsi="Calibri"/>
                <w:color w:val="FF0000"/>
                <w:sz w:val="22"/>
                <w:szCs w:val="22"/>
              </w:rPr>
              <w:t>)</w:t>
            </w:r>
            <w:r w:rsidR="004D2286" w:rsidRPr="004E3C57">
              <w:rPr>
                <w:rFonts w:ascii="Calibri" w:hAnsi="Calibri"/>
                <w:color w:val="FF0000"/>
                <w:sz w:val="22"/>
                <w:szCs w:val="22"/>
              </w:rPr>
              <w:t xml:space="preserve"> </w:t>
            </w:r>
          </w:p>
        </w:tc>
      </w:tr>
      <w:tr w:rsidR="004D2286" w:rsidRPr="005B4A8D" w14:paraId="76A1EA0A" w14:textId="77777777" w:rsidTr="004E3C57">
        <w:trPr>
          <w:trHeight w:val="290"/>
        </w:trPr>
        <w:tc>
          <w:tcPr>
            <w:tcW w:w="3962" w:type="dxa"/>
            <w:shd w:val="clear" w:color="auto" w:fill="auto"/>
            <w:noWrap/>
            <w:vAlign w:val="bottom"/>
            <w:hideMark/>
          </w:tcPr>
          <w:p w14:paraId="3AB683D6" w14:textId="77777777" w:rsidR="004D2286" w:rsidRPr="005B4A8D" w:rsidRDefault="004D2286" w:rsidP="00D060AD">
            <w:pPr>
              <w:rPr>
                <w:rFonts w:ascii="Calibri" w:hAnsi="Calibri"/>
                <w:b/>
                <w:color w:val="000000"/>
                <w:sz w:val="22"/>
                <w:szCs w:val="22"/>
              </w:rPr>
            </w:pPr>
            <w:r w:rsidRPr="005B4A8D">
              <w:rPr>
                <w:rFonts w:ascii="Calibri" w:hAnsi="Calibri"/>
                <w:b/>
                <w:color w:val="000000"/>
                <w:sz w:val="22"/>
                <w:szCs w:val="22"/>
              </w:rPr>
              <w:t>TOTAL</w:t>
            </w:r>
          </w:p>
        </w:tc>
        <w:tc>
          <w:tcPr>
            <w:tcW w:w="1843" w:type="dxa"/>
            <w:shd w:val="clear" w:color="auto" w:fill="auto"/>
            <w:noWrap/>
            <w:vAlign w:val="bottom"/>
            <w:hideMark/>
          </w:tcPr>
          <w:p w14:paraId="06EC861B" w14:textId="77777777" w:rsidR="004D2286" w:rsidRPr="005B4A8D" w:rsidRDefault="004D2286" w:rsidP="00377322">
            <w:pPr>
              <w:jc w:val="right"/>
              <w:rPr>
                <w:rFonts w:ascii="Calibri" w:hAnsi="Calibri"/>
                <w:b/>
                <w:color w:val="000000"/>
                <w:sz w:val="22"/>
                <w:szCs w:val="22"/>
              </w:rPr>
            </w:pPr>
            <w:r w:rsidRPr="005B4A8D">
              <w:rPr>
                <w:rFonts w:ascii="Calibri" w:hAnsi="Calibri"/>
                <w:b/>
                <w:color w:val="000000"/>
                <w:sz w:val="22"/>
                <w:szCs w:val="22"/>
              </w:rPr>
              <w:t xml:space="preserve">242,791,529 </w:t>
            </w:r>
          </w:p>
        </w:tc>
        <w:tc>
          <w:tcPr>
            <w:tcW w:w="1559" w:type="dxa"/>
            <w:shd w:val="clear" w:color="auto" w:fill="auto"/>
            <w:noWrap/>
            <w:vAlign w:val="bottom"/>
            <w:hideMark/>
          </w:tcPr>
          <w:p w14:paraId="3AE179B9" w14:textId="77777777" w:rsidR="004D2286" w:rsidRPr="005B4A8D" w:rsidRDefault="004D2286" w:rsidP="00377322">
            <w:pPr>
              <w:jc w:val="right"/>
              <w:rPr>
                <w:rFonts w:ascii="Calibri" w:hAnsi="Calibri"/>
                <w:b/>
                <w:color w:val="000000"/>
                <w:sz w:val="22"/>
                <w:szCs w:val="22"/>
              </w:rPr>
            </w:pPr>
            <w:r w:rsidRPr="005B4A8D">
              <w:rPr>
                <w:rFonts w:ascii="Calibri" w:hAnsi="Calibri"/>
                <w:b/>
                <w:color w:val="000000"/>
                <w:sz w:val="22"/>
                <w:szCs w:val="22"/>
              </w:rPr>
              <w:t>246,8</w:t>
            </w:r>
            <w:r w:rsidR="00B0681C">
              <w:rPr>
                <w:rFonts w:ascii="Calibri" w:hAnsi="Calibri"/>
                <w:b/>
                <w:color w:val="000000"/>
                <w:sz w:val="22"/>
                <w:szCs w:val="22"/>
              </w:rPr>
              <w:t>60</w:t>
            </w:r>
            <w:r w:rsidRPr="005B4A8D">
              <w:rPr>
                <w:rFonts w:ascii="Calibri" w:hAnsi="Calibri"/>
                <w:b/>
                <w:color w:val="000000"/>
                <w:sz w:val="22"/>
                <w:szCs w:val="22"/>
              </w:rPr>
              <w:t xml:space="preserve">,460 </w:t>
            </w:r>
          </w:p>
        </w:tc>
        <w:tc>
          <w:tcPr>
            <w:tcW w:w="1559" w:type="dxa"/>
            <w:shd w:val="clear" w:color="auto" w:fill="auto"/>
            <w:noWrap/>
            <w:vAlign w:val="bottom"/>
            <w:hideMark/>
          </w:tcPr>
          <w:p w14:paraId="770785B8" w14:textId="77777777" w:rsidR="004D2286" w:rsidRPr="005B4A8D" w:rsidRDefault="004D2286" w:rsidP="00377322">
            <w:pPr>
              <w:jc w:val="right"/>
              <w:rPr>
                <w:rFonts w:ascii="Calibri" w:hAnsi="Calibri"/>
                <w:b/>
                <w:color w:val="000000"/>
                <w:sz w:val="22"/>
                <w:szCs w:val="22"/>
              </w:rPr>
            </w:pPr>
            <w:r w:rsidRPr="005B4A8D">
              <w:rPr>
                <w:rFonts w:ascii="Calibri" w:hAnsi="Calibri"/>
                <w:b/>
                <w:color w:val="000000"/>
                <w:sz w:val="22"/>
                <w:szCs w:val="22"/>
              </w:rPr>
              <w:t xml:space="preserve">4,067,931 </w:t>
            </w:r>
          </w:p>
        </w:tc>
      </w:tr>
    </w:tbl>
    <w:p w14:paraId="3C9C67C3" w14:textId="77777777" w:rsidR="002C0CCC" w:rsidRPr="005B4A8D" w:rsidRDefault="002C0CCC" w:rsidP="002C0CCC">
      <w:pPr>
        <w:pStyle w:val="ListParagraph"/>
        <w:rPr>
          <w:color w:val="4472C4"/>
        </w:rPr>
      </w:pPr>
    </w:p>
    <w:p w14:paraId="57456D7E" w14:textId="77777777" w:rsidR="00DF502D" w:rsidRPr="004E3C57" w:rsidRDefault="00DF502D" w:rsidP="004E3C57">
      <w:pPr>
        <w:ind w:left="709"/>
        <w:jc w:val="both"/>
        <w:rPr>
          <w:sz w:val="23"/>
          <w:szCs w:val="23"/>
        </w:rPr>
      </w:pPr>
      <w:r w:rsidRPr="004E3C57">
        <w:rPr>
          <w:sz w:val="23"/>
          <w:szCs w:val="23"/>
        </w:rPr>
        <w:t>Table</w:t>
      </w:r>
      <w:r w:rsidR="003464FC" w:rsidRPr="004E3C57">
        <w:rPr>
          <w:sz w:val="23"/>
          <w:szCs w:val="23"/>
        </w:rPr>
        <w:t xml:space="preserve"> </w:t>
      </w:r>
      <w:r w:rsidR="003E2AE5" w:rsidRPr="004E3C57">
        <w:rPr>
          <w:sz w:val="23"/>
          <w:szCs w:val="23"/>
        </w:rPr>
        <w:t>4</w:t>
      </w:r>
      <w:r w:rsidRPr="004E3C57">
        <w:rPr>
          <w:sz w:val="23"/>
          <w:szCs w:val="23"/>
        </w:rPr>
        <w:t>:</w:t>
      </w:r>
      <w:r w:rsidR="001E010D" w:rsidRPr="004E3C57">
        <w:rPr>
          <w:sz w:val="23"/>
          <w:szCs w:val="23"/>
        </w:rPr>
        <w:t xml:space="preserve"> DSG block allocations for 2018/19 and 2019/20 (provisional)</w:t>
      </w:r>
    </w:p>
    <w:p w14:paraId="1D8669D2" w14:textId="77777777" w:rsidR="00621F58" w:rsidRPr="005B4A8D" w:rsidRDefault="00621F58" w:rsidP="002C0CCC">
      <w:pPr>
        <w:pStyle w:val="ListParagraph"/>
        <w:rPr>
          <w:color w:val="4472C4"/>
        </w:rPr>
      </w:pPr>
    </w:p>
    <w:p w14:paraId="4896581C" w14:textId="77777777" w:rsidR="002C0CCC" w:rsidRPr="005B4A8D" w:rsidRDefault="002C0CCC" w:rsidP="00494474">
      <w:pPr>
        <w:pStyle w:val="ListParagraph"/>
        <w:numPr>
          <w:ilvl w:val="1"/>
          <w:numId w:val="2"/>
        </w:numPr>
        <w:tabs>
          <w:tab w:val="clear" w:pos="360"/>
        </w:tabs>
        <w:ind w:left="709" w:hanging="709"/>
        <w:jc w:val="both"/>
      </w:pPr>
      <w:r w:rsidRPr="005B4A8D">
        <w:t xml:space="preserve">In addition to extending the transition period the DfE have also introduced a formula funding method for allocation of growth funding. This will be based on changes in pupil numbers at the </w:t>
      </w:r>
      <w:r w:rsidR="00377322" w:rsidRPr="005B4A8D">
        <w:t>m</w:t>
      </w:r>
      <w:r w:rsidRPr="005B4A8D">
        <w:t xml:space="preserve">iddle </w:t>
      </w:r>
      <w:r w:rsidR="00377322" w:rsidRPr="005B4A8D">
        <w:t>l</w:t>
      </w:r>
      <w:r w:rsidRPr="005B4A8D">
        <w:t xml:space="preserve">ayer </w:t>
      </w:r>
      <w:r w:rsidR="00377322" w:rsidRPr="005B4A8D">
        <w:t>s</w:t>
      </w:r>
      <w:r w:rsidRPr="005B4A8D">
        <w:t xml:space="preserve">uper </w:t>
      </w:r>
      <w:r w:rsidR="00377322" w:rsidRPr="005B4A8D">
        <w:t>o</w:t>
      </w:r>
      <w:r w:rsidRPr="005B4A8D">
        <w:t xml:space="preserve">utput </w:t>
      </w:r>
      <w:r w:rsidR="00377322" w:rsidRPr="005B4A8D">
        <w:t>a</w:t>
      </w:r>
      <w:r w:rsidRPr="005B4A8D">
        <w:t xml:space="preserve">rea (a geographical unit used by the Statistics Office) between October census periods. As such, it will be lagged funding and may be subject to year on year fluctuations. To protect </w:t>
      </w:r>
      <w:r w:rsidR="00377322" w:rsidRPr="005B4A8D">
        <w:t>l</w:t>
      </w:r>
      <w:r w:rsidRPr="005B4A8D">
        <w:t xml:space="preserve">ocal </w:t>
      </w:r>
      <w:r w:rsidR="00377322" w:rsidRPr="005B4A8D">
        <w:t>a</w:t>
      </w:r>
      <w:r w:rsidRPr="005B4A8D">
        <w:t>uthorities from sudden fluctuations and recognising that growth planning for 2019</w:t>
      </w:r>
      <w:r w:rsidR="00377322" w:rsidRPr="005B4A8D">
        <w:t>/</w:t>
      </w:r>
      <w:r w:rsidRPr="005B4A8D">
        <w:t>20 may already be advanced, there will be transitional protection arrangements in place. Under the formula LBBD would have received only £1.938m</w:t>
      </w:r>
      <w:r w:rsidR="00E36180" w:rsidRPr="005B4A8D">
        <w:t xml:space="preserve"> before protection</w:t>
      </w:r>
      <w:r w:rsidRPr="005B4A8D">
        <w:t xml:space="preserve"> </w:t>
      </w:r>
      <w:r w:rsidR="00E36180" w:rsidRPr="005B4A8D">
        <w:t xml:space="preserve">and </w:t>
      </w:r>
      <w:r w:rsidRPr="005B4A8D">
        <w:t>£2.983m</w:t>
      </w:r>
      <w:r w:rsidR="00E36180" w:rsidRPr="005B4A8D">
        <w:t xml:space="preserve"> </w:t>
      </w:r>
      <w:r w:rsidR="00B0681C">
        <w:t>after</w:t>
      </w:r>
      <w:r w:rsidR="00E36180" w:rsidRPr="005B4A8D">
        <w:t>.</w:t>
      </w:r>
    </w:p>
    <w:p w14:paraId="4ABEF433" w14:textId="77777777" w:rsidR="002C0CCC" w:rsidRPr="005B4A8D" w:rsidRDefault="002C0CCC" w:rsidP="00494474">
      <w:pPr>
        <w:pStyle w:val="ListParagraph"/>
        <w:ind w:left="709"/>
        <w:jc w:val="both"/>
      </w:pPr>
    </w:p>
    <w:p w14:paraId="1AAB340D" w14:textId="77777777" w:rsidR="002C0CCC" w:rsidRPr="00573970" w:rsidRDefault="002C0CCC" w:rsidP="00494474">
      <w:pPr>
        <w:pStyle w:val="ListParagraph"/>
        <w:numPr>
          <w:ilvl w:val="1"/>
          <w:numId w:val="2"/>
        </w:numPr>
        <w:tabs>
          <w:tab w:val="clear" w:pos="360"/>
        </w:tabs>
        <w:ind w:left="709" w:hanging="709"/>
        <w:jc w:val="both"/>
      </w:pPr>
      <w:r w:rsidRPr="005B4A8D">
        <w:t xml:space="preserve">The cap on gains on the </w:t>
      </w:r>
      <w:r w:rsidR="00377322" w:rsidRPr="005B4A8D">
        <w:t>h</w:t>
      </w:r>
      <w:r w:rsidRPr="005B4A8D">
        <w:t xml:space="preserve">igh </w:t>
      </w:r>
      <w:r w:rsidR="00377322" w:rsidRPr="005B4A8D">
        <w:t>n</w:t>
      </w:r>
      <w:r w:rsidRPr="005B4A8D">
        <w:t xml:space="preserve">eeds </w:t>
      </w:r>
      <w:r w:rsidR="00377322" w:rsidRPr="005B4A8D">
        <w:t>b</w:t>
      </w:r>
      <w:r w:rsidRPr="005B4A8D">
        <w:t>lock has been raised very slightly and LBBD will continue to gain year on year</w:t>
      </w:r>
      <w:r w:rsidR="00864CEC" w:rsidRPr="005B4A8D">
        <w:t xml:space="preserve">.  The </w:t>
      </w:r>
      <w:r w:rsidR="00377322" w:rsidRPr="005B4A8D">
        <w:t>h</w:t>
      </w:r>
      <w:r w:rsidR="00864CEC" w:rsidRPr="005B4A8D">
        <w:t xml:space="preserve">igh </w:t>
      </w:r>
      <w:r w:rsidR="00377322" w:rsidRPr="005B4A8D">
        <w:t>n</w:t>
      </w:r>
      <w:r w:rsidR="00864CEC" w:rsidRPr="005B4A8D">
        <w:t xml:space="preserve">eeds </w:t>
      </w:r>
      <w:r w:rsidR="00377322" w:rsidRPr="005B4A8D">
        <w:t>b</w:t>
      </w:r>
      <w:r w:rsidR="00864CEC" w:rsidRPr="005B4A8D">
        <w:t xml:space="preserve">lock for 2019/20 </w:t>
      </w:r>
      <w:r w:rsidR="00DF502D" w:rsidRPr="005B4A8D">
        <w:t xml:space="preserve">is expected to </w:t>
      </w:r>
      <w:r w:rsidR="00864CEC" w:rsidRPr="005B4A8D">
        <w:t xml:space="preserve">increase to £29.625m in total. </w:t>
      </w:r>
      <w:r w:rsidR="00377322" w:rsidRPr="005B4A8D">
        <w:t>H</w:t>
      </w:r>
      <w:r w:rsidR="00864CEC" w:rsidRPr="005B4A8D">
        <w:t>owever</w:t>
      </w:r>
      <w:r w:rsidR="00377322" w:rsidRPr="005B4A8D">
        <w:t>,</w:t>
      </w:r>
      <w:r w:rsidR="00864CEC" w:rsidRPr="005B4A8D">
        <w:t xml:space="preserve"> </w:t>
      </w:r>
      <w:r w:rsidR="00377322" w:rsidRPr="005B4A8D">
        <w:t xml:space="preserve">this is </w:t>
      </w:r>
      <w:r w:rsidR="00864CEC" w:rsidRPr="005B4A8D">
        <w:t xml:space="preserve">still </w:t>
      </w:r>
      <w:r w:rsidR="00864CEC" w:rsidRPr="00573970">
        <w:t>£2.1</w:t>
      </w:r>
      <w:r w:rsidR="00B0681C">
        <w:t>46</w:t>
      </w:r>
      <w:r w:rsidR="00864CEC" w:rsidRPr="00573970">
        <w:t>m s</w:t>
      </w:r>
      <w:r w:rsidR="00864CEC" w:rsidRPr="005B4A8D">
        <w:t xml:space="preserve">hort of the full </w:t>
      </w:r>
      <w:r w:rsidR="0013113C">
        <w:t xml:space="preserve">illustrative </w:t>
      </w:r>
      <w:r w:rsidR="00864CEC" w:rsidRPr="005B4A8D">
        <w:t xml:space="preserve">formula allocation </w:t>
      </w:r>
      <w:r w:rsidR="0013113C">
        <w:t xml:space="preserve">of </w:t>
      </w:r>
      <w:r w:rsidR="00864CEC" w:rsidRPr="00896C7F">
        <w:t>£31.771m.</w:t>
      </w:r>
      <w:r w:rsidR="00864CEC" w:rsidRPr="005B4A8D">
        <w:t xml:space="preserve">  </w:t>
      </w:r>
      <w:r w:rsidR="00D060AD" w:rsidRPr="005B4A8D">
        <w:t xml:space="preserve">It is also not expected to be sufficient to fund the full level of pressures within the </w:t>
      </w:r>
      <w:r w:rsidR="00377322" w:rsidRPr="005B4A8D">
        <w:t>h</w:t>
      </w:r>
      <w:r w:rsidR="00D060AD" w:rsidRPr="005B4A8D">
        <w:t xml:space="preserve">igh </w:t>
      </w:r>
      <w:r w:rsidR="00377322" w:rsidRPr="005B4A8D">
        <w:t>n</w:t>
      </w:r>
      <w:r w:rsidR="00D060AD" w:rsidRPr="005B4A8D">
        <w:t xml:space="preserve">eeds </w:t>
      </w:r>
      <w:r w:rsidR="00377322" w:rsidRPr="005B4A8D">
        <w:t>b</w:t>
      </w:r>
      <w:r w:rsidR="00D060AD" w:rsidRPr="005B4A8D">
        <w:t xml:space="preserve">lock which currently </w:t>
      </w:r>
      <w:r w:rsidR="00D060AD" w:rsidRPr="00573970">
        <w:t>are £2.9</w:t>
      </w:r>
      <w:r w:rsidR="00B0681C">
        <w:t>14</w:t>
      </w:r>
      <w:r w:rsidR="00D060AD" w:rsidRPr="00573970">
        <w:t xml:space="preserve">m above the HNB grant funding.  </w:t>
      </w:r>
    </w:p>
    <w:p w14:paraId="34F8A34D" w14:textId="77777777" w:rsidR="00D060AD" w:rsidRPr="005B4A8D" w:rsidRDefault="00D060AD" w:rsidP="00494474">
      <w:pPr>
        <w:pStyle w:val="ListParagraph"/>
        <w:jc w:val="both"/>
      </w:pPr>
    </w:p>
    <w:p w14:paraId="419D8CE0" w14:textId="77777777" w:rsidR="00405564" w:rsidRPr="001C5D12" w:rsidRDefault="00D060AD" w:rsidP="00494474">
      <w:pPr>
        <w:pStyle w:val="ListParagraph"/>
        <w:numPr>
          <w:ilvl w:val="1"/>
          <w:numId w:val="2"/>
        </w:numPr>
        <w:tabs>
          <w:tab w:val="clear" w:pos="360"/>
        </w:tabs>
        <w:ind w:left="709" w:hanging="709"/>
        <w:jc w:val="both"/>
      </w:pPr>
      <w:r w:rsidRPr="005B4A8D">
        <w:t xml:space="preserve">In 2018/19 </w:t>
      </w:r>
      <w:r w:rsidR="00377322" w:rsidRPr="005B4A8D">
        <w:t>s</w:t>
      </w:r>
      <w:r w:rsidRPr="005B4A8D">
        <w:t xml:space="preserve">chools </w:t>
      </w:r>
      <w:r w:rsidR="00377322" w:rsidRPr="005B4A8D">
        <w:t>f</w:t>
      </w:r>
      <w:r w:rsidRPr="005B4A8D">
        <w:t xml:space="preserve">orum agreed a transfer of </w:t>
      </w:r>
      <w:r w:rsidRPr="00573970">
        <w:t>£0.75</w:t>
      </w:r>
      <w:r w:rsidR="00B0681C">
        <w:t>0</w:t>
      </w:r>
      <w:r w:rsidRPr="00573970">
        <w:t xml:space="preserve">m </w:t>
      </w:r>
      <w:r w:rsidRPr="005B4A8D">
        <w:t xml:space="preserve">or 0.35% from </w:t>
      </w:r>
      <w:r w:rsidR="00377322" w:rsidRPr="005B4A8D">
        <w:t>s</w:t>
      </w:r>
      <w:r w:rsidRPr="005B4A8D">
        <w:t xml:space="preserve">chools </w:t>
      </w:r>
      <w:r w:rsidR="00377322" w:rsidRPr="005B4A8D">
        <w:t>b</w:t>
      </w:r>
      <w:r w:rsidRPr="005B4A8D">
        <w:t xml:space="preserve">lock to the </w:t>
      </w:r>
      <w:r w:rsidR="00377322" w:rsidRPr="005B4A8D">
        <w:t>h</w:t>
      </w:r>
      <w:r w:rsidRPr="005B4A8D">
        <w:t xml:space="preserve">igh </w:t>
      </w:r>
      <w:r w:rsidR="00377322" w:rsidRPr="005B4A8D">
        <w:t>n</w:t>
      </w:r>
      <w:r w:rsidRPr="005B4A8D">
        <w:t xml:space="preserve">eeds </w:t>
      </w:r>
      <w:r w:rsidR="00377322" w:rsidRPr="005B4A8D">
        <w:t>b</w:t>
      </w:r>
      <w:r w:rsidRPr="005B4A8D">
        <w:t>lock to partially offset the pressures. However</w:t>
      </w:r>
      <w:r w:rsidR="00377322" w:rsidRPr="005B4A8D">
        <w:t>,</w:t>
      </w:r>
      <w:r w:rsidRPr="005B4A8D">
        <w:t xml:space="preserve"> there is still an outstanding pressure of £2.2</w:t>
      </w:r>
      <w:r w:rsidR="00EF37A6">
        <w:t>1</w:t>
      </w:r>
      <w:r w:rsidR="00B0681C">
        <w:t>4</w:t>
      </w:r>
      <w:r w:rsidRPr="005B4A8D">
        <w:t>m on this block</w:t>
      </w:r>
      <w:r w:rsidR="00405564" w:rsidRPr="001C5D12">
        <w:t>, ongoing</w:t>
      </w:r>
      <w:r w:rsidRPr="005B4A8D">
        <w:t xml:space="preserve">.  </w:t>
      </w:r>
    </w:p>
    <w:p w14:paraId="5432474A" w14:textId="77777777" w:rsidR="003F68B0" w:rsidRDefault="003F68B0" w:rsidP="001C5D12">
      <w:pPr>
        <w:pStyle w:val="ListParagraph"/>
      </w:pPr>
    </w:p>
    <w:tbl>
      <w:tblPr>
        <w:tblStyle w:val="TableGrid"/>
        <w:tblW w:w="0" w:type="auto"/>
        <w:tblInd w:w="7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59"/>
        <w:gridCol w:w="2543"/>
      </w:tblGrid>
      <w:tr w:rsidR="00C805BD" w:rsidRPr="00AF476D" w14:paraId="0C6CE7E1" w14:textId="77777777" w:rsidTr="00C007F9">
        <w:tc>
          <w:tcPr>
            <w:tcW w:w="6374" w:type="dxa"/>
          </w:tcPr>
          <w:p w14:paraId="27E5BA86" w14:textId="77777777" w:rsidR="00C805BD" w:rsidRPr="000A2CB4" w:rsidRDefault="00C805BD" w:rsidP="00405564">
            <w:pPr>
              <w:pStyle w:val="ListParagraph"/>
              <w:ind w:left="0"/>
              <w:jc w:val="both"/>
              <w:rPr>
                <w:rFonts w:asciiTheme="minorHAnsi" w:hAnsiTheme="minorHAnsi"/>
                <w:sz w:val="22"/>
                <w:szCs w:val="22"/>
              </w:rPr>
            </w:pPr>
          </w:p>
        </w:tc>
        <w:tc>
          <w:tcPr>
            <w:tcW w:w="2548" w:type="dxa"/>
          </w:tcPr>
          <w:p w14:paraId="33317BF3" w14:textId="77777777" w:rsidR="00C805BD" w:rsidRPr="000A2CB4" w:rsidRDefault="00C805BD" w:rsidP="00405564">
            <w:pPr>
              <w:pStyle w:val="ListParagraph"/>
              <w:ind w:left="0"/>
              <w:jc w:val="right"/>
              <w:rPr>
                <w:rFonts w:asciiTheme="minorHAnsi" w:hAnsiTheme="minorHAnsi"/>
                <w:b/>
                <w:sz w:val="22"/>
                <w:szCs w:val="22"/>
              </w:rPr>
            </w:pPr>
            <w:r w:rsidRPr="000A2CB4">
              <w:rPr>
                <w:rFonts w:asciiTheme="minorHAnsi" w:hAnsiTheme="minorHAnsi"/>
                <w:b/>
                <w:sz w:val="22"/>
                <w:szCs w:val="22"/>
              </w:rPr>
              <w:t>£000</w:t>
            </w:r>
            <w:r w:rsidR="00362322" w:rsidRPr="000A2CB4">
              <w:rPr>
                <w:rFonts w:asciiTheme="minorHAnsi" w:hAnsiTheme="minorHAnsi"/>
                <w:b/>
                <w:sz w:val="22"/>
                <w:szCs w:val="22"/>
              </w:rPr>
              <w:t>’s</w:t>
            </w:r>
          </w:p>
        </w:tc>
      </w:tr>
      <w:tr w:rsidR="00405564" w:rsidRPr="00AF476D" w14:paraId="0D406CC6" w14:textId="77777777" w:rsidTr="00C007F9">
        <w:tc>
          <w:tcPr>
            <w:tcW w:w="6374" w:type="dxa"/>
          </w:tcPr>
          <w:p w14:paraId="49086AF8" w14:textId="77777777" w:rsidR="00405564" w:rsidRPr="000A2CB4" w:rsidRDefault="00405564" w:rsidP="001C5D12">
            <w:pPr>
              <w:pStyle w:val="ListParagraph"/>
              <w:ind w:left="0"/>
              <w:jc w:val="both"/>
              <w:rPr>
                <w:rFonts w:asciiTheme="minorHAnsi" w:hAnsiTheme="minorHAnsi"/>
                <w:sz w:val="22"/>
                <w:szCs w:val="22"/>
              </w:rPr>
            </w:pPr>
            <w:r w:rsidRPr="000A2CB4">
              <w:rPr>
                <w:rFonts w:asciiTheme="minorHAnsi" w:hAnsiTheme="minorHAnsi"/>
                <w:sz w:val="22"/>
                <w:szCs w:val="22"/>
              </w:rPr>
              <w:t>High needs block grant allocation</w:t>
            </w:r>
          </w:p>
        </w:tc>
        <w:tc>
          <w:tcPr>
            <w:tcW w:w="2548" w:type="dxa"/>
          </w:tcPr>
          <w:p w14:paraId="62FC89D4" w14:textId="77777777" w:rsidR="00405564" w:rsidRPr="000A2CB4" w:rsidRDefault="00405564" w:rsidP="001C5D12">
            <w:pPr>
              <w:pStyle w:val="ListParagraph"/>
              <w:ind w:left="0"/>
              <w:jc w:val="right"/>
              <w:rPr>
                <w:rFonts w:asciiTheme="minorHAnsi" w:hAnsiTheme="minorHAnsi"/>
                <w:sz w:val="22"/>
                <w:szCs w:val="22"/>
              </w:rPr>
            </w:pPr>
            <w:r w:rsidRPr="000A2CB4">
              <w:rPr>
                <w:rFonts w:asciiTheme="minorHAnsi" w:hAnsiTheme="minorHAnsi"/>
                <w:sz w:val="22"/>
                <w:szCs w:val="22"/>
              </w:rPr>
              <w:t>29,625</w:t>
            </w:r>
          </w:p>
        </w:tc>
      </w:tr>
      <w:tr w:rsidR="00F87F47" w:rsidRPr="00AF476D" w14:paraId="006C8F03" w14:textId="77777777" w:rsidTr="00C007F9">
        <w:tc>
          <w:tcPr>
            <w:tcW w:w="6374" w:type="dxa"/>
          </w:tcPr>
          <w:p w14:paraId="7B99AAD6" w14:textId="77777777" w:rsidR="00405564" w:rsidRPr="000A2CB4" w:rsidRDefault="00C805BD" w:rsidP="001C5D12">
            <w:pPr>
              <w:pStyle w:val="ListParagraph"/>
              <w:ind w:left="0"/>
              <w:jc w:val="both"/>
              <w:rPr>
                <w:rFonts w:asciiTheme="minorHAnsi" w:hAnsiTheme="minorHAnsi"/>
                <w:sz w:val="22"/>
                <w:szCs w:val="22"/>
              </w:rPr>
            </w:pPr>
            <w:r w:rsidRPr="000A2CB4">
              <w:rPr>
                <w:rFonts w:asciiTheme="minorHAnsi" w:hAnsiTheme="minorHAnsi"/>
                <w:sz w:val="22"/>
                <w:szCs w:val="22"/>
              </w:rPr>
              <w:t xml:space="preserve">Less: </w:t>
            </w:r>
            <w:r w:rsidR="00405564" w:rsidRPr="000A2CB4">
              <w:rPr>
                <w:rFonts w:asciiTheme="minorHAnsi" w:hAnsiTheme="minorHAnsi"/>
                <w:sz w:val="22"/>
                <w:szCs w:val="22"/>
              </w:rPr>
              <w:t xml:space="preserve">Academy recoupment (provisional) </w:t>
            </w:r>
          </w:p>
        </w:tc>
        <w:tc>
          <w:tcPr>
            <w:tcW w:w="2548" w:type="dxa"/>
          </w:tcPr>
          <w:p w14:paraId="513BDBD0" w14:textId="77777777" w:rsidR="00405564" w:rsidRPr="000A2CB4" w:rsidRDefault="00C805BD" w:rsidP="001C5D12">
            <w:pPr>
              <w:pStyle w:val="ListParagraph"/>
              <w:ind w:left="0"/>
              <w:jc w:val="right"/>
              <w:rPr>
                <w:rFonts w:asciiTheme="minorHAnsi" w:hAnsiTheme="minorHAnsi"/>
                <w:color w:val="FF0000"/>
                <w:sz w:val="22"/>
                <w:szCs w:val="22"/>
              </w:rPr>
            </w:pPr>
            <w:r w:rsidRPr="000A2CB4">
              <w:rPr>
                <w:rFonts w:asciiTheme="minorHAnsi" w:hAnsiTheme="minorHAnsi"/>
                <w:color w:val="FF0000"/>
                <w:sz w:val="22"/>
                <w:szCs w:val="22"/>
              </w:rPr>
              <w:t>(2,231)</w:t>
            </w:r>
          </w:p>
        </w:tc>
      </w:tr>
      <w:tr w:rsidR="003F68B0" w:rsidRPr="00AF476D" w14:paraId="63AB167A" w14:textId="77777777" w:rsidTr="00C007F9">
        <w:tc>
          <w:tcPr>
            <w:tcW w:w="6374" w:type="dxa"/>
          </w:tcPr>
          <w:p w14:paraId="5FB70E66" w14:textId="77777777" w:rsidR="003F68B0" w:rsidRPr="000A2CB4" w:rsidRDefault="003F68B0" w:rsidP="00405564">
            <w:pPr>
              <w:pStyle w:val="ListParagraph"/>
              <w:ind w:left="0"/>
              <w:jc w:val="both"/>
              <w:rPr>
                <w:rFonts w:asciiTheme="minorHAnsi" w:hAnsiTheme="minorHAnsi"/>
                <w:b/>
                <w:sz w:val="22"/>
                <w:szCs w:val="22"/>
              </w:rPr>
            </w:pPr>
            <w:r w:rsidRPr="000A2CB4">
              <w:rPr>
                <w:rFonts w:asciiTheme="minorHAnsi" w:hAnsiTheme="minorHAnsi"/>
                <w:b/>
                <w:sz w:val="22"/>
                <w:szCs w:val="22"/>
              </w:rPr>
              <w:t>Total</w:t>
            </w:r>
            <w:r w:rsidR="00C41263" w:rsidRPr="000A2CB4">
              <w:rPr>
                <w:rFonts w:asciiTheme="minorHAnsi" w:hAnsiTheme="minorHAnsi"/>
                <w:b/>
                <w:sz w:val="22"/>
                <w:szCs w:val="22"/>
              </w:rPr>
              <w:t xml:space="preserve"> – Indicative Grant Allocation</w:t>
            </w:r>
          </w:p>
        </w:tc>
        <w:tc>
          <w:tcPr>
            <w:tcW w:w="2548" w:type="dxa"/>
          </w:tcPr>
          <w:p w14:paraId="0CB0549F" w14:textId="77777777" w:rsidR="003F68B0" w:rsidRPr="000A2CB4" w:rsidRDefault="00C805BD" w:rsidP="00405564">
            <w:pPr>
              <w:pStyle w:val="ListParagraph"/>
              <w:ind w:left="0"/>
              <w:jc w:val="right"/>
              <w:rPr>
                <w:rFonts w:asciiTheme="minorHAnsi" w:hAnsiTheme="minorHAnsi"/>
                <w:b/>
                <w:sz w:val="22"/>
                <w:szCs w:val="22"/>
              </w:rPr>
            </w:pPr>
            <w:r w:rsidRPr="000A2CB4">
              <w:rPr>
                <w:rFonts w:asciiTheme="minorHAnsi" w:hAnsiTheme="minorHAnsi"/>
                <w:b/>
                <w:sz w:val="22"/>
                <w:szCs w:val="22"/>
              </w:rPr>
              <w:t>27,394</w:t>
            </w:r>
          </w:p>
        </w:tc>
      </w:tr>
      <w:tr w:rsidR="00F87F47" w:rsidRPr="00AF476D" w14:paraId="774A1A34" w14:textId="77777777" w:rsidTr="00C007F9">
        <w:tc>
          <w:tcPr>
            <w:tcW w:w="6374" w:type="dxa"/>
          </w:tcPr>
          <w:p w14:paraId="358A216F" w14:textId="77777777" w:rsidR="00405564" w:rsidRPr="000A2CB4" w:rsidRDefault="00C805BD" w:rsidP="00405564">
            <w:pPr>
              <w:pStyle w:val="ListParagraph"/>
              <w:ind w:left="0"/>
              <w:jc w:val="both"/>
              <w:rPr>
                <w:rFonts w:asciiTheme="minorHAnsi" w:hAnsiTheme="minorHAnsi"/>
                <w:sz w:val="22"/>
                <w:szCs w:val="22"/>
              </w:rPr>
            </w:pPr>
            <w:r w:rsidRPr="000A2CB4">
              <w:rPr>
                <w:rFonts w:asciiTheme="minorHAnsi" w:hAnsiTheme="minorHAnsi"/>
                <w:sz w:val="22"/>
                <w:szCs w:val="22"/>
              </w:rPr>
              <w:t xml:space="preserve">Less: </w:t>
            </w:r>
            <w:r w:rsidR="003F68B0" w:rsidRPr="000A2CB4">
              <w:rPr>
                <w:rFonts w:asciiTheme="minorHAnsi" w:hAnsiTheme="minorHAnsi"/>
                <w:sz w:val="22"/>
                <w:szCs w:val="22"/>
              </w:rPr>
              <w:t>Estimated</w:t>
            </w:r>
            <w:r w:rsidRPr="000A2CB4">
              <w:rPr>
                <w:rFonts w:asciiTheme="minorHAnsi" w:hAnsiTheme="minorHAnsi"/>
                <w:sz w:val="22"/>
                <w:szCs w:val="22"/>
              </w:rPr>
              <w:t xml:space="preserve"> </w:t>
            </w:r>
            <w:r w:rsidR="00936E72" w:rsidRPr="000A2CB4">
              <w:rPr>
                <w:rFonts w:asciiTheme="minorHAnsi" w:hAnsiTheme="minorHAnsi"/>
                <w:sz w:val="22"/>
                <w:szCs w:val="22"/>
              </w:rPr>
              <w:t>2019/20</w:t>
            </w:r>
            <w:r w:rsidRPr="000A2CB4">
              <w:rPr>
                <w:rFonts w:asciiTheme="minorHAnsi" w:hAnsiTheme="minorHAnsi"/>
                <w:sz w:val="22"/>
                <w:szCs w:val="22"/>
              </w:rPr>
              <w:t xml:space="preserve"> forecast </w:t>
            </w:r>
            <w:r w:rsidR="00C41263" w:rsidRPr="000A2CB4">
              <w:rPr>
                <w:rFonts w:asciiTheme="minorHAnsi" w:hAnsiTheme="minorHAnsi"/>
                <w:sz w:val="22"/>
                <w:szCs w:val="22"/>
              </w:rPr>
              <w:t>(based on 2018/19 spend plus 2% growth)</w:t>
            </w:r>
          </w:p>
        </w:tc>
        <w:tc>
          <w:tcPr>
            <w:tcW w:w="2548" w:type="dxa"/>
          </w:tcPr>
          <w:p w14:paraId="0F31745F" w14:textId="77777777" w:rsidR="00405564" w:rsidRPr="000A2CB4" w:rsidRDefault="00C805BD" w:rsidP="001C5D12">
            <w:pPr>
              <w:pStyle w:val="ListParagraph"/>
              <w:ind w:left="0"/>
              <w:jc w:val="right"/>
              <w:rPr>
                <w:rFonts w:asciiTheme="minorHAnsi" w:hAnsiTheme="minorHAnsi"/>
                <w:color w:val="FF0000"/>
                <w:sz w:val="22"/>
                <w:szCs w:val="22"/>
              </w:rPr>
            </w:pPr>
            <w:r w:rsidRPr="000A2CB4">
              <w:rPr>
                <w:rFonts w:asciiTheme="minorHAnsi" w:hAnsiTheme="minorHAnsi"/>
                <w:color w:val="FF0000"/>
                <w:sz w:val="22"/>
                <w:szCs w:val="22"/>
              </w:rPr>
              <w:t>(28,643)</w:t>
            </w:r>
          </w:p>
        </w:tc>
      </w:tr>
      <w:tr w:rsidR="00405564" w:rsidRPr="00B0681C" w14:paraId="71852850" w14:textId="77777777" w:rsidTr="00C007F9">
        <w:tc>
          <w:tcPr>
            <w:tcW w:w="6374" w:type="dxa"/>
          </w:tcPr>
          <w:p w14:paraId="70DC37D8" w14:textId="77777777" w:rsidR="00405564" w:rsidRPr="00B0681C" w:rsidRDefault="00C41263" w:rsidP="00405564">
            <w:pPr>
              <w:pStyle w:val="ListParagraph"/>
              <w:ind w:left="0"/>
              <w:jc w:val="both"/>
              <w:rPr>
                <w:rFonts w:asciiTheme="minorHAnsi" w:hAnsiTheme="minorHAnsi"/>
                <w:b/>
                <w:sz w:val="22"/>
                <w:szCs w:val="22"/>
              </w:rPr>
            </w:pPr>
            <w:r w:rsidRPr="00B0681C">
              <w:rPr>
                <w:rFonts w:asciiTheme="minorHAnsi" w:hAnsiTheme="minorHAnsi"/>
                <w:b/>
                <w:sz w:val="22"/>
                <w:szCs w:val="22"/>
              </w:rPr>
              <w:t xml:space="preserve">2019/20 Predicted </w:t>
            </w:r>
            <w:r w:rsidR="00467184" w:rsidRPr="00B0681C">
              <w:rPr>
                <w:rFonts w:asciiTheme="minorHAnsi" w:hAnsiTheme="minorHAnsi"/>
                <w:b/>
                <w:sz w:val="22"/>
                <w:szCs w:val="22"/>
              </w:rPr>
              <w:t>o</w:t>
            </w:r>
            <w:r w:rsidRPr="00B0681C">
              <w:rPr>
                <w:rFonts w:asciiTheme="minorHAnsi" w:hAnsiTheme="minorHAnsi"/>
                <w:b/>
                <w:sz w:val="22"/>
                <w:szCs w:val="22"/>
              </w:rPr>
              <w:t xml:space="preserve">verspend </w:t>
            </w:r>
          </w:p>
        </w:tc>
        <w:tc>
          <w:tcPr>
            <w:tcW w:w="2548" w:type="dxa"/>
          </w:tcPr>
          <w:p w14:paraId="4B575C85" w14:textId="77777777" w:rsidR="00405564" w:rsidRPr="00B0681C" w:rsidRDefault="00C805BD" w:rsidP="001C5D12">
            <w:pPr>
              <w:pStyle w:val="ListParagraph"/>
              <w:ind w:left="0"/>
              <w:jc w:val="right"/>
              <w:rPr>
                <w:rFonts w:asciiTheme="minorHAnsi" w:hAnsiTheme="minorHAnsi"/>
                <w:b/>
                <w:sz w:val="22"/>
                <w:szCs w:val="22"/>
              </w:rPr>
            </w:pPr>
            <w:r w:rsidRPr="00B0681C">
              <w:rPr>
                <w:rFonts w:asciiTheme="minorHAnsi" w:hAnsiTheme="minorHAnsi"/>
                <w:b/>
                <w:sz w:val="22"/>
                <w:szCs w:val="22"/>
              </w:rPr>
              <w:t>1,249</w:t>
            </w:r>
          </w:p>
        </w:tc>
      </w:tr>
      <w:tr w:rsidR="00405564" w:rsidRPr="00AF476D" w14:paraId="72650057" w14:textId="77777777" w:rsidTr="00C007F9">
        <w:tc>
          <w:tcPr>
            <w:tcW w:w="6374" w:type="dxa"/>
          </w:tcPr>
          <w:p w14:paraId="1C6888A4" w14:textId="77777777" w:rsidR="00405564" w:rsidRPr="000A2CB4" w:rsidRDefault="006B53A6" w:rsidP="00405564">
            <w:pPr>
              <w:pStyle w:val="ListParagraph"/>
              <w:ind w:left="0"/>
              <w:jc w:val="both"/>
              <w:rPr>
                <w:rFonts w:asciiTheme="minorHAnsi" w:hAnsiTheme="minorHAnsi"/>
                <w:sz w:val="22"/>
                <w:szCs w:val="22"/>
              </w:rPr>
            </w:pPr>
            <w:r w:rsidRPr="000A2CB4">
              <w:rPr>
                <w:rFonts w:asciiTheme="minorHAnsi" w:hAnsiTheme="minorHAnsi"/>
                <w:sz w:val="22"/>
                <w:szCs w:val="22"/>
              </w:rPr>
              <w:t xml:space="preserve">Less: </w:t>
            </w:r>
            <w:r w:rsidR="00C805BD" w:rsidRPr="000A2CB4">
              <w:rPr>
                <w:rFonts w:asciiTheme="minorHAnsi" w:hAnsiTheme="minorHAnsi"/>
                <w:sz w:val="22"/>
                <w:szCs w:val="22"/>
              </w:rPr>
              <w:t xml:space="preserve">0.5% </w:t>
            </w:r>
            <w:r w:rsidR="00467184">
              <w:rPr>
                <w:rFonts w:asciiTheme="minorHAnsi" w:hAnsiTheme="minorHAnsi"/>
                <w:sz w:val="22"/>
                <w:szCs w:val="22"/>
              </w:rPr>
              <w:t>T</w:t>
            </w:r>
            <w:r w:rsidR="00C805BD" w:rsidRPr="000A2CB4">
              <w:rPr>
                <w:rFonts w:asciiTheme="minorHAnsi" w:hAnsiTheme="minorHAnsi"/>
                <w:sz w:val="22"/>
                <w:szCs w:val="22"/>
              </w:rPr>
              <w:t>ransfer to high needs block</w:t>
            </w:r>
          </w:p>
        </w:tc>
        <w:tc>
          <w:tcPr>
            <w:tcW w:w="2548" w:type="dxa"/>
          </w:tcPr>
          <w:p w14:paraId="714EAD8D" w14:textId="77777777" w:rsidR="00405564" w:rsidRPr="000A2CB4" w:rsidRDefault="00C805BD" w:rsidP="001C5D12">
            <w:pPr>
              <w:pStyle w:val="ListParagraph"/>
              <w:ind w:left="0"/>
              <w:jc w:val="right"/>
              <w:rPr>
                <w:rFonts w:asciiTheme="minorHAnsi" w:hAnsiTheme="minorHAnsi"/>
                <w:sz w:val="22"/>
                <w:szCs w:val="22"/>
              </w:rPr>
            </w:pPr>
            <w:r w:rsidRPr="000A2CB4">
              <w:rPr>
                <w:rFonts w:asciiTheme="minorHAnsi" w:hAnsiTheme="minorHAnsi"/>
                <w:color w:val="FF0000"/>
                <w:sz w:val="22"/>
                <w:szCs w:val="22"/>
              </w:rPr>
              <w:t>(1,073)</w:t>
            </w:r>
          </w:p>
        </w:tc>
      </w:tr>
      <w:tr w:rsidR="00C805BD" w:rsidRPr="00AF476D" w14:paraId="5ABEBB66" w14:textId="77777777" w:rsidTr="00C007F9">
        <w:tc>
          <w:tcPr>
            <w:tcW w:w="6374" w:type="dxa"/>
          </w:tcPr>
          <w:p w14:paraId="27CB0F34" w14:textId="77777777" w:rsidR="00362322" w:rsidRPr="000A2CB4" w:rsidRDefault="00362322" w:rsidP="00405564">
            <w:pPr>
              <w:pStyle w:val="ListParagraph"/>
              <w:ind w:left="0"/>
              <w:jc w:val="both"/>
              <w:rPr>
                <w:rFonts w:asciiTheme="minorHAnsi" w:hAnsiTheme="minorHAnsi"/>
                <w:sz w:val="22"/>
                <w:szCs w:val="22"/>
              </w:rPr>
            </w:pPr>
            <w:r w:rsidRPr="000A2CB4">
              <w:rPr>
                <w:rFonts w:asciiTheme="minorHAnsi" w:hAnsiTheme="minorHAnsi"/>
                <w:sz w:val="22"/>
                <w:szCs w:val="22"/>
              </w:rPr>
              <w:t>Unfunded pressures to be mitigated</w:t>
            </w:r>
          </w:p>
        </w:tc>
        <w:tc>
          <w:tcPr>
            <w:tcW w:w="2548" w:type="dxa"/>
          </w:tcPr>
          <w:p w14:paraId="341312A3" w14:textId="77777777" w:rsidR="00C805BD" w:rsidRPr="000A2CB4" w:rsidRDefault="00362322" w:rsidP="00405564">
            <w:pPr>
              <w:pStyle w:val="ListParagraph"/>
              <w:ind w:left="0"/>
              <w:jc w:val="right"/>
              <w:rPr>
                <w:rFonts w:asciiTheme="minorHAnsi" w:hAnsiTheme="minorHAnsi"/>
                <w:sz w:val="22"/>
                <w:szCs w:val="22"/>
              </w:rPr>
            </w:pPr>
            <w:r w:rsidRPr="000A2CB4">
              <w:rPr>
                <w:rFonts w:asciiTheme="minorHAnsi" w:hAnsiTheme="minorHAnsi"/>
                <w:sz w:val="22"/>
                <w:szCs w:val="22"/>
              </w:rPr>
              <w:t>17</w:t>
            </w:r>
            <w:r w:rsidR="00B0681C">
              <w:rPr>
                <w:rFonts w:asciiTheme="minorHAnsi" w:hAnsiTheme="minorHAnsi"/>
                <w:sz w:val="22"/>
                <w:szCs w:val="22"/>
              </w:rPr>
              <w:t>6</w:t>
            </w:r>
          </w:p>
        </w:tc>
      </w:tr>
    </w:tbl>
    <w:p w14:paraId="62281D22" w14:textId="77777777" w:rsidR="00362322" w:rsidRPr="000A2CB4" w:rsidRDefault="00362322" w:rsidP="00362322">
      <w:pPr>
        <w:pStyle w:val="ListParagraph"/>
        <w:ind w:left="709"/>
        <w:jc w:val="both"/>
        <w:rPr>
          <w:sz w:val="22"/>
          <w:szCs w:val="22"/>
        </w:rPr>
      </w:pPr>
    </w:p>
    <w:p w14:paraId="37F27C77" w14:textId="77777777" w:rsidR="00362322" w:rsidRPr="000A2CB4" w:rsidRDefault="00362322" w:rsidP="000A2CB4">
      <w:pPr>
        <w:ind w:left="709"/>
        <w:jc w:val="both"/>
        <w:rPr>
          <w:sz w:val="23"/>
          <w:szCs w:val="23"/>
        </w:rPr>
      </w:pPr>
      <w:r w:rsidRPr="000A2CB4">
        <w:rPr>
          <w:sz w:val="23"/>
          <w:szCs w:val="23"/>
        </w:rPr>
        <w:t xml:space="preserve">Table </w:t>
      </w:r>
      <w:r w:rsidR="003E2AE5" w:rsidRPr="000A2CB4">
        <w:rPr>
          <w:sz w:val="23"/>
          <w:szCs w:val="23"/>
        </w:rPr>
        <w:t>5</w:t>
      </w:r>
      <w:r w:rsidRPr="000A2CB4">
        <w:rPr>
          <w:sz w:val="23"/>
          <w:szCs w:val="23"/>
        </w:rPr>
        <w:t>: The 2019/20 estimated pressures on the high needs block.</w:t>
      </w:r>
    </w:p>
    <w:p w14:paraId="6C9DB646" w14:textId="77777777" w:rsidR="00D060AD" w:rsidRPr="005B4A8D" w:rsidRDefault="00D060AD" w:rsidP="00405564">
      <w:pPr>
        <w:pStyle w:val="ListParagraph"/>
        <w:ind w:left="709"/>
        <w:jc w:val="both"/>
      </w:pPr>
    </w:p>
    <w:p w14:paraId="79667B7C" w14:textId="77777777" w:rsidR="00DC40A3" w:rsidRDefault="006B53A6" w:rsidP="000A2CB4">
      <w:pPr>
        <w:pStyle w:val="ListParagraph"/>
        <w:jc w:val="both"/>
      </w:pPr>
      <w:r>
        <w:t xml:space="preserve">A transfer of </w:t>
      </w:r>
      <w:r w:rsidR="00405564" w:rsidRPr="001C5D12">
        <w:t>0.5% or £1.0</w:t>
      </w:r>
      <w:r w:rsidR="00362322" w:rsidRPr="001C5D12">
        <w:t>73</w:t>
      </w:r>
      <w:r w:rsidR="00405564" w:rsidRPr="001C5D12">
        <w:t>m</w:t>
      </w:r>
      <w:r>
        <w:t xml:space="preserve"> is required in order to properly manage the significant funding pressures that are in the system until the formula funding </w:t>
      </w:r>
      <w:r w:rsidR="00D355C4">
        <w:t>is fully phased</w:t>
      </w:r>
      <w:r w:rsidR="000912D0">
        <w:t xml:space="preserve"> in</w:t>
      </w:r>
      <w:r w:rsidR="00D355C4">
        <w:t xml:space="preserve"> by the DfE</w:t>
      </w:r>
      <w:r w:rsidR="00405564" w:rsidRPr="001C5D12">
        <w:t xml:space="preserve">. </w:t>
      </w:r>
      <w:r w:rsidR="00D355C4">
        <w:t>T</w:t>
      </w:r>
      <w:r w:rsidR="00405564" w:rsidRPr="001C5D12">
        <w:t>his will leave a</w:t>
      </w:r>
      <w:r w:rsidR="00D355C4">
        <w:t xml:space="preserve">n unfunded </w:t>
      </w:r>
      <w:r w:rsidR="00405564" w:rsidRPr="001C5D12">
        <w:t xml:space="preserve">pressure </w:t>
      </w:r>
      <w:r w:rsidR="00D355C4">
        <w:t>£17</w:t>
      </w:r>
      <w:r w:rsidR="00B0681C">
        <w:t>6</w:t>
      </w:r>
      <w:r w:rsidR="00D355C4">
        <w:t xml:space="preserve">k </w:t>
      </w:r>
      <w:r w:rsidR="00405564" w:rsidRPr="001C5D12">
        <w:t>to be managed</w:t>
      </w:r>
      <w:r w:rsidR="00D355C4">
        <w:t>.</w:t>
      </w:r>
    </w:p>
    <w:p w14:paraId="6B9C3F27" w14:textId="77777777" w:rsidR="001E697F" w:rsidRPr="001C5D12" w:rsidRDefault="001E697F" w:rsidP="000A2CB4">
      <w:pPr>
        <w:pStyle w:val="ListParagraph"/>
        <w:jc w:val="both"/>
      </w:pPr>
    </w:p>
    <w:p w14:paraId="642FA5CA" w14:textId="77777777" w:rsidR="00DC40A3" w:rsidRDefault="00DC40A3" w:rsidP="00C007F9">
      <w:pPr>
        <w:pStyle w:val="ListParagraph"/>
        <w:pBdr>
          <w:top w:val="single" w:sz="12" w:space="1" w:color="auto"/>
          <w:left w:val="single" w:sz="12" w:space="4" w:color="auto"/>
          <w:bottom w:val="single" w:sz="12" w:space="1" w:color="auto"/>
          <w:right w:val="single" w:sz="12" w:space="4" w:color="auto"/>
        </w:pBdr>
        <w:ind w:left="851"/>
        <w:jc w:val="both"/>
      </w:pPr>
      <w:r w:rsidRPr="00EC6C49">
        <w:rPr>
          <w:b/>
          <w:u w:val="single"/>
        </w:rPr>
        <w:t>Recommendation</w:t>
      </w:r>
      <w:r w:rsidR="001E697F">
        <w:rPr>
          <w:b/>
          <w:u w:val="single"/>
        </w:rPr>
        <w:t xml:space="preserve"> (</w:t>
      </w:r>
      <w:r w:rsidR="00B0681C">
        <w:rPr>
          <w:b/>
          <w:u w:val="single"/>
        </w:rPr>
        <w:t>i</w:t>
      </w:r>
      <w:r w:rsidR="001E697F">
        <w:rPr>
          <w:b/>
          <w:u w:val="single"/>
        </w:rPr>
        <w:t>v)</w:t>
      </w:r>
      <w:r w:rsidRPr="00EC6C49">
        <w:rPr>
          <w:b/>
          <w:u w:val="single"/>
        </w:rPr>
        <w:t>:</w:t>
      </w:r>
      <w:r w:rsidR="00446889" w:rsidRPr="00EC6C49">
        <w:rPr>
          <w:b/>
        </w:rPr>
        <w:t xml:space="preserve"> </w:t>
      </w:r>
      <w:r w:rsidRPr="00EC6C49">
        <w:t xml:space="preserve">Schools </w:t>
      </w:r>
      <w:r w:rsidR="001E697F">
        <w:t>f</w:t>
      </w:r>
      <w:r w:rsidR="00446889" w:rsidRPr="00EC6C49">
        <w:t xml:space="preserve">orum are </w:t>
      </w:r>
      <w:r w:rsidR="00B0681C">
        <w:t xml:space="preserve">asked to note DSG 2019/20 update and </w:t>
      </w:r>
      <w:r w:rsidR="00446889" w:rsidRPr="00EC6C49">
        <w:t xml:space="preserve">recommended to </w:t>
      </w:r>
      <w:r w:rsidR="00890088">
        <w:t>approve</w:t>
      </w:r>
      <w:r w:rsidR="00446889" w:rsidRPr="00EC6C49">
        <w:t xml:space="preserve"> the transfer of 0.5% of the schools block to high needs. </w:t>
      </w:r>
    </w:p>
    <w:p w14:paraId="12F82282" w14:textId="77777777" w:rsidR="001E697F" w:rsidRPr="00EC6C49" w:rsidRDefault="001E697F" w:rsidP="001C5D12">
      <w:pPr>
        <w:pStyle w:val="ListParagraph"/>
        <w:ind w:left="709"/>
        <w:jc w:val="both"/>
      </w:pPr>
    </w:p>
    <w:p w14:paraId="54508CD3" w14:textId="77777777" w:rsidR="00D060AD" w:rsidRPr="005B4A8D" w:rsidRDefault="00D060AD" w:rsidP="00494474">
      <w:pPr>
        <w:pStyle w:val="ListParagraph"/>
        <w:numPr>
          <w:ilvl w:val="1"/>
          <w:numId w:val="2"/>
        </w:numPr>
        <w:tabs>
          <w:tab w:val="clear" w:pos="360"/>
        </w:tabs>
        <w:ind w:left="709" w:hanging="709"/>
        <w:jc w:val="both"/>
      </w:pPr>
      <w:r w:rsidRPr="005B4A8D">
        <w:t>In addition to th</w:t>
      </w:r>
      <w:r w:rsidR="00102F9C">
        <w:t>e</w:t>
      </w:r>
      <w:r w:rsidRPr="005B4A8D">
        <w:t xml:space="preserve"> </w:t>
      </w:r>
      <w:r w:rsidR="00377322" w:rsidRPr="005B4A8D">
        <w:t>h</w:t>
      </w:r>
      <w:r w:rsidRPr="005B4A8D">
        <w:t xml:space="preserve">igh </w:t>
      </w:r>
      <w:r w:rsidR="00377322" w:rsidRPr="005B4A8D">
        <w:t>n</w:t>
      </w:r>
      <w:r w:rsidRPr="005B4A8D">
        <w:t xml:space="preserve">eeds </w:t>
      </w:r>
      <w:r w:rsidR="00377322" w:rsidRPr="005B4A8D">
        <w:t>b</w:t>
      </w:r>
      <w:r w:rsidRPr="005B4A8D">
        <w:t xml:space="preserve">lock transfer it is proposed to make the following provisions from the </w:t>
      </w:r>
      <w:r w:rsidR="00377322" w:rsidRPr="005B4A8D">
        <w:t>s</w:t>
      </w:r>
      <w:r w:rsidRPr="005B4A8D">
        <w:t xml:space="preserve">chools </w:t>
      </w:r>
      <w:r w:rsidR="00377322" w:rsidRPr="005B4A8D">
        <w:t>b</w:t>
      </w:r>
      <w:r w:rsidRPr="005B4A8D">
        <w:t xml:space="preserve">lock funding.  </w:t>
      </w:r>
    </w:p>
    <w:p w14:paraId="31374BF3" w14:textId="77777777" w:rsidR="004D2286" w:rsidRPr="005B4A8D" w:rsidRDefault="004D2286" w:rsidP="00494474">
      <w:pPr>
        <w:pStyle w:val="ListParagraph"/>
        <w:jc w:val="both"/>
      </w:pPr>
    </w:p>
    <w:tbl>
      <w:tblPr>
        <w:tblW w:w="9057" w:type="dxa"/>
        <w:tblInd w:w="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6739"/>
        <w:gridCol w:w="2318"/>
      </w:tblGrid>
      <w:tr w:rsidR="003A4F63" w:rsidRPr="00DE12A1" w14:paraId="1A229AF3" w14:textId="77777777" w:rsidTr="001C5D12">
        <w:trPr>
          <w:trHeight w:val="186"/>
        </w:trPr>
        <w:tc>
          <w:tcPr>
            <w:tcW w:w="6739" w:type="dxa"/>
            <w:shd w:val="clear" w:color="auto" w:fill="auto"/>
            <w:vAlign w:val="bottom"/>
            <w:hideMark/>
          </w:tcPr>
          <w:p w14:paraId="31698631" w14:textId="77777777" w:rsidR="004D2286" w:rsidRPr="00EC6C49" w:rsidRDefault="004D2286" w:rsidP="00C77097">
            <w:pPr>
              <w:rPr>
                <w:rFonts w:asciiTheme="minorHAnsi" w:hAnsiTheme="minorHAnsi"/>
                <w:color w:val="000000"/>
                <w:sz w:val="22"/>
                <w:szCs w:val="22"/>
              </w:rPr>
            </w:pPr>
          </w:p>
        </w:tc>
        <w:tc>
          <w:tcPr>
            <w:tcW w:w="2318" w:type="dxa"/>
            <w:shd w:val="clear" w:color="auto" w:fill="auto"/>
            <w:vAlign w:val="bottom"/>
            <w:hideMark/>
          </w:tcPr>
          <w:p w14:paraId="384DC245" w14:textId="77777777" w:rsidR="004D2286" w:rsidRPr="00EC6C49" w:rsidRDefault="002D2D3C" w:rsidP="001C5D12">
            <w:pPr>
              <w:jc w:val="right"/>
              <w:rPr>
                <w:rFonts w:asciiTheme="minorHAnsi" w:hAnsiTheme="minorHAnsi"/>
                <w:b/>
                <w:color w:val="000000"/>
                <w:sz w:val="22"/>
                <w:szCs w:val="22"/>
              </w:rPr>
            </w:pPr>
            <w:r w:rsidRPr="00EC6C49">
              <w:rPr>
                <w:rFonts w:asciiTheme="minorHAnsi" w:hAnsiTheme="minorHAnsi"/>
                <w:b/>
                <w:color w:val="000000"/>
                <w:sz w:val="22"/>
                <w:szCs w:val="22"/>
              </w:rPr>
              <w:t>£</w:t>
            </w:r>
          </w:p>
        </w:tc>
      </w:tr>
      <w:tr w:rsidR="003A4F63" w:rsidRPr="00DE12A1" w14:paraId="6D1916F1" w14:textId="77777777" w:rsidTr="001C5D12">
        <w:trPr>
          <w:trHeight w:val="186"/>
        </w:trPr>
        <w:tc>
          <w:tcPr>
            <w:tcW w:w="6739" w:type="dxa"/>
            <w:shd w:val="clear" w:color="auto" w:fill="auto"/>
            <w:vAlign w:val="bottom"/>
          </w:tcPr>
          <w:p w14:paraId="3C9F1380" w14:textId="77777777" w:rsidR="002D2D3C" w:rsidRPr="00EC6C49" w:rsidRDefault="002D2D3C" w:rsidP="00C77097">
            <w:pPr>
              <w:rPr>
                <w:rFonts w:asciiTheme="minorHAnsi" w:hAnsiTheme="minorHAnsi"/>
                <w:color w:val="000000"/>
                <w:sz w:val="22"/>
                <w:szCs w:val="22"/>
              </w:rPr>
            </w:pPr>
            <w:r w:rsidRPr="00EC6C49">
              <w:rPr>
                <w:rFonts w:asciiTheme="minorHAnsi" w:hAnsiTheme="minorHAnsi"/>
                <w:color w:val="000000"/>
                <w:sz w:val="22"/>
                <w:szCs w:val="22"/>
              </w:rPr>
              <w:t>DSG cash envelope</w:t>
            </w:r>
            <w:r w:rsidR="009C0CCC" w:rsidRPr="00EC6C49">
              <w:rPr>
                <w:rFonts w:asciiTheme="minorHAnsi" w:hAnsiTheme="minorHAnsi"/>
                <w:color w:val="000000"/>
                <w:sz w:val="22"/>
                <w:szCs w:val="22"/>
              </w:rPr>
              <w:t xml:space="preserve"> (based on Oct 17 census)</w:t>
            </w:r>
          </w:p>
        </w:tc>
        <w:tc>
          <w:tcPr>
            <w:tcW w:w="2318" w:type="dxa"/>
            <w:shd w:val="clear" w:color="auto" w:fill="auto"/>
            <w:vAlign w:val="bottom"/>
          </w:tcPr>
          <w:p w14:paraId="3DBBEA52" w14:textId="77777777" w:rsidR="002D2D3C" w:rsidRPr="00EC6C49" w:rsidRDefault="002B0798">
            <w:pPr>
              <w:jc w:val="right"/>
              <w:rPr>
                <w:rFonts w:asciiTheme="minorHAnsi" w:hAnsiTheme="minorHAnsi"/>
                <w:color w:val="000000"/>
                <w:sz w:val="22"/>
                <w:szCs w:val="22"/>
              </w:rPr>
            </w:pPr>
            <w:r w:rsidRPr="00EC6C49">
              <w:rPr>
                <w:rFonts w:asciiTheme="minorHAnsi" w:hAnsiTheme="minorHAnsi"/>
                <w:color w:val="000000"/>
                <w:sz w:val="22"/>
                <w:szCs w:val="22"/>
              </w:rPr>
              <w:t>214,675,353</w:t>
            </w:r>
          </w:p>
        </w:tc>
      </w:tr>
      <w:tr w:rsidR="003A4F63" w:rsidRPr="00DE12A1" w14:paraId="265C17D2" w14:textId="77777777" w:rsidTr="001C5D12">
        <w:trPr>
          <w:trHeight w:val="203"/>
        </w:trPr>
        <w:tc>
          <w:tcPr>
            <w:tcW w:w="6739" w:type="dxa"/>
            <w:shd w:val="clear" w:color="auto" w:fill="auto"/>
            <w:vAlign w:val="bottom"/>
            <w:hideMark/>
          </w:tcPr>
          <w:p w14:paraId="7691FC81" w14:textId="77777777" w:rsidR="004D2286" w:rsidRPr="00EC6C49" w:rsidRDefault="004D2286" w:rsidP="00C77097">
            <w:pPr>
              <w:rPr>
                <w:rFonts w:asciiTheme="minorHAnsi" w:hAnsiTheme="minorHAnsi"/>
                <w:color w:val="000000"/>
                <w:sz w:val="22"/>
                <w:szCs w:val="22"/>
              </w:rPr>
            </w:pPr>
            <w:r w:rsidRPr="00EC6C49">
              <w:rPr>
                <w:rFonts w:asciiTheme="minorHAnsi" w:hAnsiTheme="minorHAnsi"/>
                <w:color w:val="000000"/>
                <w:sz w:val="22"/>
                <w:szCs w:val="22"/>
              </w:rPr>
              <w:t>Less:</w:t>
            </w:r>
          </w:p>
        </w:tc>
        <w:tc>
          <w:tcPr>
            <w:tcW w:w="2318" w:type="dxa"/>
            <w:shd w:val="clear" w:color="auto" w:fill="auto"/>
            <w:vAlign w:val="bottom"/>
            <w:hideMark/>
          </w:tcPr>
          <w:p w14:paraId="5990E2DD" w14:textId="77777777" w:rsidR="004D2286" w:rsidRPr="00EC6C49" w:rsidRDefault="004D2286">
            <w:pPr>
              <w:jc w:val="right"/>
              <w:rPr>
                <w:rFonts w:asciiTheme="minorHAnsi" w:hAnsiTheme="minorHAnsi" w:cs="Arial"/>
                <w:sz w:val="22"/>
                <w:szCs w:val="22"/>
              </w:rPr>
            </w:pPr>
            <w:r w:rsidRPr="00EC6C49">
              <w:rPr>
                <w:rFonts w:asciiTheme="minorHAnsi" w:hAnsiTheme="minorHAnsi" w:cs="Arial"/>
                <w:sz w:val="22"/>
                <w:szCs w:val="22"/>
              </w:rPr>
              <w:t> </w:t>
            </w:r>
          </w:p>
        </w:tc>
      </w:tr>
      <w:tr w:rsidR="003A4F63" w:rsidRPr="00DE12A1" w14:paraId="6F2A65A2" w14:textId="77777777" w:rsidTr="001C5D12">
        <w:trPr>
          <w:trHeight w:val="181"/>
        </w:trPr>
        <w:tc>
          <w:tcPr>
            <w:tcW w:w="6739" w:type="dxa"/>
            <w:shd w:val="clear" w:color="auto" w:fill="auto"/>
            <w:vAlign w:val="bottom"/>
            <w:hideMark/>
          </w:tcPr>
          <w:p w14:paraId="360A9D78" w14:textId="77777777" w:rsidR="004D2286" w:rsidRPr="00EC6C49" w:rsidRDefault="004D2286" w:rsidP="00C77097">
            <w:pPr>
              <w:rPr>
                <w:rFonts w:asciiTheme="minorHAnsi" w:hAnsiTheme="minorHAnsi"/>
                <w:color w:val="000000"/>
                <w:sz w:val="22"/>
                <w:szCs w:val="22"/>
              </w:rPr>
            </w:pPr>
            <w:r w:rsidRPr="00EC6C49">
              <w:rPr>
                <w:rFonts w:asciiTheme="minorHAnsi" w:hAnsiTheme="minorHAnsi"/>
                <w:color w:val="000000"/>
                <w:sz w:val="22"/>
                <w:szCs w:val="22"/>
              </w:rPr>
              <w:t xml:space="preserve">PFI </w:t>
            </w:r>
            <w:r w:rsidR="00C41263" w:rsidRPr="00EC6C49">
              <w:rPr>
                <w:rFonts w:asciiTheme="minorHAnsi" w:hAnsiTheme="minorHAnsi"/>
                <w:color w:val="000000"/>
                <w:sz w:val="22"/>
                <w:szCs w:val="22"/>
              </w:rPr>
              <w:t>funding requirement</w:t>
            </w:r>
          </w:p>
        </w:tc>
        <w:tc>
          <w:tcPr>
            <w:tcW w:w="2318" w:type="dxa"/>
            <w:shd w:val="clear" w:color="auto" w:fill="auto"/>
            <w:vAlign w:val="bottom"/>
            <w:hideMark/>
          </w:tcPr>
          <w:p w14:paraId="5047D7B0" w14:textId="77777777" w:rsidR="004D2286" w:rsidRPr="00AA32CF" w:rsidRDefault="00AA32CF">
            <w:pPr>
              <w:jc w:val="right"/>
              <w:rPr>
                <w:rFonts w:asciiTheme="minorHAnsi" w:hAnsiTheme="minorHAnsi"/>
                <w:color w:val="FF0000"/>
                <w:sz w:val="22"/>
                <w:szCs w:val="22"/>
              </w:rPr>
            </w:pPr>
            <w:r w:rsidRPr="00AA32CF">
              <w:rPr>
                <w:rFonts w:asciiTheme="minorHAnsi" w:hAnsiTheme="minorHAnsi"/>
                <w:color w:val="FF0000"/>
                <w:sz w:val="22"/>
                <w:szCs w:val="22"/>
              </w:rPr>
              <w:t>(</w:t>
            </w:r>
            <w:r w:rsidR="00FF30AF" w:rsidRPr="00AA32CF">
              <w:rPr>
                <w:rFonts w:asciiTheme="minorHAnsi" w:hAnsiTheme="minorHAnsi"/>
                <w:color w:val="FF0000"/>
                <w:sz w:val="22"/>
                <w:szCs w:val="22"/>
              </w:rPr>
              <w:t>188,872</w:t>
            </w:r>
            <w:r w:rsidRPr="00AA32CF">
              <w:rPr>
                <w:rFonts w:asciiTheme="minorHAnsi" w:hAnsiTheme="minorHAnsi"/>
                <w:color w:val="FF0000"/>
                <w:sz w:val="22"/>
                <w:szCs w:val="22"/>
              </w:rPr>
              <w:t>)</w:t>
            </w:r>
          </w:p>
        </w:tc>
      </w:tr>
      <w:tr w:rsidR="003A4F63" w:rsidRPr="00DE12A1" w14:paraId="2E56B8FB" w14:textId="77777777" w:rsidTr="001C5D12">
        <w:trPr>
          <w:trHeight w:val="275"/>
        </w:trPr>
        <w:tc>
          <w:tcPr>
            <w:tcW w:w="6739" w:type="dxa"/>
            <w:shd w:val="clear" w:color="auto" w:fill="auto"/>
            <w:vAlign w:val="bottom"/>
            <w:hideMark/>
          </w:tcPr>
          <w:p w14:paraId="4889EADE" w14:textId="77777777" w:rsidR="004D2286" w:rsidRPr="00EC6C49" w:rsidRDefault="004D2286" w:rsidP="00C77097">
            <w:pPr>
              <w:rPr>
                <w:rFonts w:asciiTheme="minorHAnsi" w:hAnsiTheme="minorHAnsi"/>
                <w:color w:val="000000"/>
                <w:sz w:val="22"/>
                <w:szCs w:val="22"/>
              </w:rPr>
            </w:pPr>
            <w:r w:rsidRPr="00EC6C49">
              <w:rPr>
                <w:rFonts w:asciiTheme="minorHAnsi" w:hAnsiTheme="minorHAnsi"/>
                <w:color w:val="000000"/>
                <w:sz w:val="22"/>
                <w:szCs w:val="22"/>
              </w:rPr>
              <w:t xml:space="preserve">Rates </w:t>
            </w:r>
            <w:r w:rsidR="002D2D3C" w:rsidRPr="00EC6C49">
              <w:rPr>
                <w:rFonts w:asciiTheme="minorHAnsi" w:hAnsiTheme="minorHAnsi"/>
                <w:color w:val="000000"/>
                <w:sz w:val="22"/>
                <w:szCs w:val="22"/>
              </w:rPr>
              <w:t>i</w:t>
            </w:r>
            <w:r w:rsidRPr="00EC6C49">
              <w:rPr>
                <w:rFonts w:asciiTheme="minorHAnsi" w:hAnsiTheme="minorHAnsi"/>
                <w:color w:val="000000"/>
                <w:sz w:val="22"/>
                <w:szCs w:val="22"/>
              </w:rPr>
              <w:t xml:space="preserve">ncrease (to be funded from growth fund allocation)  </w:t>
            </w:r>
          </w:p>
        </w:tc>
        <w:tc>
          <w:tcPr>
            <w:tcW w:w="2318" w:type="dxa"/>
            <w:shd w:val="clear" w:color="auto" w:fill="auto"/>
            <w:vAlign w:val="bottom"/>
            <w:hideMark/>
          </w:tcPr>
          <w:p w14:paraId="6E041997" w14:textId="77777777" w:rsidR="004D2286" w:rsidRPr="00AA32CF" w:rsidRDefault="00AA32CF">
            <w:pPr>
              <w:jc w:val="right"/>
              <w:rPr>
                <w:rFonts w:asciiTheme="minorHAnsi" w:hAnsiTheme="minorHAnsi"/>
                <w:color w:val="FF0000"/>
                <w:sz w:val="22"/>
                <w:szCs w:val="22"/>
              </w:rPr>
            </w:pPr>
            <w:r w:rsidRPr="00AA32CF">
              <w:rPr>
                <w:rFonts w:asciiTheme="minorHAnsi" w:hAnsiTheme="minorHAnsi"/>
                <w:color w:val="FF0000"/>
                <w:sz w:val="22"/>
                <w:szCs w:val="22"/>
              </w:rPr>
              <w:t>(</w:t>
            </w:r>
            <w:r w:rsidR="004D2286" w:rsidRPr="00AA32CF">
              <w:rPr>
                <w:rFonts w:asciiTheme="minorHAnsi" w:hAnsiTheme="minorHAnsi"/>
                <w:color w:val="FF0000"/>
                <w:sz w:val="22"/>
                <w:szCs w:val="22"/>
              </w:rPr>
              <w:t>525,446</w:t>
            </w:r>
            <w:r w:rsidRPr="00AA32CF">
              <w:rPr>
                <w:rFonts w:asciiTheme="minorHAnsi" w:hAnsiTheme="minorHAnsi"/>
                <w:color w:val="FF0000"/>
                <w:sz w:val="22"/>
                <w:szCs w:val="22"/>
              </w:rPr>
              <w:t>)</w:t>
            </w:r>
          </w:p>
        </w:tc>
      </w:tr>
      <w:tr w:rsidR="003A4F63" w:rsidRPr="00DE12A1" w14:paraId="1BA48D96" w14:textId="77777777" w:rsidTr="001C5D12">
        <w:trPr>
          <w:trHeight w:val="182"/>
        </w:trPr>
        <w:tc>
          <w:tcPr>
            <w:tcW w:w="6739" w:type="dxa"/>
            <w:shd w:val="clear" w:color="auto" w:fill="auto"/>
            <w:vAlign w:val="bottom"/>
            <w:hideMark/>
          </w:tcPr>
          <w:p w14:paraId="50034A3A" w14:textId="77777777" w:rsidR="004D2286" w:rsidRPr="00EC6C49" w:rsidRDefault="004D2286" w:rsidP="00C77097">
            <w:pPr>
              <w:rPr>
                <w:rFonts w:asciiTheme="minorHAnsi" w:hAnsiTheme="minorHAnsi"/>
                <w:color w:val="000000"/>
                <w:sz w:val="22"/>
                <w:szCs w:val="22"/>
              </w:rPr>
            </w:pPr>
            <w:r w:rsidRPr="00EC6C49">
              <w:rPr>
                <w:rFonts w:asciiTheme="minorHAnsi" w:hAnsiTheme="minorHAnsi"/>
                <w:color w:val="000000"/>
                <w:sz w:val="22"/>
                <w:szCs w:val="22"/>
              </w:rPr>
              <w:t xml:space="preserve">Growth </w:t>
            </w:r>
            <w:r w:rsidR="002D2D3C" w:rsidRPr="00EC6C49">
              <w:rPr>
                <w:rFonts w:asciiTheme="minorHAnsi" w:hAnsiTheme="minorHAnsi"/>
                <w:color w:val="000000"/>
                <w:sz w:val="22"/>
                <w:szCs w:val="22"/>
              </w:rPr>
              <w:t>f</w:t>
            </w:r>
            <w:r w:rsidRPr="00EC6C49">
              <w:rPr>
                <w:rFonts w:asciiTheme="minorHAnsi" w:hAnsiTheme="minorHAnsi"/>
                <w:color w:val="000000"/>
                <w:sz w:val="22"/>
                <w:szCs w:val="22"/>
              </w:rPr>
              <w:t>und</w:t>
            </w:r>
            <w:r w:rsidR="0079780B" w:rsidRPr="00EC6C49">
              <w:rPr>
                <w:rFonts w:asciiTheme="minorHAnsi" w:hAnsiTheme="minorHAnsi"/>
                <w:color w:val="000000"/>
                <w:sz w:val="22"/>
                <w:szCs w:val="22"/>
              </w:rPr>
              <w:t xml:space="preserve"> (requirement is £2,473k inc</w:t>
            </w:r>
            <w:r w:rsidR="00DE12A1">
              <w:rPr>
                <w:rFonts w:asciiTheme="minorHAnsi" w:hAnsiTheme="minorHAnsi"/>
                <w:color w:val="000000"/>
                <w:sz w:val="22"/>
                <w:szCs w:val="22"/>
              </w:rPr>
              <w:t>l</w:t>
            </w:r>
            <w:r w:rsidR="0079780B" w:rsidRPr="00EC6C49">
              <w:rPr>
                <w:rFonts w:asciiTheme="minorHAnsi" w:hAnsiTheme="minorHAnsi"/>
                <w:color w:val="000000"/>
                <w:sz w:val="22"/>
                <w:szCs w:val="22"/>
              </w:rPr>
              <w:t>. £171k contingency)</w:t>
            </w:r>
          </w:p>
        </w:tc>
        <w:tc>
          <w:tcPr>
            <w:tcW w:w="2318" w:type="dxa"/>
            <w:shd w:val="clear" w:color="auto" w:fill="auto"/>
            <w:vAlign w:val="bottom"/>
            <w:hideMark/>
          </w:tcPr>
          <w:p w14:paraId="29437321" w14:textId="77777777" w:rsidR="004D2286" w:rsidRPr="00AA32CF" w:rsidRDefault="00AA32CF">
            <w:pPr>
              <w:jc w:val="right"/>
              <w:rPr>
                <w:rFonts w:asciiTheme="minorHAnsi" w:hAnsiTheme="minorHAnsi"/>
                <w:color w:val="FF0000"/>
                <w:sz w:val="22"/>
                <w:szCs w:val="22"/>
              </w:rPr>
            </w:pPr>
            <w:r w:rsidRPr="00AA32CF">
              <w:rPr>
                <w:rFonts w:asciiTheme="minorHAnsi" w:hAnsiTheme="minorHAnsi"/>
                <w:color w:val="FF0000"/>
                <w:sz w:val="22"/>
                <w:szCs w:val="22"/>
              </w:rPr>
              <w:t>(</w:t>
            </w:r>
            <w:r w:rsidR="004D2286" w:rsidRPr="00AA32CF">
              <w:rPr>
                <w:rFonts w:asciiTheme="minorHAnsi" w:hAnsiTheme="minorHAnsi"/>
                <w:color w:val="FF0000"/>
                <w:sz w:val="22"/>
                <w:szCs w:val="22"/>
              </w:rPr>
              <w:t>2,</w:t>
            </w:r>
            <w:r w:rsidR="00A14172" w:rsidRPr="00AA32CF">
              <w:rPr>
                <w:rFonts w:asciiTheme="minorHAnsi" w:hAnsiTheme="minorHAnsi"/>
                <w:color w:val="FF0000"/>
                <w:sz w:val="22"/>
                <w:szCs w:val="22"/>
              </w:rPr>
              <w:t>457,282</w:t>
            </w:r>
            <w:r w:rsidRPr="00AA32CF">
              <w:rPr>
                <w:rFonts w:asciiTheme="minorHAnsi" w:hAnsiTheme="minorHAnsi"/>
                <w:color w:val="FF0000"/>
                <w:sz w:val="22"/>
                <w:szCs w:val="22"/>
              </w:rPr>
              <w:t>)</w:t>
            </w:r>
          </w:p>
        </w:tc>
      </w:tr>
      <w:tr w:rsidR="003A4F63" w:rsidRPr="00DE12A1" w14:paraId="00F7CB8D" w14:textId="77777777" w:rsidTr="001C5D12">
        <w:trPr>
          <w:trHeight w:val="181"/>
        </w:trPr>
        <w:tc>
          <w:tcPr>
            <w:tcW w:w="6739" w:type="dxa"/>
            <w:shd w:val="clear" w:color="auto" w:fill="auto"/>
            <w:vAlign w:val="bottom"/>
            <w:hideMark/>
          </w:tcPr>
          <w:p w14:paraId="12D869BE" w14:textId="77777777" w:rsidR="004D2286" w:rsidRPr="00EC6C49" w:rsidRDefault="004D2286" w:rsidP="00C77097">
            <w:pPr>
              <w:rPr>
                <w:rFonts w:asciiTheme="minorHAnsi" w:hAnsiTheme="minorHAnsi"/>
                <w:color w:val="000000"/>
                <w:sz w:val="22"/>
                <w:szCs w:val="22"/>
              </w:rPr>
            </w:pPr>
            <w:r w:rsidRPr="00EC6C49">
              <w:rPr>
                <w:rFonts w:asciiTheme="minorHAnsi" w:hAnsiTheme="minorHAnsi"/>
                <w:color w:val="000000"/>
                <w:sz w:val="22"/>
                <w:szCs w:val="22"/>
              </w:rPr>
              <w:t xml:space="preserve">HN transfer </w:t>
            </w:r>
          </w:p>
        </w:tc>
        <w:tc>
          <w:tcPr>
            <w:tcW w:w="2318" w:type="dxa"/>
            <w:shd w:val="clear" w:color="auto" w:fill="auto"/>
            <w:vAlign w:val="bottom"/>
            <w:hideMark/>
          </w:tcPr>
          <w:p w14:paraId="135D64FC" w14:textId="77777777" w:rsidR="004D2286" w:rsidRPr="00AA32CF" w:rsidRDefault="00AA32CF">
            <w:pPr>
              <w:jc w:val="right"/>
              <w:rPr>
                <w:rFonts w:asciiTheme="minorHAnsi" w:hAnsiTheme="minorHAnsi"/>
                <w:color w:val="FF0000"/>
                <w:sz w:val="22"/>
                <w:szCs w:val="22"/>
              </w:rPr>
            </w:pPr>
            <w:r w:rsidRPr="00AA32CF">
              <w:rPr>
                <w:rFonts w:asciiTheme="minorHAnsi" w:hAnsiTheme="minorHAnsi"/>
                <w:color w:val="FF0000"/>
                <w:sz w:val="22"/>
                <w:szCs w:val="22"/>
              </w:rPr>
              <w:t>(</w:t>
            </w:r>
            <w:r w:rsidR="004D2286" w:rsidRPr="00AA32CF">
              <w:rPr>
                <w:rFonts w:asciiTheme="minorHAnsi" w:hAnsiTheme="minorHAnsi"/>
                <w:color w:val="FF0000"/>
                <w:sz w:val="22"/>
                <w:szCs w:val="22"/>
              </w:rPr>
              <w:t>1,073,377</w:t>
            </w:r>
            <w:r w:rsidRPr="00AA32CF">
              <w:rPr>
                <w:rFonts w:asciiTheme="minorHAnsi" w:hAnsiTheme="minorHAnsi"/>
                <w:color w:val="FF0000"/>
                <w:sz w:val="22"/>
                <w:szCs w:val="22"/>
              </w:rPr>
              <w:t>)</w:t>
            </w:r>
          </w:p>
        </w:tc>
      </w:tr>
      <w:tr w:rsidR="003A4F63" w:rsidRPr="00DE12A1" w14:paraId="26A91F9A" w14:textId="77777777" w:rsidTr="00EC6C49">
        <w:trPr>
          <w:trHeight w:val="443"/>
        </w:trPr>
        <w:tc>
          <w:tcPr>
            <w:tcW w:w="6739" w:type="dxa"/>
            <w:shd w:val="clear" w:color="auto" w:fill="auto"/>
            <w:vAlign w:val="bottom"/>
            <w:hideMark/>
          </w:tcPr>
          <w:p w14:paraId="3D4895F2" w14:textId="77777777" w:rsidR="004D2286" w:rsidRPr="00EC6C49" w:rsidRDefault="004D2286" w:rsidP="00C77097">
            <w:pPr>
              <w:rPr>
                <w:rFonts w:asciiTheme="minorHAnsi" w:hAnsiTheme="minorHAnsi"/>
                <w:b/>
                <w:bCs/>
                <w:color w:val="000000"/>
                <w:sz w:val="22"/>
                <w:szCs w:val="22"/>
              </w:rPr>
            </w:pPr>
            <w:r w:rsidRPr="00EC6C49">
              <w:rPr>
                <w:rFonts w:asciiTheme="minorHAnsi" w:hAnsiTheme="minorHAnsi"/>
                <w:b/>
                <w:bCs/>
                <w:color w:val="000000"/>
                <w:sz w:val="22"/>
                <w:szCs w:val="22"/>
              </w:rPr>
              <w:t xml:space="preserve">Total </w:t>
            </w:r>
            <w:r w:rsidR="002D2D3C" w:rsidRPr="00EC6C49">
              <w:rPr>
                <w:rFonts w:asciiTheme="minorHAnsi" w:hAnsiTheme="minorHAnsi"/>
                <w:b/>
                <w:bCs/>
                <w:color w:val="000000"/>
                <w:sz w:val="22"/>
                <w:szCs w:val="22"/>
              </w:rPr>
              <w:t>a</w:t>
            </w:r>
            <w:r w:rsidRPr="00EC6C49">
              <w:rPr>
                <w:rFonts w:asciiTheme="minorHAnsi" w:hAnsiTheme="minorHAnsi"/>
                <w:b/>
                <w:bCs/>
                <w:color w:val="000000"/>
                <w:sz w:val="22"/>
                <w:szCs w:val="22"/>
              </w:rPr>
              <w:t xml:space="preserve">vailable for </w:t>
            </w:r>
            <w:r w:rsidR="002D2D3C" w:rsidRPr="00EC6C49">
              <w:rPr>
                <w:rFonts w:asciiTheme="minorHAnsi" w:hAnsiTheme="minorHAnsi"/>
                <w:b/>
                <w:bCs/>
                <w:color w:val="000000"/>
                <w:sz w:val="22"/>
                <w:szCs w:val="22"/>
              </w:rPr>
              <w:t>f</w:t>
            </w:r>
            <w:r w:rsidRPr="00EC6C49">
              <w:rPr>
                <w:rFonts w:asciiTheme="minorHAnsi" w:hAnsiTheme="minorHAnsi"/>
                <w:b/>
                <w:bCs/>
                <w:color w:val="000000"/>
                <w:sz w:val="22"/>
                <w:szCs w:val="22"/>
              </w:rPr>
              <w:t>ormula</w:t>
            </w:r>
          </w:p>
        </w:tc>
        <w:tc>
          <w:tcPr>
            <w:tcW w:w="2318" w:type="dxa"/>
            <w:shd w:val="clear" w:color="auto" w:fill="auto"/>
            <w:vAlign w:val="bottom"/>
            <w:hideMark/>
          </w:tcPr>
          <w:p w14:paraId="24AD47D3" w14:textId="77777777" w:rsidR="004D2286" w:rsidRPr="00EC6C49" w:rsidRDefault="004D2286">
            <w:pPr>
              <w:jc w:val="right"/>
              <w:rPr>
                <w:rFonts w:asciiTheme="minorHAnsi" w:hAnsiTheme="minorHAnsi"/>
                <w:b/>
                <w:bCs/>
                <w:color w:val="000000"/>
                <w:sz w:val="22"/>
                <w:szCs w:val="22"/>
              </w:rPr>
            </w:pPr>
            <w:r w:rsidRPr="00EC6C49">
              <w:rPr>
                <w:rFonts w:asciiTheme="minorHAnsi" w:hAnsiTheme="minorHAnsi"/>
                <w:b/>
                <w:bCs/>
                <w:color w:val="000000"/>
                <w:sz w:val="22"/>
                <w:szCs w:val="22"/>
              </w:rPr>
              <w:t>210,4</w:t>
            </w:r>
            <w:r w:rsidR="00617364" w:rsidRPr="00EC6C49">
              <w:rPr>
                <w:rFonts w:asciiTheme="minorHAnsi" w:hAnsiTheme="minorHAnsi"/>
                <w:b/>
                <w:bCs/>
                <w:color w:val="000000"/>
                <w:sz w:val="22"/>
                <w:szCs w:val="22"/>
              </w:rPr>
              <w:t>30,376</w:t>
            </w:r>
          </w:p>
        </w:tc>
      </w:tr>
    </w:tbl>
    <w:p w14:paraId="412E2865" w14:textId="77777777" w:rsidR="004D2286" w:rsidRPr="005B4A8D" w:rsidRDefault="004D2286" w:rsidP="004D2286">
      <w:pPr>
        <w:pStyle w:val="ListParagraph"/>
      </w:pPr>
    </w:p>
    <w:p w14:paraId="22D06F2E" w14:textId="77777777" w:rsidR="001E010D" w:rsidRPr="00EC6C49" w:rsidRDefault="001E010D" w:rsidP="00EC6C49">
      <w:pPr>
        <w:ind w:left="709"/>
        <w:jc w:val="both"/>
        <w:rPr>
          <w:sz w:val="23"/>
          <w:szCs w:val="23"/>
        </w:rPr>
      </w:pPr>
      <w:r w:rsidRPr="00EC6C49">
        <w:rPr>
          <w:sz w:val="23"/>
          <w:szCs w:val="23"/>
        </w:rPr>
        <w:t xml:space="preserve">Table </w:t>
      </w:r>
      <w:r w:rsidR="003E2AE5" w:rsidRPr="00EC6C49">
        <w:rPr>
          <w:sz w:val="23"/>
          <w:szCs w:val="23"/>
        </w:rPr>
        <w:t>6</w:t>
      </w:r>
      <w:r w:rsidRPr="00EC6C49">
        <w:rPr>
          <w:sz w:val="23"/>
          <w:szCs w:val="23"/>
        </w:rPr>
        <w:t xml:space="preserve">: Allocation of 2019/20 schools block funding </w:t>
      </w:r>
    </w:p>
    <w:p w14:paraId="3145EBF0" w14:textId="77777777" w:rsidR="001E010D" w:rsidRPr="005B4A8D" w:rsidRDefault="001E010D" w:rsidP="004D2286">
      <w:pPr>
        <w:pStyle w:val="ListParagraph"/>
      </w:pPr>
    </w:p>
    <w:p w14:paraId="627920D0" w14:textId="77777777" w:rsidR="004D2286" w:rsidRPr="005B4A8D" w:rsidRDefault="004D2286" w:rsidP="00494474">
      <w:pPr>
        <w:pStyle w:val="ListParagraph"/>
        <w:numPr>
          <w:ilvl w:val="1"/>
          <w:numId w:val="2"/>
        </w:numPr>
        <w:tabs>
          <w:tab w:val="clear" w:pos="360"/>
        </w:tabs>
        <w:ind w:left="709" w:hanging="709"/>
        <w:jc w:val="both"/>
      </w:pPr>
      <w:r w:rsidRPr="005B4A8D">
        <w:t>The rates increase</w:t>
      </w:r>
      <w:r w:rsidR="001C66EA">
        <w:t>,</w:t>
      </w:r>
      <w:r w:rsidRPr="005B4A8D">
        <w:t xml:space="preserve"> growth </w:t>
      </w:r>
      <w:r w:rsidR="001C66EA">
        <w:t xml:space="preserve">and PFI </w:t>
      </w:r>
      <w:r w:rsidRPr="005B4A8D">
        <w:t xml:space="preserve">requirement </w:t>
      </w:r>
      <w:r w:rsidR="001C66EA">
        <w:t xml:space="preserve">are </w:t>
      </w:r>
      <w:r w:rsidR="00701679" w:rsidRPr="005B4A8D">
        <w:t>shown in the table above</w:t>
      </w:r>
      <w:r w:rsidR="001C66EA">
        <w:t>,</w:t>
      </w:r>
      <w:r w:rsidR="00701679" w:rsidRPr="005B4A8D">
        <w:t xml:space="preserve"> </w:t>
      </w:r>
      <w:r w:rsidRPr="005B4A8D">
        <w:t xml:space="preserve">together </w:t>
      </w:r>
      <w:r w:rsidR="001C66EA">
        <w:t xml:space="preserve">it leaves </w:t>
      </w:r>
      <w:r w:rsidR="00701679" w:rsidRPr="005B4A8D">
        <w:t>£210</w:t>
      </w:r>
      <w:r w:rsidR="00617364" w:rsidRPr="005B4A8D">
        <w:t>,430,376</w:t>
      </w:r>
      <w:r w:rsidR="00701679" w:rsidRPr="005B4A8D">
        <w:t xml:space="preserve"> </w:t>
      </w:r>
      <w:r w:rsidR="004C2F3D" w:rsidRPr="005B4A8D">
        <w:t>for d</w:t>
      </w:r>
      <w:r w:rsidR="00701679" w:rsidRPr="005B4A8D">
        <w:t>istribut</w:t>
      </w:r>
      <w:r w:rsidR="004C2F3D" w:rsidRPr="005B4A8D">
        <w:t>ion</w:t>
      </w:r>
      <w:r w:rsidR="00701679" w:rsidRPr="005B4A8D">
        <w:t xml:space="preserve"> to </w:t>
      </w:r>
      <w:r w:rsidR="002D2D3C" w:rsidRPr="005B4A8D">
        <w:t>s</w:t>
      </w:r>
      <w:r w:rsidR="00701679" w:rsidRPr="005B4A8D">
        <w:t xml:space="preserve">chools.  </w:t>
      </w:r>
    </w:p>
    <w:p w14:paraId="5BECC877" w14:textId="77777777" w:rsidR="00701679" w:rsidRPr="005B4A8D" w:rsidRDefault="00701679" w:rsidP="00FF30AF">
      <w:pPr>
        <w:pStyle w:val="ListParagraph"/>
        <w:ind w:left="709"/>
        <w:jc w:val="both"/>
      </w:pPr>
    </w:p>
    <w:p w14:paraId="25D37591" w14:textId="77777777" w:rsidR="00890088" w:rsidRDefault="00573C9C" w:rsidP="00890088">
      <w:pPr>
        <w:ind w:left="709"/>
        <w:jc w:val="both"/>
      </w:pPr>
      <w:r w:rsidRPr="005B4A8D">
        <w:t>In 2018/19, schools were funded at AWPU plus 20%.  However, because of the gap in growth funding in 2019/20, the 20% premium is no longer viable</w:t>
      </w:r>
      <w:r w:rsidR="00FF30AF">
        <w:t>,</w:t>
      </w:r>
      <w:r w:rsidRPr="005B4A8D">
        <w:t xml:space="preserve"> and growth would have to be funded at AWPU. This </w:t>
      </w:r>
      <w:r w:rsidR="00DC40A3" w:rsidRPr="005B4A8D">
        <w:t>mean</w:t>
      </w:r>
      <w:r w:rsidR="00FF30AF">
        <w:t>s</w:t>
      </w:r>
      <w:r w:rsidR="00DC40A3" w:rsidRPr="005B4A8D">
        <w:t xml:space="preserve"> classes would </w:t>
      </w:r>
      <w:r w:rsidR="00FF30AF">
        <w:t xml:space="preserve">have to </w:t>
      </w:r>
      <w:r w:rsidR="00DC40A3" w:rsidRPr="005B4A8D">
        <w:t xml:space="preserve">be funded at £52k and £68k </w:t>
      </w:r>
      <w:r w:rsidR="00617364" w:rsidRPr="005B4A8D">
        <w:t xml:space="preserve">for </w:t>
      </w:r>
      <w:r w:rsidR="00DC40A3" w:rsidRPr="005B4A8D">
        <w:t>primary and secondary respectively.</w:t>
      </w:r>
      <w:r w:rsidRPr="005B4A8D">
        <w:t xml:space="preserve"> </w:t>
      </w:r>
    </w:p>
    <w:p w14:paraId="3C520A93" w14:textId="77777777" w:rsidR="00890088" w:rsidRDefault="00890088" w:rsidP="00890088">
      <w:pPr>
        <w:ind w:left="709"/>
        <w:jc w:val="both"/>
      </w:pPr>
    </w:p>
    <w:p w14:paraId="326C8D82" w14:textId="77777777" w:rsidR="001C66EA" w:rsidRDefault="00DC40A3" w:rsidP="00890088">
      <w:pPr>
        <w:ind w:left="709"/>
        <w:jc w:val="both"/>
      </w:pPr>
      <w:r w:rsidRPr="005B4A8D">
        <w:t>The actual number of expansion</w:t>
      </w:r>
      <w:r w:rsidR="00617364" w:rsidRPr="005B4A8D">
        <w:t>s</w:t>
      </w:r>
      <w:r w:rsidRPr="005B4A8D">
        <w:t xml:space="preserve"> w</w:t>
      </w:r>
      <w:r w:rsidR="00617364" w:rsidRPr="005B4A8D">
        <w:t>ill</w:t>
      </w:r>
      <w:r w:rsidRPr="005B4A8D">
        <w:t xml:space="preserve"> not be known until the requirements have been fully assessed by </w:t>
      </w:r>
      <w:r w:rsidR="00890088">
        <w:t>p</w:t>
      </w:r>
      <w:r w:rsidRPr="005B4A8D">
        <w:t xml:space="preserve">upil </w:t>
      </w:r>
      <w:r w:rsidR="00890088">
        <w:t>p</w:t>
      </w:r>
      <w:r w:rsidRPr="005B4A8D">
        <w:t xml:space="preserve">lanning and </w:t>
      </w:r>
      <w:r w:rsidR="00617364" w:rsidRPr="005B4A8D">
        <w:t xml:space="preserve">once </w:t>
      </w:r>
      <w:r w:rsidRPr="005B4A8D">
        <w:t xml:space="preserve">consultation </w:t>
      </w:r>
      <w:r w:rsidR="00617364" w:rsidRPr="005B4A8D">
        <w:t>has</w:t>
      </w:r>
      <w:r w:rsidRPr="005B4A8D">
        <w:t xml:space="preserve"> concluded. The expectation is that </w:t>
      </w:r>
      <w:r w:rsidR="00890088">
        <w:t>p</w:t>
      </w:r>
      <w:r w:rsidRPr="005B4A8D">
        <w:t xml:space="preserve">upil </w:t>
      </w:r>
      <w:r w:rsidR="00890088">
        <w:t>p</w:t>
      </w:r>
      <w:r w:rsidRPr="005B4A8D">
        <w:t xml:space="preserve">lanning would work with schools and parents to reduce the need for additional classes as far as possible. Any further increases in growth fund will have to be met from brought forward balances. </w:t>
      </w:r>
    </w:p>
    <w:p w14:paraId="097D817B" w14:textId="77777777" w:rsidR="00181241" w:rsidRPr="005B4A8D" w:rsidRDefault="00DC40A3" w:rsidP="00890088">
      <w:pPr>
        <w:ind w:left="709"/>
        <w:jc w:val="both"/>
      </w:pPr>
      <w:r w:rsidRPr="005B4A8D">
        <w:t xml:space="preserve"> </w:t>
      </w:r>
    </w:p>
    <w:p w14:paraId="2EDD0993" w14:textId="77777777" w:rsidR="00E12E78" w:rsidRDefault="00446889" w:rsidP="00C007F9">
      <w:pPr>
        <w:pStyle w:val="ListParagraph"/>
        <w:pBdr>
          <w:top w:val="single" w:sz="12" w:space="1" w:color="auto"/>
          <w:left w:val="single" w:sz="12" w:space="4" w:color="auto"/>
          <w:bottom w:val="single" w:sz="12" w:space="1" w:color="auto"/>
          <w:right w:val="single" w:sz="12" w:space="4" w:color="auto"/>
        </w:pBdr>
        <w:ind w:left="851"/>
        <w:jc w:val="both"/>
      </w:pPr>
      <w:r w:rsidRPr="00557D09">
        <w:rPr>
          <w:b/>
          <w:u w:val="single"/>
        </w:rPr>
        <w:t>Recommendation</w:t>
      </w:r>
      <w:r w:rsidR="00890088">
        <w:rPr>
          <w:b/>
          <w:u w:val="single"/>
        </w:rPr>
        <w:t xml:space="preserve"> (v)</w:t>
      </w:r>
      <w:r w:rsidR="00E12E78">
        <w:rPr>
          <w:b/>
          <w:u w:val="single"/>
        </w:rPr>
        <w:t xml:space="preserve"> and (vi)</w:t>
      </w:r>
      <w:r w:rsidRPr="00557D09">
        <w:rPr>
          <w:b/>
          <w:u w:val="single"/>
        </w:rPr>
        <w:t>:</w:t>
      </w:r>
      <w:r w:rsidRPr="005B4A8D">
        <w:t xml:space="preserve">  Schools </w:t>
      </w:r>
      <w:r w:rsidR="00185647">
        <w:t>f</w:t>
      </w:r>
      <w:r w:rsidRPr="005B4A8D">
        <w:t xml:space="preserve">orum are requested to </w:t>
      </w:r>
      <w:r w:rsidR="00053FB2">
        <w:t xml:space="preserve">(a) </w:t>
      </w:r>
      <w:r w:rsidR="00E12E78" w:rsidRPr="00557D09">
        <w:t xml:space="preserve">approve the allocations </w:t>
      </w:r>
      <w:r w:rsidR="00D35A40">
        <w:t xml:space="preserve">for growth, rates and PFI </w:t>
      </w:r>
      <w:r w:rsidR="00E12E78" w:rsidRPr="00557D09">
        <w:t>as set out in the table above</w:t>
      </w:r>
      <w:r w:rsidR="00671762">
        <w:rPr>
          <w:b/>
        </w:rPr>
        <w:t xml:space="preserve"> and</w:t>
      </w:r>
      <w:r w:rsidR="00E12E78" w:rsidRPr="005B4A8D">
        <w:rPr>
          <w:b/>
        </w:rPr>
        <w:t xml:space="preserve"> </w:t>
      </w:r>
      <w:r w:rsidR="00053FB2">
        <w:t xml:space="preserve">(b) </w:t>
      </w:r>
      <w:r w:rsidR="00C007F9">
        <w:t xml:space="preserve">agree to </w:t>
      </w:r>
      <w:r w:rsidR="00E12E78" w:rsidRPr="005B4A8D">
        <w:t>fund growth at AWPU</w:t>
      </w:r>
      <w:r w:rsidR="00D35A40">
        <w:t>.</w:t>
      </w:r>
    </w:p>
    <w:p w14:paraId="70C52796" w14:textId="77777777" w:rsidR="00A43DE3" w:rsidRPr="005B4A8D" w:rsidRDefault="00A43DE3" w:rsidP="00671762">
      <w:pPr>
        <w:jc w:val="both"/>
      </w:pPr>
    </w:p>
    <w:p w14:paraId="568CA7DE" w14:textId="77777777" w:rsidR="00DF4E62" w:rsidRPr="005B4A8D" w:rsidRDefault="00DF4E62" w:rsidP="00494474">
      <w:pPr>
        <w:pStyle w:val="ListParagraph"/>
        <w:numPr>
          <w:ilvl w:val="0"/>
          <w:numId w:val="2"/>
        </w:numPr>
        <w:jc w:val="both"/>
        <w:rPr>
          <w:b/>
        </w:rPr>
      </w:pPr>
      <w:r w:rsidRPr="005B4A8D">
        <w:rPr>
          <w:b/>
        </w:rPr>
        <w:t xml:space="preserve">Local </w:t>
      </w:r>
      <w:r w:rsidR="002D2D3C" w:rsidRPr="005B4A8D">
        <w:rPr>
          <w:b/>
        </w:rPr>
        <w:t>a</w:t>
      </w:r>
      <w:r w:rsidRPr="005B4A8D">
        <w:rPr>
          <w:b/>
        </w:rPr>
        <w:t xml:space="preserve">nd </w:t>
      </w:r>
      <w:r w:rsidR="002D2D3C" w:rsidRPr="005B4A8D">
        <w:rPr>
          <w:b/>
        </w:rPr>
        <w:t>n</w:t>
      </w:r>
      <w:r w:rsidRPr="005B4A8D">
        <w:rPr>
          <w:b/>
        </w:rPr>
        <w:t xml:space="preserve">ational </w:t>
      </w:r>
      <w:r w:rsidR="002D2D3C" w:rsidRPr="005B4A8D">
        <w:rPr>
          <w:b/>
        </w:rPr>
        <w:t>f</w:t>
      </w:r>
      <w:r w:rsidRPr="005B4A8D">
        <w:rPr>
          <w:b/>
        </w:rPr>
        <w:t xml:space="preserve">unding </w:t>
      </w:r>
      <w:r w:rsidR="002D2D3C" w:rsidRPr="005B4A8D">
        <w:rPr>
          <w:b/>
        </w:rPr>
        <w:t>f</w:t>
      </w:r>
      <w:r w:rsidRPr="005B4A8D">
        <w:rPr>
          <w:b/>
        </w:rPr>
        <w:t>ormula 2019/20</w:t>
      </w:r>
    </w:p>
    <w:p w14:paraId="6D10CB95" w14:textId="77777777" w:rsidR="00CC25E2" w:rsidRPr="005B4A8D" w:rsidRDefault="00CC25E2" w:rsidP="00494474">
      <w:pPr>
        <w:pStyle w:val="ListParagraph"/>
        <w:ind w:left="709"/>
        <w:jc w:val="both"/>
        <w:rPr>
          <w:color w:val="4472C4"/>
        </w:rPr>
      </w:pPr>
    </w:p>
    <w:p w14:paraId="385F0E76" w14:textId="77777777" w:rsidR="00CC25E2" w:rsidRPr="005B4A8D" w:rsidRDefault="00A323C8" w:rsidP="00494474">
      <w:pPr>
        <w:pStyle w:val="ListParagraph"/>
        <w:numPr>
          <w:ilvl w:val="1"/>
          <w:numId w:val="2"/>
        </w:numPr>
        <w:tabs>
          <w:tab w:val="clear" w:pos="360"/>
        </w:tabs>
        <w:ind w:left="709" w:hanging="709"/>
        <w:jc w:val="both"/>
        <w:rPr>
          <w:color w:val="4472C4"/>
        </w:rPr>
      </w:pPr>
      <w:r w:rsidRPr="005B4A8D">
        <w:rPr>
          <w:sz w:val="23"/>
          <w:szCs w:val="23"/>
        </w:rPr>
        <w:t xml:space="preserve">Last year the </w:t>
      </w:r>
      <w:r w:rsidR="002D2D3C" w:rsidRPr="005B4A8D">
        <w:rPr>
          <w:sz w:val="23"/>
          <w:szCs w:val="23"/>
        </w:rPr>
        <w:t>s</w:t>
      </w:r>
      <w:r w:rsidRPr="005B4A8D">
        <w:rPr>
          <w:sz w:val="23"/>
          <w:szCs w:val="23"/>
        </w:rPr>
        <w:t xml:space="preserve">chools </w:t>
      </w:r>
      <w:r w:rsidR="002D2D3C" w:rsidRPr="005B4A8D">
        <w:rPr>
          <w:sz w:val="23"/>
          <w:szCs w:val="23"/>
        </w:rPr>
        <w:t>f</w:t>
      </w:r>
      <w:r w:rsidRPr="005B4A8D">
        <w:rPr>
          <w:sz w:val="23"/>
          <w:szCs w:val="23"/>
        </w:rPr>
        <w:t xml:space="preserve">orum agreed to move part way in the direction of the </w:t>
      </w:r>
      <w:r w:rsidR="002D2D3C" w:rsidRPr="005B4A8D">
        <w:rPr>
          <w:sz w:val="23"/>
          <w:szCs w:val="23"/>
        </w:rPr>
        <w:t>n</w:t>
      </w:r>
      <w:r w:rsidRPr="005B4A8D">
        <w:rPr>
          <w:sz w:val="23"/>
          <w:szCs w:val="23"/>
        </w:rPr>
        <w:t xml:space="preserve">ational </w:t>
      </w:r>
      <w:r w:rsidR="002D2D3C" w:rsidRPr="005B4A8D">
        <w:rPr>
          <w:sz w:val="23"/>
          <w:szCs w:val="23"/>
        </w:rPr>
        <w:t>f</w:t>
      </w:r>
      <w:r w:rsidRPr="005B4A8D">
        <w:rPr>
          <w:sz w:val="23"/>
          <w:szCs w:val="23"/>
        </w:rPr>
        <w:t xml:space="preserve">unding </w:t>
      </w:r>
      <w:r w:rsidR="002D2D3C" w:rsidRPr="005B4A8D">
        <w:rPr>
          <w:sz w:val="23"/>
          <w:szCs w:val="23"/>
        </w:rPr>
        <w:t>f</w:t>
      </w:r>
      <w:r w:rsidRPr="005B4A8D">
        <w:rPr>
          <w:sz w:val="23"/>
          <w:szCs w:val="23"/>
        </w:rPr>
        <w:t>ormula by:</w:t>
      </w:r>
      <w:r w:rsidR="00CC25E2" w:rsidRPr="005B4A8D">
        <w:rPr>
          <w:sz w:val="23"/>
          <w:szCs w:val="23"/>
        </w:rPr>
        <w:t xml:space="preserve"> </w:t>
      </w:r>
    </w:p>
    <w:p w14:paraId="31BA9E1C" w14:textId="77777777" w:rsidR="00CC25E2" w:rsidRPr="005B4A8D" w:rsidRDefault="00CC25E2" w:rsidP="00494474">
      <w:pPr>
        <w:pStyle w:val="ListParagraph"/>
        <w:jc w:val="both"/>
        <w:rPr>
          <w:sz w:val="23"/>
          <w:szCs w:val="23"/>
        </w:rPr>
      </w:pPr>
    </w:p>
    <w:p w14:paraId="5F505875" w14:textId="77777777" w:rsidR="00CC25E2" w:rsidRPr="005B4A8D" w:rsidRDefault="00CC25E2" w:rsidP="00494474">
      <w:pPr>
        <w:pStyle w:val="ListParagraph"/>
        <w:numPr>
          <w:ilvl w:val="0"/>
          <w:numId w:val="41"/>
        </w:numPr>
        <w:jc w:val="both"/>
        <w:rPr>
          <w:sz w:val="23"/>
          <w:szCs w:val="23"/>
        </w:rPr>
      </w:pPr>
      <w:r w:rsidRPr="005B4A8D">
        <w:rPr>
          <w:sz w:val="23"/>
          <w:szCs w:val="23"/>
        </w:rPr>
        <w:t xml:space="preserve">accepting the new NFF rates for the additional needs factors and the schools lump sum.  </w:t>
      </w:r>
    </w:p>
    <w:p w14:paraId="285E7ADD" w14:textId="77777777" w:rsidR="00CC25E2" w:rsidRPr="005B4A8D" w:rsidRDefault="00CC25E2" w:rsidP="00494474">
      <w:pPr>
        <w:pStyle w:val="ListParagraph"/>
        <w:numPr>
          <w:ilvl w:val="0"/>
          <w:numId w:val="41"/>
        </w:numPr>
        <w:jc w:val="both"/>
        <w:rPr>
          <w:sz w:val="23"/>
          <w:szCs w:val="23"/>
        </w:rPr>
      </w:pPr>
      <w:r w:rsidRPr="005B4A8D">
        <w:rPr>
          <w:sz w:val="23"/>
          <w:szCs w:val="23"/>
        </w:rPr>
        <w:t>Setting AWPU rates that brought the local average ratio of funding between primary and secondary schools to 1:1.34.</w:t>
      </w:r>
    </w:p>
    <w:p w14:paraId="4B9C3B83" w14:textId="77777777" w:rsidR="00CC25E2" w:rsidRPr="005B4A8D" w:rsidRDefault="00CC25E2" w:rsidP="00494474">
      <w:pPr>
        <w:pStyle w:val="ListParagraph"/>
        <w:ind w:left="1429"/>
        <w:jc w:val="both"/>
        <w:rPr>
          <w:sz w:val="23"/>
          <w:szCs w:val="23"/>
        </w:rPr>
      </w:pPr>
    </w:p>
    <w:p w14:paraId="43A3F884" w14:textId="77777777" w:rsidR="00DF4E62" w:rsidRPr="005B4A8D" w:rsidRDefault="00CC25E2" w:rsidP="002D2D3C">
      <w:pPr>
        <w:pStyle w:val="ListParagraph"/>
        <w:numPr>
          <w:ilvl w:val="1"/>
          <w:numId w:val="2"/>
        </w:numPr>
        <w:tabs>
          <w:tab w:val="clear" w:pos="360"/>
        </w:tabs>
        <w:ind w:left="709" w:hanging="709"/>
        <w:jc w:val="both"/>
        <w:rPr>
          <w:color w:val="4472C4"/>
        </w:rPr>
      </w:pPr>
      <w:r w:rsidRPr="005B4A8D">
        <w:rPr>
          <w:sz w:val="23"/>
          <w:szCs w:val="23"/>
        </w:rPr>
        <w:t>As a matter of local policy</w:t>
      </w:r>
      <w:r w:rsidR="002D2D3C" w:rsidRPr="005B4A8D">
        <w:rPr>
          <w:sz w:val="23"/>
          <w:szCs w:val="23"/>
        </w:rPr>
        <w:t>,</w:t>
      </w:r>
      <w:r w:rsidRPr="005B4A8D">
        <w:rPr>
          <w:sz w:val="23"/>
          <w:szCs w:val="23"/>
        </w:rPr>
        <w:t xml:space="preserve"> the LBBD </w:t>
      </w:r>
      <w:r w:rsidR="002D2D3C" w:rsidRPr="005B4A8D">
        <w:rPr>
          <w:sz w:val="23"/>
          <w:szCs w:val="23"/>
        </w:rPr>
        <w:t>s</w:t>
      </w:r>
      <w:r w:rsidRPr="005B4A8D">
        <w:rPr>
          <w:sz w:val="23"/>
          <w:szCs w:val="23"/>
        </w:rPr>
        <w:t xml:space="preserve">chools </w:t>
      </w:r>
      <w:r w:rsidR="002D2D3C" w:rsidRPr="005B4A8D">
        <w:rPr>
          <w:sz w:val="23"/>
          <w:szCs w:val="23"/>
        </w:rPr>
        <w:t>f</w:t>
      </w:r>
      <w:r w:rsidRPr="005B4A8D">
        <w:rPr>
          <w:sz w:val="23"/>
          <w:szCs w:val="23"/>
        </w:rPr>
        <w:t>orum had previously agreed to maintain the local ratio at 1:1.30.  However</w:t>
      </w:r>
      <w:r w:rsidR="002D2D3C" w:rsidRPr="005B4A8D">
        <w:rPr>
          <w:sz w:val="23"/>
          <w:szCs w:val="23"/>
        </w:rPr>
        <w:t>,</w:t>
      </w:r>
      <w:r w:rsidRPr="005B4A8D">
        <w:rPr>
          <w:sz w:val="23"/>
          <w:szCs w:val="23"/>
        </w:rPr>
        <w:t xml:space="preserve"> the full application of the </w:t>
      </w:r>
      <w:r w:rsidR="002D2D3C" w:rsidRPr="005B4A8D">
        <w:rPr>
          <w:sz w:val="23"/>
          <w:szCs w:val="23"/>
        </w:rPr>
        <w:t>n</w:t>
      </w:r>
      <w:r w:rsidRPr="005B4A8D">
        <w:rPr>
          <w:sz w:val="23"/>
          <w:szCs w:val="23"/>
        </w:rPr>
        <w:t xml:space="preserve">ational </w:t>
      </w:r>
      <w:r w:rsidR="002D2D3C" w:rsidRPr="005B4A8D">
        <w:rPr>
          <w:sz w:val="23"/>
          <w:szCs w:val="23"/>
        </w:rPr>
        <w:t>f</w:t>
      </w:r>
      <w:r w:rsidRPr="005B4A8D">
        <w:rPr>
          <w:sz w:val="23"/>
          <w:szCs w:val="23"/>
        </w:rPr>
        <w:t xml:space="preserve">unding </w:t>
      </w:r>
      <w:r w:rsidR="002D2D3C" w:rsidRPr="005B4A8D">
        <w:rPr>
          <w:sz w:val="23"/>
          <w:szCs w:val="23"/>
        </w:rPr>
        <w:t>f</w:t>
      </w:r>
      <w:r w:rsidRPr="005B4A8D">
        <w:rPr>
          <w:sz w:val="23"/>
          <w:szCs w:val="23"/>
        </w:rPr>
        <w:t xml:space="preserve">ormula would have increased this this ratio to 1:1.43.  </w:t>
      </w:r>
      <w:r w:rsidR="00DF4E62" w:rsidRPr="005B4A8D">
        <w:rPr>
          <w:sz w:val="23"/>
          <w:szCs w:val="23"/>
        </w:rPr>
        <w:t xml:space="preserve">  </w:t>
      </w:r>
    </w:p>
    <w:p w14:paraId="0481B753" w14:textId="77777777" w:rsidR="00DF4E62" w:rsidRPr="005B4A8D" w:rsidRDefault="00DF4E62" w:rsidP="001C5D12">
      <w:pPr>
        <w:pStyle w:val="ListParagraph"/>
        <w:ind w:left="709" w:hanging="709"/>
        <w:jc w:val="both"/>
        <w:rPr>
          <w:sz w:val="23"/>
          <w:szCs w:val="23"/>
        </w:rPr>
      </w:pPr>
    </w:p>
    <w:p w14:paraId="7F6296AF" w14:textId="77777777" w:rsidR="00F96531" w:rsidRPr="001C5D12" w:rsidRDefault="00CC25E2" w:rsidP="001C5D12">
      <w:pPr>
        <w:pStyle w:val="ListParagraph"/>
        <w:numPr>
          <w:ilvl w:val="2"/>
          <w:numId w:val="2"/>
        </w:numPr>
        <w:tabs>
          <w:tab w:val="clear" w:pos="1080"/>
        </w:tabs>
        <w:ind w:left="709" w:hanging="709"/>
        <w:jc w:val="both"/>
        <w:rPr>
          <w:sz w:val="23"/>
          <w:szCs w:val="23"/>
        </w:rPr>
      </w:pPr>
      <w:r w:rsidRPr="001C5D12">
        <w:rPr>
          <w:sz w:val="23"/>
          <w:szCs w:val="23"/>
        </w:rPr>
        <w:t xml:space="preserve">As it was understood at the time that the </w:t>
      </w:r>
      <w:r w:rsidR="00D455FF" w:rsidRPr="001C5D12">
        <w:rPr>
          <w:sz w:val="23"/>
          <w:szCs w:val="23"/>
        </w:rPr>
        <w:t>n</w:t>
      </w:r>
      <w:r w:rsidRPr="001C5D12">
        <w:rPr>
          <w:sz w:val="23"/>
          <w:szCs w:val="23"/>
        </w:rPr>
        <w:t xml:space="preserve">ational </w:t>
      </w:r>
      <w:r w:rsidR="00D455FF" w:rsidRPr="001C5D12">
        <w:rPr>
          <w:sz w:val="23"/>
          <w:szCs w:val="23"/>
        </w:rPr>
        <w:t>f</w:t>
      </w:r>
      <w:r w:rsidRPr="001C5D12">
        <w:rPr>
          <w:sz w:val="23"/>
          <w:szCs w:val="23"/>
        </w:rPr>
        <w:t xml:space="preserve">unding </w:t>
      </w:r>
      <w:r w:rsidR="00D455FF" w:rsidRPr="001C5D12">
        <w:rPr>
          <w:sz w:val="23"/>
          <w:szCs w:val="23"/>
        </w:rPr>
        <w:t>f</w:t>
      </w:r>
      <w:r w:rsidRPr="001C5D12">
        <w:rPr>
          <w:sz w:val="23"/>
          <w:szCs w:val="23"/>
        </w:rPr>
        <w:t>ormula would be imposed within t</w:t>
      </w:r>
      <w:r w:rsidR="00DF4E62" w:rsidRPr="001C5D12">
        <w:rPr>
          <w:sz w:val="23"/>
          <w:szCs w:val="23"/>
        </w:rPr>
        <w:t>hree</w:t>
      </w:r>
      <w:r w:rsidRPr="001C5D12">
        <w:rPr>
          <w:sz w:val="23"/>
          <w:szCs w:val="23"/>
        </w:rPr>
        <w:t xml:space="preserve"> years</w:t>
      </w:r>
      <w:r w:rsidR="00DF4E62" w:rsidRPr="001C5D12">
        <w:rPr>
          <w:sz w:val="23"/>
          <w:szCs w:val="23"/>
        </w:rPr>
        <w:t xml:space="preserve"> t</w:t>
      </w:r>
      <w:r w:rsidRPr="001C5D12">
        <w:rPr>
          <w:sz w:val="23"/>
          <w:szCs w:val="23"/>
        </w:rPr>
        <w:t xml:space="preserve">he </w:t>
      </w:r>
      <w:r w:rsidR="00D455FF" w:rsidRPr="001C5D12">
        <w:rPr>
          <w:sz w:val="23"/>
          <w:szCs w:val="23"/>
        </w:rPr>
        <w:t>f</w:t>
      </w:r>
      <w:r w:rsidR="00DF4E62" w:rsidRPr="001C5D12">
        <w:rPr>
          <w:sz w:val="23"/>
          <w:szCs w:val="23"/>
        </w:rPr>
        <w:t xml:space="preserve">orum last year agreed to move approximately a third of the way towards the </w:t>
      </w:r>
      <w:r w:rsidR="00D455FF" w:rsidRPr="001C5D12">
        <w:rPr>
          <w:sz w:val="23"/>
          <w:szCs w:val="23"/>
        </w:rPr>
        <w:t>n</w:t>
      </w:r>
      <w:r w:rsidR="00DF4E62" w:rsidRPr="001C5D12">
        <w:rPr>
          <w:sz w:val="23"/>
          <w:szCs w:val="23"/>
        </w:rPr>
        <w:t xml:space="preserve">ational formula.  This was believed to strike an appropriate balance between different kinds of schools and would move local schools some way towards the new funding pattern while allowing primary heads some additional time to prepare and plan.  </w:t>
      </w:r>
    </w:p>
    <w:p w14:paraId="043BA5DF" w14:textId="77777777" w:rsidR="00DF4E62" w:rsidRPr="005B4A8D" w:rsidRDefault="00DF4E62" w:rsidP="00494474">
      <w:pPr>
        <w:ind w:left="709" w:hanging="709"/>
        <w:jc w:val="both"/>
        <w:rPr>
          <w:sz w:val="23"/>
          <w:szCs w:val="23"/>
        </w:rPr>
      </w:pPr>
    </w:p>
    <w:p w14:paraId="7F571DDF" w14:textId="77777777" w:rsidR="00DF4E62" w:rsidRPr="005B4A8D" w:rsidRDefault="00DF4E62" w:rsidP="00494474">
      <w:pPr>
        <w:ind w:left="709" w:hanging="709"/>
        <w:jc w:val="both"/>
        <w:rPr>
          <w:sz w:val="23"/>
          <w:szCs w:val="23"/>
        </w:rPr>
      </w:pPr>
      <w:r w:rsidRPr="005B4A8D">
        <w:rPr>
          <w:sz w:val="23"/>
          <w:szCs w:val="23"/>
        </w:rPr>
        <w:t>6.4</w:t>
      </w:r>
      <w:r w:rsidRPr="005B4A8D">
        <w:rPr>
          <w:sz w:val="23"/>
          <w:szCs w:val="23"/>
        </w:rPr>
        <w:tab/>
        <w:t>Since then the DfE have extended the transition period by one year.  However</w:t>
      </w:r>
      <w:r w:rsidR="00D455FF" w:rsidRPr="005B4A8D">
        <w:rPr>
          <w:sz w:val="23"/>
          <w:szCs w:val="23"/>
        </w:rPr>
        <w:t>,</w:t>
      </w:r>
      <w:r w:rsidRPr="005B4A8D">
        <w:rPr>
          <w:sz w:val="23"/>
          <w:szCs w:val="23"/>
        </w:rPr>
        <w:t xml:space="preserve"> they have made it clear that in doing so they expect </w:t>
      </w:r>
      <w:r w:rsidR="00D455FF" w:rsidRPr="005B4A8D">
        <w:rPr>
          <w:sz w:val="23"/>
          <w:szCs w:val="23"/>
        </w:rPr>
        <w:t>l</w:t>
      </w:r>
      <w:r w:rsidRPr="005B4A8D">
        <w:rPr>
          <w:sz w:val="23"/>
          <w:szCs w:val="23"/>
        </w:rPr>
        <w:t xml:space="preserve">ocal </w:t>
      </w:r>
      <w:r w:rsidR="00D455FF" w:rsidRPr="005B4A8D">
        <w:rPr>
          <w:sz w:val="23"/>
          <w:szCs w:val="23"/>
        </w:rPr>
        <w:t>a</w:t>
      </w:r>
      <w:r w:rsidRPr="005B4A8D">
        <w:rPr>
          <w:sz w:val="23"/>
          <w:szCs w:val="23"/>
        </w:rPr>
        <w:t>uthorities to continue to move towards the national formula. At the same time</w:t>
      </w:r>
      <w:r w:rsidR="00D455FF" w:rsidRPr="005B4A8D">
        <w:rPr>
          <w:sz w:val="23"/>
          <w:szCs w:val="23"/>
        </w:rPr>
        <w:t>,</w:t>
      </w:r>
      <w:r w:rsidRPr="005B4A8D">
        <w:rPr>
          <w:sz w:val="23"/>
          <w:szCs w:val="23"/>
        </w:rPr>
        <w:t xml:space="preserve"> it is apparent that primaries are facing circumstances that </w:t>
      </w:r>
      <w:r w:rsidR="00C41263">
        <w:rPr>
          <w:sz w:val="23"/>
          <w:szCs w:val="23"/>
        </w:rPr>
        <w:t>are</w:t>
      </w:r>
      <w:r w:rsidR="00C41263" w:rsidRPr="005B4A8D">
        <w:rPr>
          <w:sz w:val="23"/>
          <w:szCs w:val="23"/>
        </w:rPr>
        <w:t xml:space="preserve"> </w:t>
      </w:r>
      <w:r w:rsidRPr="005B4A8D">
        <w:rPr>
          <w:sz w:val="23"/>
          <w:szCs w:val="23"/>
        </w:rPr>
        <w:t xml:space="preserve">constraining their funding including the introduction of the new funding arrangements, temporarily falling rolls in some parts of the borough, a </w:t>
      </w:r>
      <w:r w:rsidR="00AD2DD5" w:rsidRPr="005B4A8D">
        <w:rPr>
          <w:sz w:val="23"/>
          <w:szCs w:val="23"/>
        </w:rPr>
        <w:t xml:space="preserve">significant reduction in numbers of children attracting pupil premium and additional needs funding and lower than expected take up of the early years offer.  </w:t>
      </w:r>
    </w:p>
    <w:p w14:paraId="4C21E740" w14:textId="77777777" w:rsidR="00AD2DD5" w:rsidRPr="005B4A8D" w:rsidRDefault="00AD2DD5" w:rsidP="00494474">
      <w:pPr>
        <w:ind w:left="709" w:hanging="709"/>
        <w:jc w:val="both"/>
        <w:rPr>
          <w:sz w:val="23"/>
          <w:szCs w:val="23"/>
        </w:rPr>
      </w:pPr>
    </w:p>
    <w:p w14:paraId="4BB16A2D" w14:textId="77777777" w:rsidR="008502E5" w:rsidRDefault="00AD2DD5" w:rsidP="00DF4E62">
      <w:pPr>
        <w:ind w:left="709" w:hanging="709"/>
        <w:jc w:val="both"/>
        <w:rPr>
          <w:sz w:val="23"/>
          <w:szCs w:val="23"/>
        </w:rPr>
      </w:pPr>
      <w:r w:rsidRPr="005B4A8D">
        <w:rPr>
          <w:sz w:val="23"/>
          <w:szCs w:val="23"/>
        </w:rPr>
        <w:t>6.5</w:t>
      </w:r>
      <w:r w:rsidRPr="005B4A8D">
        <w:rPr>
          <w:sz w:val="23"/>
          <w:szCs w:val="23"/>
        </w:rPr>
        <w:tab/>
        <w:t xml:space="preserve">It is therefore proposed not to move to the previously agreed ratio of 1:1.38.  Instead two main options are presented to </w:t>
      </w:r>
      <w:r w:rsidR="00D455FF" w:rsidRPr="005B4A8D">
        <w:rPr>
          <w:sz w:val="23"/>
          <w:szCs w:val="23"/>
        </w:rPr>
        <w:t>f</w:t>
      </w:r>
      <w:r w:rsidRPr="005B4A8D">
        <w:rPr>
          <w:sz w:val="23"/>
          <w:szCs w:val="23"/>
        </w:rPr>
        <w:t>orum.  The first option is to remain at 1:1.34</w:t>
      </w:r>
      <w:r w:rsidR="008502E5" w:rsidRPr="005B4A8D">
        <w:rPr>
          <w:sz w:val="23"/>
          <w:szCs w:val="23"/>
        </w:rPr>
        <w:t xml:space="preserve"> with funding floor protection, in accordance with formula applied by </w:t>
      </w:r>
      <w:r w:rsidR="006D2AA3">
        <w:rPr>
          <w:sz w:val="23"/>
          <w:szCs w:val="23"/>
        </w:rPr>
        <w:t xml:space="preserve">the </w:t>
      </w:r>
      <w:r w:rsidR="008502E5" w:rsidRPr="005B4A8D">
        <w:rPr>
          <w:sz w:val="23"/>
          <w:szCs w:val="23"/>
        </w:rPr>
        <w:t xml:space="preserve">DfE to calculate the notional schools block DSG.  This allows for an increase of 1% per pupil against 2017/18 baseline. </w:t>
      </w:r>
      <w:r w:rsidRPr="005B4A8D">
        <w:rPr>
          <w:sz w:val="23"/>
          <w:szCs w:val="23"/>
        </w:rPr>
        <w:t xml:space="preserve"> and the second option is to move towards 1:1.36</w:t>
      </w:r>
      <w:r w:rsidR="008502E5" w:rsidRPr="005B4A8D">
        <w:rPr>
          <w:sz w:val="23"/>
          <w:szCs w:val="23"/>
        </w:rPr>
        <w:t>, also with funding floor protection</w:t>
      </w:r>
      <w:r w:rsidRPr="005B4A8D">
        <w:rPr>
          <w:sz w:val="23"/>
          <w:szCs w:val="23"/>
        </w:rPr>
        <w:t xml:space="preserve">. </w:t>
      </w:r>
      <w:r w:rsidR="0079780B">
        <w:rPr>
          <w:sz w:val="23"/>
          <w:szCs w:val="23"/>
        </w:rPr>
        <w:t xml:space="preserve">In addition to the funding floor, 0% </w:t>
      </w:r>
      <w:r w:rsidR="008502E5" w:rsidRPr="005B4A8D">
        <w:rPr>
          <w:sz w:val="23"/>
          <w:szCs w:val="23"/>
        </w:rPr>
        <w:t>minimum funding guarantee</w:t>
      </w:r>
      <w:r w:rsidR="0079780B">
        <w:rPr>
          <w:sz w:val="23"/>
          <w:szCs w:val="23"/>
        </w:rPr>
        <w:t xml:space="preserve"> (MFG)</w:t>
      </w:r>
      <w:r w:rsidR="008502E5" w:rsidRPr="005B4A8D">
        <w:rPr>
          <w:sz w:val="23"/>
          <w:szCs w:val="23"/>
        </w:rPr>
        <w:t xml:space="preserve"> </w:t>
      </w:r>
      <w:r w:rsidR="0079780B">
        <w:rPr>
          <w:sz w:val="23"/>
          <w:szCs w:val="23"/>
        </w:rPr>
        <w:t xml:space="preserve">has been </w:t>
      </w:r>
      <w:r w:rsidR="008502E5" w:rsidRPr="005B4A8D">
        <w:rPr>
          <w:sz w:val="23"/>
          <w:szCs w:val="23"/>
        </w:rPr>
        <w:t xml:space="preserve">applied </w:t>
      </w:r>
      <w:r w:rsidR="0079780B">
        <w:rPr>
          <w:sz w:val="23"/>
          <w:szCs w:val="23"/>
        </w:rPr>
        <w:t>to</w:t>
      </w:r>
      <w:r w:rsidR="0079780B" w:rsidRPr="005B4A8D">
        <w:rPr>
          <w:sz w:val="23"/>
          <w:szCs w:val="23"/>
        </w:rPr>
        <w:t xml:space="preserve"> </w:t>
      </w:r>
      <w:r w:rsidR="008502E5" w:rsidRPr="005B4A8D">
        <w:rPr>
          <w:sz w:val="23"/>
          <w:szCs w:val="23"/>
        </w:rPr>
        <w:t xml:space="preserve">both models </w:t>
      </w:r>
      <w:r w:rsidR="0079780B">
        <w:rPr>
          <w:sz w:val="23"/>
          <w:szCs w:val="23"/>
        </w:rPr>
        <w:t xml:space="preserve">so that </w:t>
      </w:r>
      <w:r w:rsidR="008502E5" w:rsidRPr="005B4A8D">
        <w:rPr>
          <w:sz w:val="23"/>
          <w:szCs w:val="23"/>
        </w:rPr>
        <w:t>no sc</w:t>
      </w:r>
      <w:r w:rsidR="00DA12CA" w:rsidRPr="005B4A8D">
        <w:rPr>
          <w:sz w:val="23"/>
          <w:szCs w:val="23"/>
        </w:rPr>
        <w:t xml:space="preserve">hool will see a cash reduction on a per pupil basis.  </w:t>
      </w:r>
      <w:r w:rsidR="0079780B">
        <w:rPr>
          <w:sz w:val="23"/>
          <w:szCs w:val="23"/>
        </w:rPr>
        <w:t>The</w:t>
      </w:r>
      <w:r w:rsidR="00DA12CA" w:rsidRPr="005B4A8D">
        <w:rPr>
          <w:sz w:val="23"/>
          <w:szCs w:val="23"/>
        </w:rPr>
        <w:t xml:space="preserve"> </w:t>
      </w:r>
      <w:r w:rsidR="0079780B">
        <w:rPr>
          <w:sz w:val="23"/>
          <w:szCs w:val="23"/>
        </w:rPr>
        <w:t>application of MFG</w:t>
      </w:r>
      <w:r w:rsidR="00DA12CA" w:rsidRPr="005B4A8D">
        <w:rPr>
          <w:sz w:val="23"/>
          <w:szCs w:val="23"/>
        </w:rPr>
        <w:t xml:space="preserve"> </w:t>
      </w:r>
      <w:r w:rsidR="006D2AA3">
        <w:rPr>
          <w:sz w:val="23"/>
          <w:szCs w:val="23"/>
        </w:rPr>
        <w:t xml:space="preserve">is </w:t>
      </w:r>
      <w:r w:rsidR="00DA12CA" w:rsidRPr="005B4A8D">
        <w:rPr>
          <w:sz w:val="23"/>
          <w:szCs w:val="23"/>
        </w:rPr>
        <w:t xml:space="preserve">consistent with the 2018/19 funding model. </w:t>
      </w:r>
    </w:p>
    <w:p w14:paraId="704317B6" w14:textId="77777777" w:rsidR="00934EC0" w:rsidRDefault="00934EC0" w:rsidP="00DF4E62">
      <w:pPr>
        <w:ind w:left="709" w:hanging="709"/>
        <w:jc w:val="both"/>
        <w:rPr>
          <w:sz w:val="23"/>
          <w:szCs w:val="23"/>
        </w:rPr>
      </w:pPr>
    </w:p>
    <w:p w14:paraId="58F19960" w14:textId="77777777" w:rsidR="00934EC0" w:rsidRPr="005B4A8D" w:rsidRDefault="00934EC0" w:rsidP="00DF4E62">
      <w:pPr>
        <w:ind w:left="709" w:hanging="709"/>
        <w:jc w:val="both"/>
        <w:rPr>
          <w:sz w:val="23"/>
          <w:szCs w:val="23"/>
        </w:rPr>
      </w:pPr>
    </w:p>
    <w:tbl>
      <w:tblPr>
        <w:tblStyle w:val="TableGrid"/>
        <w:tblpPr w:leftFromText="180" w:rightFromText="180" w:vertAnchor="text" w:horzAnchor="margin" w:tblpXSpec="right" w:tblpY="130"/>
        <w:tblW w:w="0" w:type="auto"/>
        <w:tblLook w:val="04A0" w:firstRow="1" w:lastRow="0" w:firstColumn="1" w:lastColumn="0" w:noHBand="0" w:noVBand="1"/>
      </w:tblPr>
      <w:tblGrid>
        <w:gridCol w:w="5240"/>
        <w:gridCol w:w="1276"/>
        <w:gridCol w:w="1276"/>
        <w:gridCol w:w="1153"/>
      </w:tblGrid>
      <w:tr w:rsidR="00F96531" w:rsidRPr="005B4A8D" w14:paraId="2B8BA935" w14:textId="77777777" w:rsidTr="00FB3682">
        <w:tc>
          <w:tcPr>
            <w:tcW w:w="5240" w:type="dxa"/>
          </w:tcPr>
          <w:p w14:paraId="4795E63F" w14:textId="77777777" w:rsidR="00F96531" w:rsidRPr="005B4A8D" w:rsidRDefault="00F96531" w:rsidP="00F96531">
            <w:pPr>
              <w:jc w:val="both"/>
              <w:rPr>
                <w:sz w:val="23"/>
                <w:szCs w:val="23"/>
              </w:rPr>
            </w:pPr>
          </w:p>
        </w:tc>
        <w:tc>
          <w:tcPr>
            <w:tcW w:w="1276" w:type="dxa"/>
          </w:tcPr>
          <w:p w14:paraId="5CAEC7B7" w14:textId="77777777" w:rsidR="00F96531" w:rsidRPr="00FB3682" w:rsidRDefault="00F96531" w:rsidP="00F96531">
            <w:pPr>
              <w:jc w:val="right"/>
              <w:rPr>
                <w:b/>
                <w:sz w:val="23"/>
                <w:szCs w:val="23"/>
              </w:rPr>
            </w:pPr>
            <w:r w:rsidRPr="00FB3682">
              <w:rPr>
                <w:b/>
                <w:sz w:val="23"/>
                <w:szCs w:val="23"/>
              </w:rPr>
              <w:t>2019/20</w:t>
            </w:r>
          </w:p>
        </w:tc>
        <w:tc>
          <w:tcPr>
            <w:tcW w:w="1276" w:type="dxa"/>
          </w:tcPr>
          <w:p w14:paraId="3830A69A" w14:textId="77777777" w:rsidR="00F96531" w:rsidRPr="00FB3682" w:rsidRDefault="00F96531" w:rsidP="00F96531">
            <w:pPr>
              <w:jc w:val="right"/>
              <w:rPr>
                <w:b/>
                <w:sz w:val="23"/>
                <w:szCs w:val="23"/>
              </w:rPr>
            </w:pPr>
            <w:r w:rsidRPr="00FB3682">
              <w:rPr>
                <w:b/>
                <w:sz w:val="23"/>
                <w:szCs w:val="23"/>
              </w:rPr>
              <w:t>2020/21</w:t>
            </w:r>
          </w:p>
        </w:tc>
        <w:tc>
          <w:tcPr>
            <w:tcW w:w="1153" w:type="dxa"/>
          </w:tcPr>
          <w:p w14:paraId="3D7423BC" w14:textId="77777777" w:rsidR="00F96531" w:rsidRPr="00FB3682" w:rsidRDefault="00F96531" w:rsidP="00F96531">
            <w:pPr>
              <w:jc w:val="right"/>
              <w:rPr>
                <w:b/>
                <w:sz w:val="23"/>
                <w:szCs w:val="23"/>
              </w:rPr>
            </w:pPr>
            <w:r w:rsidRPr="00FB3682">
              <w:rPr>
                <w:b/>
                <w:sz w:val="23"/>
                <w:szCs w:val="23"/>
              </w:rPr>
              <w:t>2021/22</w:t>
            </w:r>
          </w:p>
        </w:tc>
      </w:tr>
      <w:tr w:rsidR="00F96531" w:rsidRPr="005B4A8D" w14:paraId="03283D5F" w14:textId="77777777" w:rsidTr="00FB3682">
        <w:tc>
          <w:tcPr>
            <w:tcW w:w="5240" w:type="dxa"/>
          </w:tcPr>
          <w:p w14:paraId="27E71BCA" w14:textId="77777777" w:rsidR="00F96531" w:rsidRPr="005B4A8D" w:rsidRDefault="00F96531" w:rsidP="00F96531">
            <w:pPr>
              <w:jc w:val="both"/>
              <w:rPr>
                <w:sz w:val="23"/>
                <w:szCs w:val="23"/>
              </w:rPr>
            </w:pPr>
            <w:r w:rsidRPr="005B4A8D">
              <w:rPr>
                <w:sz w:val="23"/>
                <w:szCs w:val="23"/>
              </w:rPr>
              <w:t>Option</w:t>
            </w:r>
            <w:r w:rsidR="00D40FA5">
              <w:rPr>
                <w:sz w:val="23"/>
                <w:szCs w:val="23"/>
              </w:rPr>
              <w:t xml:space="preserve"> </w:t>
            </w:r>
            <w:r w:rsidRPr="005B4A8D">
              <w:rPr>
                <w:sz w:val="23"/>
                <w:szCs w:val="23"/>
              </w:rPr>
              <w:t>1</w:t>
            </w:r>
          </w:p>
        </w:tc>
        <w:tc>
          <w:tcPr>
            <w:tcW w:w="1276" w:type="dxa"/>
          </w:tcPr>
          <w:p w14:paraId="6821DD70" w14:textId="77777777" w:rsidR="00F96531" w:rsidRPr="005B4A8D" w:rsidRDefault="00F96531" w:rsidP="00F96531">
            <w:pPr>
              <w:jc w:val="right"/>
              <w:rPr>
                <w:sz w:val="23"/>
                <w:szCs w:val="23"/>
              </w:rPr>
            </w:pPr>
            <w:r w:rsidRPr="005B4A8D">
              <w:rPr>
                <w:sz w:val="23"/>
                <w:szCs w:val="23"/>
              </w:rPr>
              <w:t>1:1.34</w:t>
            </w:r>
          </w:p>
        </w:tc>
        <w:tc>
          <w:tcPr>
            <w:tcW w:w="1276" w:type="dxa"/>
          </w:tcPr>
          <w:p w14:paraId="7638EF58" w14:textId="77777777" w:rsidR="00F96531" w:rsidRPr="005B4A8D" w:rsidRDefault="00F96531" w:rsidP="00F96531">
            <w:pPr>
              <w:jc w:val="right"/>
              <w:rPr>
                <w:sz w:val="23"/>
                <w:szCs w:val="23"/>
              </w:rPr>
            </w:pPr>
            <w:r w:rsidRPr="005B4A8D">
              <w:rPr>
                <w:sz w:val="23"/>
                <w:szCs w:val="23"/>
              </w:rPr>
              <w:t>1:1.38</w:t>
            </w:r>
          </w:p>
        </w:tc>
        <w:tc>
          <w:tcPr>
            <w:tcW w:w="1153" w:type="dxa"/>
          </w:tcPr>
          <w:p w14:paraId="01430520" w14:textId="77777777" w:rsidR="00F96531" w:rsidRPr="005B4A8D" w:rsidRDefault="00F96531" w:rsidP="00F96531">
            <w:pPr>
              <w:jc w:val="right"/>
              <w:rPr>
                <w:sz w:val="23"/>
                <w:szCs w:val="23"/>
              </w:rPr>
            </w:pPr>
            <w:r w:rsidRPr="005B4A8D">
              <w:rPr>
                <w:sz w:val="23"/>
                <w:szCs w:val="23"/>
              </w:rPr>
              <w:t>1.1.43</w:t>
            </w:r>
          </w:p>
        </w:tc>
      </w:tr>
      <w:tr w:rsidR="00F96531" w:rsidRPr="005B4A8D" w14:paraId="6F442E40" w14:textId="77777777" w:rsidTr="00FB3682">
        <w:tc>
          <w:tcPr>
            <w:tcW w:w="5240" w:type="dxa"/>
          </w:tcPr>
          <w:p w14:paraId="39C72773" w14:textId="77777777" w:rsidR="00F96531" w:rsidRPr="005B4A8D" w:rsidRDefault="00F96531" w:rsidP="00F96531">
            <w:pPr>
              <w:jc w:val="both"/>
              <w:rPr>
                <w:sz w:val="23"/>
                <w:szCs w:val="23"/>
              </w:rPr>
            </w:pPr>
            <w:r w:rsidRPr="005B4A8D">
              <w:rPr>
                <w:sz w:val="23"/>
                <w:szCs w:val="23"/>
              </w:rPr>
              <w:t>Option</w:t>
            </w:r>
            <w:r w:rsidR="00D40FA5">
              <w:rPr>
                <w:sz w:val="23"/>
                <w:szCs w:val="23"/>
              </w:rPr>
              <w:t xml:space="preserve"> </w:t>
            </w:r>
            <w:r w:rsidRPr="005B4A8D">
              <w:rPr>
                <w:sz w:val="23"/>
                <w:szCs w:val="23"/>
              </w:rPr>
              <w:t>2</w:t>
            </w:r>
          </w:p>
        </w:tc>
        <w:tc>
          <w:tcPr>
            <w:tcW w:w="1276" w:type="dxa"/>
          </w:tcPr>
          <w:p w14:paraId="2841461F" w14:textId="77777777" w:rsidR="00F96531" w:rsidRPr="005B4A8D" w:rsidRDefault="00F96531" w:rsidP="00F96531">
            <w:pPr>
              <w:jc w:val="right"/>
              <w:rPr>
                <w:sz w:val="23"/>
                <w:szCs w:val="23"/>
              </w:rPr>
            </w:pPr>
            <w:r w:rsidRPr="005B4A8D">
              <w:rPr>
                <w:sz w:val="23"/>
                <w:szCs w:val="23"/>
              </w:rPr>
              <w:t>1.1.36</w:t>
            </w:r>
          </w:p>
        </w:tc>
        <w:tc>
          <w:tcPr>
            <w:tcW w:w="1276" w:type="dxa"/>
          </w:tcPr>
          <w:p w14:paraId="6B2BEE99" w14:textId="77777777" w:rsidR="00F96531" w:rsidRPr="005B4A8D" w:rsidRDefault="00F96531" w:rsidP="00F96531">
            <w:pPr>
              <w:jc w:val="right"/>
              <w:rPr>
                <w:sz w:val="23"/>
                <w:szCs w:val="23"/>
              </w:rPr>
            </w:pPr>
            <w:r w:rsidRPr="005B4A8D">
              <w:rPr>
                <w:sz w:val="23"/>
                <w:szCs w:val="23"/>
              </w:rPr>
              <w:t>1.1.39</w:t>
            </w:r>
          </w:p>
        </w:tc>
        <w:tc>
          <w:tcPr>
            <w:tcW w:w="1153" w:type="dxa"/>
          </w:tcPr>
          <w:p w14:paraId="0F6D4D89" w14:textId="77777777" w:rsidR="00F96531" w:rsidRPr="005B4A8D" w:rsidRDefault="00F96531" w:rsidP="00F96531">
            <w:pPr>
              <w:jc w:val="right"/>
              <w:rPr>
                <w:sz w:val="23"/>
                <w:szCs w:val="23"/>
              </w:rPr>
            </w:pPr>
            <w:r w:rsidRPr="005B4A8D">
              <w:rPr>
                <w:sz w:val="23"/>
                <w:szCs w:val="23"/>
              </w:rPr>
              <w:t>1:1.43</w:t>
            </w:r>
          </w:p>
        </w:tc>
      </w:tr>
    </w:tbl>
    <w:p w14:paraId="25AF30E8" w14:textId="77777777" w:rsidR="008502E5" w:rsidRPr="005B4A8D" w:rsidRDefault="008502E5" w:rsidP="00DF4E62">
      <w:pPr>
        <w:ind w:left="709" w:hanging="709"/>
        <w:jc w:val="both"/>
        <w:rPr>
          <w:sz w:val="23"/>
          <w:szCs w:val="23"/>
        </w:rPr>
      </w:pPr>
    </w:p>
    <w:p w14:paraId="4CF3FE3C" w14:textId="77777777" w:rsidR="00DA12CA" w:rsidRPr="005B4A8D" w:rsidRDefault="00DA12CA" w:rsidP="00DF4E62">
      <w:pPr>
        <w:ind w:left="709" w:hanging="709"/>
        <w:jc w:val="both"/>
        <w:rPr>
          <w:sz w:val="23"/>
          <w:szCs w:val="23"/>
        </w:rPr>
      </w:pPr>
    </w:p>
    <w:p w14:paraId="476D285A" w14:textId="77777777" w:rsidR="00DA12CA" w:rsidRPr="005B4A8D" w:rsidRDefault="00DA12CA" w:rsidP="00DF4E62">
      <w:pPr>
        <w:ind w:left="709" w:hanging="709"/>
        <w:jc w:val="both"/>
        <w:rPr>
          <w:sz w:val="23"/>
          <w:szCs w:val="23"/>
        </w:rPr>
      </w:pPr>
    </w:p>
    <w:p w14:paraId="41B1D565" w14:textId="77777777" w:rsidR="00DA12CA" w:rsidRPr="005B4A8D" w:rsidRDefault="008502E5" w:rsidP="00DA12CA">
      <w:pPr>
        <w:ind w:left="709"/>
        <w:jc w:val="both"/>
        <w:rPr>
          <w:sz w:val="23"/>
          <w:szCs w:val="23"/>
        </w:rPr>
      </w:pPr>
      <w:r w:rsidRPr="005B4A8D">
        <w:rPr>
          <w:sz w:val="23"/>
          <w:szCs w:val="23"/>
        </w:rPr>
        <w:tab/>
      </w:r>
    </w:p>
    <w:p w14:paraId="5E544F38" w14:textId="77777777" w:rsidR="00DA12CA" w:rsidRPr="005B4A8D" w:rsidRDefault="00DA12CA" w:rsidP="00DA12CA">
      <w:pPr>
        <w:ind w:left="709"/>
        <w:jc w:val="both"/>
        <w:rPr>
          <w:sz w:val="23"/>
          <w:szCs w:val="23"/>
        </w:rPr>
      </w:pPr>
      <w:r w:rsidRPr="005B4A8D">
        <w:rPr>
          <w:sz w:val="23"/>
          <w:szCs w:val="23"/>
        </w:rPr>
        <w:t xml:space="preserve">Table </w:t>
      </w:r>
      <w:r w:rsidR="003E2AE5">
        <w:rPr>
          <w:sz w:val="23"/>
          <w:szCs w:val="23"/>
        </w:rPr>
        <w:t>7</w:t>
      </w:r>
      <w:r w:rsidRPr="005B4A8D">
        <w:rPr>
          <w:sz w:val="23"/>
          <w:szCs w:val="23"/>
        </w:rPr>
        <w:t>: showing primary secondary transition trajectory</w:t>
      </w:r>
    </w:p>
    <w:p w14:paraId="636FF4C7" w14:textId="77777777" w:rsidR="00DA12CA" w:rsidRPr="005B4A8D" w:rsidRDefault="00DA12CA" w:rsidP="00DF4E62">
      <w:pPr>
        <w:ind w:left="709" w:hanging="709"/>
        <w:jc w:val="both"/>
        <w:rPr>
          <w:sz w:val="23"/>
          <w:szCs w:val="23"/>
        </w:rPr>
      </w:pPr>
    </w:p>
    <w:p w14:paraId="590E638A" w14:textId="77777777" w:rsidR="001072F6" w:rsidRDefault="00DA12CA" w:rsidP="008E7314">
      <w:pPr>
        <w:ind w:left="709" w:hanging="709"/>
        <w:jc w:val="both"/>
      </w:pPr>
      <w:r w:rsidRPr="005B4A8D">
        <w:t>6.7</w:t>
      </w:r>
      <w:r w:rsidRPr="005B4A8D">
        <w:tab/>
      </w:r>
      <w:r w:rsidR="00971243" w:rsidRPr="008E7314">
        <w:t xml:space="preserve">Last year LBBD lowered its formula rates for the schools block sum to that used in the national funding formula. </w:t>
      </w:r>
      <w:r w:rsidR="008E7314" w:rsidRPr="008E7314">
        <w:t>T</w:t>
      </w:r>
      <w:r w:rsidR="001072F6" w:rsidRPr="008E7314">
        <w:t>he DfE intend to move to a formula basis for premises and mobility next year so there is a risk that this funding could reduce.</w:t>
      </w:r>
      <w:r w:rsidR="001072F6">
        <w:t xml:space="preserve"> </w:t>
      </w:r>
    </w:p>
    <w:p w14:paraId="180D7888" w14:textId="77777777" w:rsidR="00525363" w:rsidRDefault="00525363" w:rsidP="008E7314">
      <w:pPr>
        <w:ind w:left="709" w:hanging="709"/>
        <w:jc w:val="both"/>
        <w:rPr>
          <w:rFonts w:ascii="Calibri" w:hAnsi="Calibri"/>
          <w:sz w:val="22"/>
          <w:szCs w:val="22"/>
        </w:rPr>
      </w:pPr>
    </w:p>
    <w:p w14:paraId="57D5B340" w14:textId="77777777" w:rsidR="002A6B6E" w:rsidRDefault="00525363" w:rsidP="00C007F9">
      <w:pPr>
        <w:pBdr>
          <w:top w:val="single" w:sz="12" w:space="1" w:color="auto"/>
          <w:left w:val="single" w:sz="12" w:space="4" w:color="auto"/>
          <w:bottom w:val="single" w:sz="12" w:space="1" w:color="auto"/>
          <w:right w:val="single" w:sz="12" w:space="4" w:color="auto"/>
        </w:pBdr>
        <w:ind w:left="851" w:firstLine="11"/>
        <w:jc w:val="both"/>
        <w:rPr>
          <w:b/>
          <w:sz w:val="23"/>
          <w:szCs w:val="23"/>
        </w:rPr>
      </w:pPr>
      <w:r w:rsidRPr="00E250E7">
        <w:rPr>
          <w:b/>
          <w:sz w:val="23"/>
          <w:szCs w:val="23"/>
          <w:u w:val="single"/>
        </w:rPr>
        <w:t>Recommendation</w:t>
      </w:r>
      <w:r>
        <w:rPr>
          <w:b/>
          <w:sz w:val="23"/>
          <w:szCs w:val="23"/>
          <w:u w:val="single"/>
        </w:rPr>
        <w:t xml:space="preserve"> (vii):</w:t>
      </w:r>
      <w:r w:rsidRPr="005B4A8D">
        <w:rPr>
          <w:sz w:val="23"/>
          <w:szCs w:val="23"/>
        </w:rPr>
        <w:t xml:space="preserve"> Schools </w:t>
      </w:r>
      <w:r>
        <w:rPr>
          <w:sz w:val="23"/>
          <w:szCs w:val="23"/>
        </w:rPr>
        <w:t>f</w:t>
      </w:r>
      <w:r w:rsidRPr="005B4A8D">
        <w:rPr>
          <w:sz w:val="23"/>
          <w:szCs w:val="23"/>
        </w:rPr>
        <w:t xml:space="preserve">orum are requested to agree </w:t>
      </w:r>
      <w:r w:rsidR="002A6B6E">
        <w:rPr>
          <w:sz w:val="23"/>
          <w:szCs w:val="23"/>
        </w:rPr>
        <w:t>option 1</w:t>
      </w:r>
      <w:r w:rsidRPr="005B4A8D">
        <w:rPr>
          <w:sz w:val="23"/>
          <w:szCs w:val="23"/>
        </w:rPr>
        <w:t xml:space="preserve"> with funding floor protection </w:t>
      </w:r>
      <w:r w:rsidRPr="001C5D12">
        <w:rPr>
          <w:sz w:val="23"/>
          <w:szCs w:val="23"/>
        </w:rPr>
        <w:t>as the basis of consultation with schools.</w:t>
      </w:r>
      <w:r w:rsidRPr="005B4A8D">
        <w:rPr>
          <w:b/>
          <w:sz w:val="23"/>
          <w:szCs w:val="23"/>
        </w:rPr>
        <w:t xml:space="preserve">  </w:t>
      </w:r>
    </w:p>
    <w:p w14:paraId="3C4A80C8" w14:textId="77777777" w:rsidR="001072F6" w:rsidRDefault="001072F6" w:rsidP="00494474">
      <w:pPr>
        <w:ind w:left="709" w:hanging="709"/>
        <w:jc w:val="both"/>
        <w:rPr>
          <w:highlight w:val="red"/>
        </w:rPr>
      </w:pPr>
    </w:p>
    <w:p w14:paraId="113B4D07" w14:textId="77777777" w:rsidR="00743D8E" w:rsidRPr="005B4A8D" w:rsidRDefault="00C77097" w:rsidP="0048587E">
      <w:pPr>
        <w:pStyle w:val="Default"/>
        <w:numPr>
          <w:ilvl w:val="0"/>
          <w:numId w:val="2"/>
        </w:numPr>
        <w:rPr>
          <w:b/>
        </w:rPr>
      </w:pPr>
      <w:r w:rsidRPr="005B4A8D">
        <w:rPr>
          <w:b/>
        </w:rPr>
        <w:t xml:space="preserve">Teachers </w:t>
      </w:r>
      <w:r w:rsidR="00D455FF" w:rsidRPr="005B4A8D">
        <w:rPr>
          <w:b/>
        </w:rPr>
        <w:t>p</w:t>
      </w:r>
      <w:r w:rsidRPr="005B4A8D">
        <w:rPr>
          <w:b/>
        </w:rPr>
        <w:t xml:space="preserve">ay </w:t>
      </w:r>
      <w:r w:rsidR="00D455FF" w:rsidRPr="005B4A8D">
        <w:rPr>
          <w:b/>
        </w:rPr>
        <w:t>a</w:t>
      </w:r>
      <w:r w:rsidRPr="005B4A8D">
        <w:rPr>
          <w:b/>
        </w:rPr>
        <w:t xml:space="preserve">ward </w:t>
      </w:r>
      <w:r w:rsidR="00D455FF" w:rsidRPr="005B4A8D">
        <w:rPr>
          <w:b/>
        </w:rPr>
        <w:t>g</w:t>
      </w:r>
      <w:r w:rsidRPr="005B4A8D">
        <w:rPr>
          <w:b/>
        </w:rPr>
        <w:t>rant</w:t>
      </w:r>
    </w:p>
    <w:p w14:paraId="2B06CD40" w14:textId="77777777" w:rsidR="003337C1" w:rsidRPr="005B4A8D" w:rsidRDefault="003337C1" w:rsidP="003337C1">
      <w:pPr>
        <w:pStyle w:val="Default"/>
        <w:rPr>
          <w:b/>
        </w:rPr>
      </w:pPr>
    </w:p>
    <w:p w14:paraId="3EFCE392" w14:textId="77777777" w:rsidR="00C77097" w:rsidRPr="005B4A8D" w:rsidRDefault="00C77097" w:rsidP="00494474">
      <w:pPr>
        <w:pStyle w:val="Default"/>
        <w:ind w:left="720" w:hanging="720"/>
        <w:jc w:val="both"/>
      </w:pPr>
      <w:r w:rsidRPr="005B4A8D">
        <w:t>7.1</w:t>
      </w:r>
      <w:r w:rsidRPr="005B4A8D">
        <w:tab/>
        <w:t xml:space="preserve">The DfE announced at the end of the summer term that they would be making available £187m nationally to pay the additional costs of the </w:t>
      </w:r>
      <w:r w:rsidR="00935C80" w:rsidRPr="005B4A8D">
        <w:t>t</w:t>
      </w:r>
      <w:r w:rsidRPr="005B4A8D">
        <w:t xml:space="preserve">eachers </w:t>
      </w:r>
      <w:r w:rsidR="00935C80" w:rsidRPr="005B4A8D">
        <w:t>p</w:t>
      </w:r>
      <w:r w:rsidRPr="005B4A8D">
        <w:t xml:space="preserve">ay </w:t>
      </w:r>
      <w:r w:rsidR="00935C80" w:rsidRPr="005B4A8D">
        <w:t>a</w:t>
      </w:r>
      <w:r w:rsidRPr="005B4A8D">
        <w:t>ward.  They have published some headline information</w:t>
      </w:r>
      <w:r w:rsidR="00715175">
        <w:t>,</w:t>
      </w:r>
      <w:r w:rsidRPr="005B4A8D">
        <w:t xml:space="preserve"> but more detail is awaited.  </w:t>
      </w:r>
    </w:p>
    <w:p w14:paraId="06B33148" w14:textId="77777777" w:rsidR="00C77097" w:rsidRPr="005B4A8D" w:rsidRDefault="00C77097" w:rsidP="00494474">
      <w:pPr>
        <w:pStyle w:val="Default"/>
        <w:ind w:left="720" w:hanging="720"/>
        <w:jc w:val="both"/>
      </w:pPr>
    </w:p>
    <w:p w14:paraId="23765772" w14:textId="77777777" w:rsidR="00C77097" w:rsidRPr="005B4A8D" w:rsidRDefault="00C77097" w:rsidP="00494474">
      <w:pPr>
        <w:ind w:left="720" w:hanging="720"/>
        <w:jc w:val="both"/>
      </w:pPr>
      <w:r w:rsidRPr="005B4A8D">
        <w:t>7.2</w:t>
      </w:r>
      <w:r w:rsidRPr="005B4A8D">
        <w:tab/>
        <w:t xml:space="preserve">The ringfenced grant will come through the </w:t>
      </w:r>
      <w:r w:rsidR="00935C80" w:rsidRPr="005B4A8D">
        <w:t>l</w:t>
      </w:r>
      <w:r w:rsidRPr="005B4A8D">
        <w:t xml:space="preserve">ocal </w:t>
      </w:r>
      <w:r w:rsidR="00935C80" w:rsidRPr="005B4A8D">
        <w:t>a</w:t>
      </w:r>
      <w:r w:rsidRPr="005B4A8D">
        <w:t>uthority to distribute to maintained schools while academies will get it directly from the ESFA. The amount payable per school will be based on the number of pupils as follows:</w:t>
      </w:r>
    </w:p>
    <w:p w14:paraId="0E058469" w14:textId="77777777" w:rsidR="00C77097" w:rsidRPr="005B4A8D" w:rsidRDefault="00C77097" w:rsidP="00494474">
      <w:pPr>
        <w:jc w:val="both"/>
      </w:pPr>
    </w:p>
    <w:tbl>
      <w:tblPr>
        <w:tblW w:w="8916" w:type="dxa"/>
        <w:tblInd w:w="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6665"/>
        <w:gridCol w:w="1134"/>
        <w:gridCol w:w="1117"/>
      </w:tblGrid>
      <w:tr w:rsidR="00C77097" w:rsidRPr="005B4A8D" w14:paraId="4918B5FB" w14:textId="77777777" w:rsidTr="0056450B">
        <w:trPr>
          <w:trHeight w:val="290"/>
        </w:trPr>
        <w:tc>
          <w:tcPr>
            <w:tcW w:w="6665" w:type="dxa"/>
            <w:noWrap/>
            <w:tcMar>
              <w:top w:w="0" w:type="dxa"/>
              <w:left w:w="108" w:type="dxa"/>
              <w:bottom w:w="0" w:type="dxa"/>
              <w:right w:w="108" w:type="dxa"/>
            </w:tcMar>
            <w:vAlign w:val="bottom"/>
            <w:hideMark/>
          </w:tcPr>
          <w:p w14:paraId="04B57B60" w14:textId="77777777" w:rsidR="00C77097" w:rsidRPr="001C5D12" w:rsidRDefault="00C77097" w:rsidP="00494474">
            <w:pPr>
              <w:jc w:val="both"/>
              <w:rPr>
                <w:b/>
              </w:rPr>
            </w:pPr>
          </w:p>
        </w:tc>
        <w:tc>
          <w:tcPr>
            <w:tcW w:w="1134" w:type="dxa"/>
            <w:noWrap/>
            <w:tcMar>
              <w:top w:w="0" w:type="dxa"/>
              <w:left w:w="108" w:type="dxa"/>
              <w:bottom w:w="0" w:type="dxa"/>
              <w:right w:w="108" w:type="dxa"/>
            </w:tcMar>
            <w:vAlign w:val="bottom"/>
            <w:hideMark/>
          </w:tcPr>
          <w:p w14:paraId="414AD370" w14:textId="77777777" w:rsidR="00C77097" w:rsidRPr="001C5D12" w:rsidRDefault="00C77097" w:rsidP="00935C80">
            <w:pPr>
              <w:jc w:val="right"/>
              <w:rPr>
                <w:rFonts w:ascii="Calibri" w:eastAsiaTheme="minorHAnsi" w:hAnsi="Calibri" w:cs="Calibri"/>
                <w:b/>
                <w:color w:val="000000"/>
                <w:sz w:val="22"/>
                <w:szCs w:val="22"/>
              </w:rPr>
            </w:pPr>
            <w:r w:rsidRPr="001C5D12">
              <w:rPr>
                <w:b/>
                <w:color w:val="000000"/>
              </w:rPr>
              <w:t>Inner</w:t>
            </w:r>
            <w:r w:rsidR="00B30E2D" w:rsidRPr="005B4A8D">
              <w:rPr>
                <w:b/>
                <w:color w:val="000000"/>
              </w:rPr>
              <w:t xml:space="preserve"> </w:t>
            </w:r>
          </w:p>
        </w:tc>
        <w:tc>
          <w:tcPr>
            <w:tcW w:w="1117" w:type="dxa"/>
            <w:noWrap/>
            <w:tcMar>
              <w:top w:w="0" w:type="dxa"/>
              <w:left w:w="108" w:type="dxa"/>
              <w:bottom w:w="0" w:type="dxa"/>
              <w:right w:w="108" w:type="dxa"/>
            </w:tcMar>
            <w:vAlign w:val="bottom"/>
            <w:hideMark/>
          </w:tcPr>
          <w:p w14:paraId="6E9E470D" w14:textId="77777777" w:rsidR="00C77097" w:rsidRPr="001C5D12" w:rsidRDefault="00C77097" w:rsidP="00935C80">
            <w:pPr>
              <w:jc w:val="right"/>
              <w:rPr>
                <w:b/>
                <w:color w:val="000000"/>
              </w:rPr>
            </w:pPr>
            <w:r w:rsidRPr="001C5D12">
              <w:rPr>
                <w:b/>
                <w:color w:val="000000"/>
              </w:rPr>
              <w:t>Outer</w:t>
            </w:r>
          </w:p>
        </w:tc>
      </w:tr>
      <w:tr w:rsidR="00C77097" w:rsidRPr="005B4A8D" w14:paraId="72C4DB46" w14:textId="77777777" w:rsidTr="0056450B">
        <w:trPr>
          <w:trHeight w:val="290"/>
        </w:trPr>
        <w:tc>
          <w:tcPr>
            <w:tcW w:w="6665" w:type="dxa"/>
            <w:noWrap/>
            <w:tcMar>
              <w:top w:w="0" w:type="dxa"/>
              <w:left w:w="108" w:type="dxa"/>
              <w:bottom w:w="0" w:type="dxa"/>
              <w:right w:w="108" w:type="dxa"/>
            </w:tcMar>
            <w:vAlign w:val="bottom"/>
            <w:hideMark/>
          </w:tcPr>
          <w:p w14:paraId="540A4C8D" w14:textId="77777777" w:rsidR="00C77097" w:rsidRPr="005B4A8D" w:rsidRDefault="00C77097" w:rsidP="00494474">
            <w:pPr>
              <w:jc w:val="both"/>
              <w:rPr>
                <w:color w:val="000000"/>
              </w:rPr>
            </w:pPr>
            <w:r w:rsidRPr="005B4A8D">
              <w:rPr>
                <w:color w:val="000000"/>
              </w:rPr>
              <w:t>Primary</w:t>
            </w:r>
          </w:p>
        </w:tc>
        <w:tc>
          <w:tcPr>
            <w:tcW w:w="1134" w:type="dxa"/>
            <w:noWrap/>
            <w:tcMar>
              <w:top w:w="0" w:type="dxa"/>
              <w:left w:w="108" w:type="dxa"/>
              <w:bottom w:w="0" w:type="dxa"/>
              <w:right w:w="108" w:type="dxa"/>
            </w:tcMar>
            <w:vAlign w:val="bottom"/>
            <w:hideMark/>
          </w:tcPr>
          <w:p w14:paraId="2A27AC6B" w14:textId="77777777" w:rsidR="00C77097" w:rsidRPr="005B4A8D" w:rsidRDefault="00C77097" w:rsidP="00935C80">
            <w:pPr>
              <w:jc w:val="right"/>
              <w:rPr>
                <w:color w:val="000000"/>
              </w:rPr>
            </w:pPr>
            <w:r w:rsidRPr="005B4A8D">
              <w:rPr>
                <w:color w:val="000000"/>
              </w:rPr>
              <w:t>19.51</w:t>
            </w:r>
          </w:p>
        </w:tc>
        <w:tc>
          <w:tcPr>
            <w:tcW w:w="1117" w:type="dxa"/>
            <w:noWrap/>
            <w:tcMar>
              <w:top w:w="0" w:type="dxa"/>
              <w:left w:w="108" w:type="dxa"/>
              <w:bottom w:w="0" w:type="dxa"/>
              <w:right w:w="108" w:type="dxa"/>
            </w:tcMar>
            <w:vAlign w:val="bottom"/>
            <w:hideMark/>
          </w:tcPr>
          <w:p w14:paraId="4F0E4DA0" w14:textId="77777777" w:rsidR="00C77097" w:rsidRPr="005B4A8D" w:rsidRDefault="00C77097" w:rsidP="00935C80">
            <w:pPr>
              <w:jc w:val="right"/>
              <w:rPr>
                <w:color w:val="000000"/>
              </w:rPr>
            </w:pPr>
            <w:r w:rsidRPr="005B4A8D">
              <w:rPr>
                <w:color w:val="000000"/>
              </w:rPr>
              <w:t>18.05</w:t>
            </w:r>
          </w:p>
        </w:tc>
      </w:tr>
      <w:tr w:rsidR="00C77097" w:rsidRPr="005B4A8D" w14:paraId="241E1EB9" w14:textId="77777777" w:rsidTr="0056450B">
        <w:trPr>
          <w:trHeight w:val="290"/>
        </w:trPr>
        <w:tc>
          <w:tcPr>
            <w:tcW w:w="6665" w:type="dxa"/>
            <w:noWrap/>
            <w:tcMar>
              <w:top w:w="0" w:type="dxa"/>
              <w:left w:w="108" w:type="dxa"/>
              <w:bottom w:w="0" w:type="dxa"/>
              <w:right w:w="108" w:type="dxa"/>
            </w:tcMar>
            <w:vAlign w:val="bottom"/>
            <w:hideMark/>
          </w:tcPr>
          <w:p w14:paraId="051CF8B4" w14:textId="77777777" w:rsidR="00C77097" w:rsidRPr="005B4A8D" w:rsidRDefault="00C77097" w:rsidP="00494474">
            <w:pPr>
              <w:jc w:val="both"/>
              <w:rPr>
                <w:color w:val="000000"/>
              </w:rPr>
            </w:pPr>
            <w:r w:rsidRPr="005B4A8D">
              <w:rPr>
                <w:color w:val="000000"/>
              </w:rPr>
              <w:t>Secondary</w:t>
            </w:r>
          </w:p>
        </w:tc>
        <w:tc>
          <w:tcPr>
            <w:tcW w:w="1134" w:type="dxa"/>
            <w:noWrap/>
            <w:tcMar>
              <w:top w:w="0" w:type="dxa"/>
              <w:left w:w="108" w:type="dxa"/>
              <w:bottom w:w="0" w:type="dxa"/>
              <w:right w:w="108" w:type="dxa"/>
            </w:tcMar>
            <w:vAlign w:val="bottom"/>
            <w:hideMark/>
          </w:tcPr>
          <w:p w14:paraId="437DD700" w14:textId="77777777" w:rsidR="00C77097" w:rsidRPr="005B4A8D" w:rsidRDefault="00C77097" w:rsidP="00935C80">
            <w:pPr>
              <w:jc w:val="right"/>
              <w:rPr>
                <w:color w:val="000000"/>
              </w:rPr>
            </w:pPr>
            <w:r w:rsidRPr="005B4A8D">
              <w:rPr>
                <w:color w:val="000000"/>
              </w:rPr>
              <w:t>31.57</w:t>
            </w:r>
          </w:p>
        </w:tc>
        <w:tc>
          <w:tcPr>
            <w:tcW w:w="1117" w:type="dxa"/>
            <w:noWrap/>
            <w:tcMar>
              <w:top w:w="0" w:type="dxa"/>
              <w:left w:w="108" w:type="dxa"/>
              <w:bottom w:w="0" w:type="dxa"/>
              <w:right w:w="108" w:type="dxa"/>
            </w:tcMar>
            <w:vAlign w:val="bottom"/>
            <w:hideMark/>
          </w:tcPr>
          <w:p w14:paraId="4DADEB06" w14:textId="77777777" w:rsidR="00C77097" w:rsidRPr="005B4A8D" w:rsidRDefault="00C77097" w:rsidP="00935C80">
            <w:pPr>
              <w:jc w:val="right"/>
              <w:rPr>
                <w:color w:val="000000"/>
              </w:rPr>
            </w:pPr>
            <w:r w:rsidRPr="005B4A8D">
              <w:rPr>
                <w:color w:val="000000"/>
              </w:rPr>
              <w:t>29.2</w:t>
            </w:r>
          </w:p>
        </w:tc>
      </w:tr>
      <w:tr w:rsidR="00C77097" w:rsidRPr="005B4A8D" w14:paraId="7C03474D" w14:textId="77777777" w:rsidTr="0056450B">
        <w:trPr>
          <w:trHeight w:val="290"/>
        </w:trPr>
        <w:tc>
          <w:tcPr>
            <w:tcW w:w="6665" w:type="dxa"/>
            <w:noWrap/>
            <w:tcMar>
              <w:top w:w="0" w:type="dxa"/>
              <w:left w:w="108" w:type="dxa"/>
              <w:bottom w:w="0" w:type="dxa"/>
              <w:right w:w="108" w:type="dxa"/>
            </w:tcMar>
            <w:vAlign w:val="bottom"/>
            <w:hideMark/>
          </w:tcPr>
          <w:p w14:paraId="328D5502" w14:textId="77777777" w:rsidR="00C77097" w:rsidRPr="005B4A8D" w:rsidRDefault="00C77097" w:rsidP="00494474">
            <w:pPr>
              <w:jc w:val="both"/>
              <w:rPr>
                <w:color w:val="000000"/>
              </w:rPr>
            </w:pPr>
            <w:r w:rsidRPr="005B4A8D">
              <w:rPr>
                <w:color w:val="000000"/>
              </w:rPr>
              <w:t>Special</w:t>
            </w:r>
          </w:p>
        </w:tc>
        <w:tc>
          <w:tcPr>
            <w:tcW w:w="1134" w:type="dxa"/>
            <w:noWrap/>
            <w:tcMar>
              <w:top w:w="0" w:type="dxa"/>
              <w:left w:w="108" w:type="dxa"/>
              <w:bottom w:w="0" w:type="dxa"/>
              <w:right w:w="108" w:type="dxa"/>
            </w:tcMar>
            <w:vAlign w:val="bottom"/>
            <w:hideMark/>
          </w:tcPr>
          <w:p w14:paraId="7302F13C" w14:textId="77777777" w:rsidR="00C77097" w:rsidRPr="005B4A8D" w:rsidRDefault="00C77097" w:rsidP="00935C80">
            <w:pPr>
              <w:jc w:val="right"/>
              <w:rPr>
                <w:color w:val="000000"/>
              </w:rPr>
            </w:pPr>
            <w:r w:rsidRPr="005B4A8D">
              <w:rPr>
                <w:color w:val="000000"/>
              </w:rPr>
              <w:t>78.1</w:t>
            </w:r>
          </w:p>
        </w:tc>
        <w:tc>
          <w:tcPr>
            <w:tcW w:w="1117" w:type="dxa"/>
            <w:noWrap/>
            <w:tcMar>
              <w:top w:w="0" w:type="dxa"/>
              <w:left w:w="108" w:type="dxa"/>
              <w:bottom w:w="0" w:type="dxa"/>
              <w:right w:w="108" w:type="dxa"/>
            </w:tcMar>
            <w:vAlign w:val="bottom"/>
            <w:hideMark/>
          </w:tcPr>
          <w:p w14:paraId="52ED7DE3" w14:textId="77777777" w:rsidR="00C77097" w:rsidRPr="005B4A8D" w:rsidRDefault="00C77097" w:rsidP="00935C80">
            <w:pPr>
              <w:jc w:val="right"/>
              <w:rPr>
                <w:color w:val="000000"/>
              </w:rPr>
            </w:pPr>
            <w:r w:rsidRPr="005B4A8D">
              <w:rPr>
                <w:color w:val="000000"/>
              </w:rPr>
              <w:t>77.25</w:t>
            </w:r>
          </w:p>
        </w:tc>
      </w:tr>
    </w:tbl>
    <w:p w14:paraId="24D34D03" w14:textId="77777777" w:rsidR="00C77097" w:rsidRPr="005B4A8D" w:rsidRDefault="00C77097" w:rsidP="00494474">
      <w:pPr>
        <w:jc w:val="both"/>
        <w:rPr>
          <w:rFonts w:ascii="Calibri" w:eastAsiaTheme="minorHAnsi" w:hAnsi="Calibri" w:cs="Calibri"/>
          <w:sz w:val="22"/>
          <w:szCs w:val="22"/>
          <w:lang w:eastAsia="en-US"/>
        </w:rPr>
      </w:pPr>
    </w:p>
    <w:p w14:paraId="593E1F44" w14:textId="77777777" w:rsidR="00B30E2D" w:rsidRPr="008E0C1A" w:rsidRDefault="00B30E2D" w:rsidP="001C5D12">
      <w:pPr>
        <w:ind w:left="709"/>
        <w:jc w:val="both"/>
        <w:rPr>
          <w:sz w:val="23"/>
          <w:szCs w:val="23"/>
        </w:rPr>
      </w:pPr>
      <w:r w:rsidRPr="008E0C1A">
        <w:rPr>
          <w:sz w:val="23"/>
          <w:szCs w:val="23"/>
        </w:rPr>
        <w:t xml:space="preserve">Table </w:t>
      </w:r>
      <w:r w:rsidR="003E2AE5">
        <w:rPr>
          <w:sz w:val="23"/>
          <w:szCs w:val="23"/>
        </w:rPr>
        <w:t>8</w:t>
      </w:r>
      <w:r w:rsidRPr="008E0C1A">
        <w:rPr>
          <w:sz w:val="23"/>
          <w:szCs w:val="23"/>
        </w:rPr>
        <w:t xml:space="preserve">: </w:t>
      </w:r>
      <w:r w:rsidR="003E2AE5">
        <w:rPr>
          <w:sz w:val="23"/>
          <w:szCs w:val="23"/>
        </w:rPr>
        <w:t>A</w:t>
      </w:r>
      <w:r w:rsidRPr="008E0C1A">
        <w:rPr>
          <w:sz w:val="23"/>
          <w:szCs w:val="23"/>
        </w:rPr>
        <w:t xml:space="preserve">llocation per pupil </w:t>
      </w:r>
    </w:p>
    <w:p w14:paraId="3F424FDE" w14:textId="77777777" w:rsidR="00B30E2D" w:rsidRPr="005B4A8D" w:rsidRDefault="00B30E2D" w:rsidP="00494474">
      <w:pPr>
        <w:jc w:val="both"/>
        <w:rPr>
          <w:rFonts w:ascii="Calibri" w:eastAsiaTheme="minorHAnsi" w:hAnsi="Calibri" w:cs="Calibri"/>
          <w:sz w:val="22"/>
          <w:szCs w:val="22"/>
          <w:lang w:eastAsia="en-US"/>
        </w:rPr>
      </w:pPr>
    </w:p>
    <w:p w14:paraId="6DFEBB28" w14:textId="77777777" w:rsidR="00C77097" w:rsidRPr="005B4A8D" w:rsidRDefault="00C77097" w:rsidP="006670C7">
      <w:pPr>
        <w:ind w:left="720"/>
        <w:jc w:val="both"/>
      </w:pPr>
      <w:r w:rsidRPr="005B4A8D">
        <w:t>We are expecting to receive inner London rates as th</w:t>
      </w:r>
      <w:r w:rsidR="00935C80" w:rsidRPr="005B4A8D">
        <w:t>is</w:t>
      </w:r>
      <w:r w:rsidRPr="005B4A8D">
        <w:t xml:space="preserve"> is what teachers </w:t>
      </w:r>
      <w:r w:rsidR="00935C80" w:rsidRPr="005B4A8D">
        <w:t>are</w:t>
      </w:r>
      <w:r w:rsidRPr="005B4A8D">
        <w:t xml:space="preserve"> paid. These are the 18/19 rates – based on 7/12</w:t>
      </w:r>
      <w:r w:rsidR="008E0C1A">
        <w:t>th</w:t>
      </w:r>
      <w:r w:rsidR="006670C7">
        <w:t xml:space="preserve">s </w:t>
      </w:r>
      <w:r w:rsidRPr="005B4A8D">
        <w:t>of the financial year as the pay award is payable from September.</w:t>
      </w:r>
    </w:p>
    <w:p w14:paraId="605EE09F" w14:textId="77777777" w:rsidR="00C77097" w:rsidRPr="005B4A8D" w:rsidRDefault="00C77097" w:rsidP="00494474">
      <w:pPr>
        <w:ind w:left="720"/>
        <w:jc w:val="both"/>
      </w:pPr>
    </w:p>
    <w:p w14:paraId="32DC0D9A" w14:textId="77777777" w:rsidR="00C77097" w:rsidRPr="005B4A8D" w:rsidRDefault="00C77097" w:rsidP="00494474">
      <w:pPr>
        <w:ind w:left="720" w:hanging="720"/>
        <w:jc w:val="both"/>
      </w:pPr>
      <w:r w:rsidRPr="005B4A8D">
        <w:t>7.3</w:t>
      </w:r>
      <w:r w:rsidRPr="005B4A8D">
        <w:tab/>
        <w:t xml:space="preserve">Headteachers should note that the DfE have </w:t>
      </w:r>
      <w:r w:rsidRPr="005B4A8D">
        <w:rPr>
          <w:b/>
        </w:rPr>
        <w:t>NOT</w:t>
      </w:r>
      <w:r w:rsidRPr="005B4A8D">
        <w:t xml:space="preserve"> fully funded this pay award – they have only funded the additional </w:t>
      </w:r>
      <w:r w:rsidR="00FD7D5F" w:rsidRPr="005B4A8D">
        <w:t xml:space="preserve">impact </w:t>
      </w:r>
      <w:r w:rsidRPr="005B4A8D">
        <w:t xml:space="preserve">above </w:t>
      </w:r>
      <w:r w:rsidR="00FD7D5F" w:rsidRPr="005B4A8D">
        <w:t xml:space="preserve">the </w:t>
      </w:r>
      <w:r w:rsidRPr="005B4A8D">
        <w:t xml:space="preserve">1% </w:t>
      </w:r>
      <w:r w:rsidR="00FD7D5F" w:rsidRPr="005B4A8D">
        <w:t xml:space="preserve">pay increase </w:t>
      </w:r>
      <w:r w:rsidRPr="005B4A8D">
        <w:t>which they say schools should already have planned for</w:t>
      </w:r>
      <w:r w:rsidR="00FD7D5F" w:rsidRPr="005B4A8D">
        <w:t xml:space="preserve"> (although this has not been fully funded either)</w:t>
      </w:r>
      <w:r w:rsidR="00935C80" w:rsidRPr="005B4A8D">
        <w:t>.</w:t>
      </w:r>
      <w:r w:rsidR="00FD7D5F" w:rsidRPr="005B4A8D">
        <w:t xml:space="preserve">  </w:t>
      </w:r>
    </w:p>
    <w:p w14:paraId="3F029E9E" w14:textId="77777777" w:rsidR="00FD7D5F" w:rsidRPr="005B4A8D" w:rsidRDefault="00FD7D5F" w:rsidP="00494474">
      <w:pPr>
        <w:ind w:left="720" w:hanging="720"/>
        <w:jc w:val="both"/>
      </w:pPr>
    </w:p>
    <w:p w14:paraId="628BECC9" w14:textId="77777777" w:rsidR="00C77097" w:rsidRDefault="00FD7D5F" w:rsidP="00494474">
      <w:pPr>
        <w:ind w:left="709" w:hanging="709"/>
        <w:jc w:val="both"/>
      </w:pPr>
      <w:r w:rsidRPr="005B4A8D">
        <w:t>7.4</w:t>
      </w:r>
      <w:r w:rsidRPr="005B4A8D">
        <w:tab/>
        <w:t>More</w:t>
      </w:r>
      <w:r w:rsidR="00C77097" w:rsidRPr="005B4A8D">
        <w:t xml:space="preserve"> details and the allocations </w:t>
      </w:r>
      <w:r w:rsidRPr="005B4A8D">
        <w:t xml:space="preserve">should be published in October </w:t>
      </w:r>
      <w:r w:rsidR="00C77097" w:rsidRPr="005B4A8D">
        <w:t xml:space="preserve">and </w:t>
      </w:r>
      <w:r w:rsidRPr="005B4A8D">
        <w:t xml:space="preserve">the DfE intend </w:t>
      </w:r>
      <w:r w:rsidR="00C77097" w:rsidRPr="005B4A8D">
        <w:t xml:space="preserve">making payments “later in the Autumn”. The guidance </w:t>
      </w:r>
      <w:r w:rsidR="00935C80" w:rsidRPr="005B4A8D">
        <w:t xml:space="preserve">does </w:t>
      </w:r>
      <w:r w:rsidRPr="005B4A8D">
        <w:t xml:space="preserve">not make clear what date they will use for the pupil numbers in the calculation – although October 18 census would seem more logical that may not work with the timing required.  The arrangements for ARPs and similar provisions within mainstream schools are also not quite clear at present.  </w:t>
      </w:r>
    </w:p>
    <w:p w14:paraId="2D07CF9C" w14:textId="77777777" w:rsidR="00102F9C" w:rsidRDefault="00102F9C" w:rsidP="00494474">
      <w:pPr>
        <w:ind w:left="709" w:hanging="709"/>
        <w:jc w:val="both"/>
      </w:pPr>
    </w:p>
    <w:p w14:paraId="1FB45F6D" w14:textId="77777777" w:rsidR="007168CF" w:rsidRPr="005B4A8D" w:rsidRDefault="007168CF" w:rsidP="00C007F9">
      <w:pPr>
        <w:pBdr>
          <w:top w:val="single" w:sz="12" w:space="1" w:color="auto"/>
          <w:left w:val="single" w:sz="12" w:space="4" w:color="auto"/>
          <w:bottom w:val="single" w:sz="12" w:space="1" w:color="auto"/>
          <w:right w:val="single" w:sz="12" w:space="4" w:color="auto"/>
        </w:pBdr>
        <w:ind w:left="851"/>
        <w:jc w:val="both"/>
      </w:pPr>
      <w:r w:rsidRPr="00E250E7">
        <w:rPr>
          <w:b/>
          <w:sz w:val="23"/>
          <w:szCs w:val="23"/>
          <w:u w:val="single"/>
        </w:rPr>
        <w:t>Recommendation</w:t>
      </w:r>
      <w:r>
        <w:rPr>
          <w:b/>
          <w:sz w:val="23"/>
          <w:szCs w:val="23"/>
          <w:u w:val="single"/>
        </w:rPr>
        <w:t xml:space="preserve"> (</w:t>
      </w:r>
      <w:r w:rsidR="00C40D9E">
        <w:rPr>
          <w:b/>
          <w:sz w:val="23"/>
          <w:szCs w:val="23"/>
          <w:u w:val="single"/>
        </w:rPr>
        <w:t>viii</w:t>
      </w:r>
      <w:r>
        <w:rPr>
          <w:b/>
          <w:sz w:val="23"/>
          <w:szCs w:val="23"/>
          <w:u w:val="single"/>
        </w:rPr>
        <w:t>):</w:t>
      </w:r>
      <w:r w:rsidRPr="005B4A8D">
        <w:rPr>
          <w:sz w:val="23"/>
          <w:szCs w:val="23"/>
        </w:rPr>
        <w:t xml:space="preserve"> Schools </w:t>
      </w:r>
      <w:r>
        <w:rPr>
          <w:sz w:val="23"/>
          <w:szCs w:val="23"/>
        </w:rPr>
        <w:t>f</w:t>
      </w:r>
      <w:r w:rsidRPr="005B4A8D">
        <w:rPr>
          <w:sz w:val="23"/>
          <w:szCs w:val="23"/>
        </w:rPr>
        <w:t xml:space="preserve">orum </w:t>
      </w:r>
      <w:r>
        <w:rPr>
          <w:sz w:val="23"/>
          <w:szCs w:val="23"/>
        </w:rPr>
        <w:t>are requested to note update on teachers pay award.</w:t>
      </w:r>
      <w:r w:rsidRPr="005B4A8D">
        <w:rPr>
          <w:b/>
          <w:sz w:val="23"/>
          <w:szCs w:val="23"/>
        </w:rPr>
        <w:t xml:space="preserve">  </w:t>
      </w:r>
    </w:p>
    <w:p w14:paraId="65BDA493" w14:textId="77777777" w:rsidR="008563DA" w:rsidRPr="005B4A8D" w:rsidRDefault="008563DA" w:rsidP="00494474">
      <w:pPr>
        <w:pStyle w:val="Default"/>
        <w:jc w:val="both"/>
        <w:rPr>
          <w:b/>
        </w:rPr>
      </w:pPr>
    </w:p>
    <w:p w14:paraId="375F7C49" w14:textId="77777777" w:rsidR="00FD7D5F" w:rsidRPr="005B4A8D" w:rsidRDefault="00FD7D5F" w:rsidP="00494474">
      <w:pPr>
        <w:pStyle w:val="Default"/>
        <w:jc w:val="both"/>
        <w:rPr>
          <w:b/>
        </w:rPr>
      </w:pPr>
      <w:r w:rsidRPr="005B4A8D">
        <w:rPr>
          <w:b/>
        </w:rPr>
        <w:t>8</w:t>
      </w:r>
      <w:r w:rsidRPr="005B4A8D">
        <w:rPr>
          <w:b/>
        </w:rPr>
        <w:tab/>
        <w:t xml:space="preserve">Schools </w:t>
      </w:r>
      <w:r w:rsidR="00935C80" w:rsidRPr="005B4A8D">
        <w:rPr>
          <w:b/>
        </w:rPr>
        <w:t>f</w:t>
      </w:r>
      <w:r w:rsidRPr="005B4A8D">
        <w:rPr>
          <w:b/>
        </w:rPr>
        <w:t xml:space="preserve">acing </w:t>
      </w:r>
      <w:r w:rsidR="00935C80" w:rsidRPr="005B4A8D">
        <w:rPr>
          <w:b/>
        </w:rPr>
        <w:t>f</w:t>
      </w:r>
      <w:r w:rsidRPr="005B4A8D">
        <w:rPr>
          <w:b/>
        </w:rPr>
        <w:t xml:space="preserve">inancial </w:t>
      </w:r>
      <w:r w:rsidR="00935C80" w:rsidRPr="005B4A8D">
        <w:rPr>
          <w:b/>
        </w:rPr>
        <w:t>d</w:t>
      </w:r>
      <w:r w:rsidRPr="005B4A8D">
        <w:rPr>
          <w:b/>
        </w:rPr>
        <w:t>ifficulties</w:t>
      </w:r>
    </w:p>
    <w:p w14:paraId="652FD109" w14:textId="77777777" w:rsidR="00FD7D5F" w:rsidRPr="005B4A8D" w:rsidRDefault="00FD7D5F" w:rsidP="00494474">
      <w:pPr>
        <w:pStyle w:val="Default"/>
        <w:jc w:val="both"/>
        <w:rPr>
          <w:b/>
        </w:rPr>
      </w:pPr>
    </w:p>
    <w:p w14:paraId="76734246" w14:textId="77777777" w:rsidR="00FD7D5F" w:rsidRPr="005B4A8D" w:rsidRDefault="00FD7D5F" w:rsidP="00494474">
      <w:pPr>
        <w:pStyle w:val="Default"/>
        <w:ind w:left="709" w:hanging="709"/>
        <w:jc w:val="both"/>
      </w:pPr>
      <w:r w:rsidRPr="005B4A8D">
        <w:t>8.1</w:t>
      </w:r>
      <w:r w:rsidRPr="005B4A8D">
        <w:tab/>
        <w:t xml:space="preserve">The </w:t>
      </w:r>
      <w:r w:rsidR="00935C80" w:rsidRPr="005B4A8D">
        <w:t>s</w:t>
      </w:r>
      <w:r w:rsidRPr="005B4A8D">
        <w:t xml:space="preserve">chools </w:t>
      </w:r>
      <w:r w:rsidR="00935C80" w:rsidRPr="005B4A8D">
        <w:t>f</w:t>
      </w:r>
      <w:r w:rsidRPr="005B4A8D">
        <w:t xml:space="preserve">inancial </w:t>
      </w:r>
      <w:r w:rsidR="00935C80" w:rsidRPr="005B4A8D">
        <w:t>m</w:t>
      </w:r>
      <w:r w:rsidRPr="005B4A8D">
        <w:t>onitoring group met on the 9</w:t>
      </w:r>
      <w:r w:rsidRPr="005B4A8D">
        <w:rPr>
          <w:vertAlign w:val="superscript"/>
        </w:rPr>
        <w:t>th</w:t>
      </w:r>
      <w:r w:rsidRPr="005B4A8D">
        <w:t xml:space="preserve"> July and held confidential discussions with a number of schools that were assessed a</w:t>
      </w:r>
      <w:r w:rsidR="00935C80" w:rsidRPr="005B4A8D">
        <w:t xml:space="preserve">t </w:t>
      </w:r>
      <w:r w:rsidRPr="005B4A8D">
        <w:t>high risk of financial difficulties.  However</w:t>
      </w:r>
      <w:r w:rsidR="00935C80" w:rsidRPr="005B4A8D">
        <w:t>,</w:t>
      </w:r>
      <w:r w:rsidRPr="005B4A8D">
        <w:t xml:space="preserve"> at that stage no applications for assistance </w:t>
      </w:r>
      <w:r w:rsidR="00935C80" w:rsidRPr="005B4A8D">
        <w:t>have been</w:t>
      </w:r>
      <w:r w:rsidRPr="005B4A8D">
        <w:t xml:space="preserve"> received.  </w:t>
      </w:r>
    </w:p>
    <w:p w14:paraId="3EC268DF" w14:textId="77777777" w:rsidR="00FD7D5F" w:rsidRPr="005B4A8D" w:rsidRDefault="00FD7D5F" w:rsidP="00494474">
      <w:pPr>
        <w:pStyle w:val="Default"/>
        <w:ind w:left="709" w:hanging="709"/>
        <w:jc w:val="both"/>
      </w:pPr>
    </w:p>
    <w:p w14:paraId="433E0D27" w14:textId="77777777" w:rsidR="00FD7D5F" w:rsidRDefault="00FD7D5F" w:rsidP="00494474">
      <w:pPr>
        <w:pStyle w:val="Default"/>
        <w:ind w:left="709" w:hanging="709"/>
        <w:jc w:val="both"/>
      </w:pPr>
      <w:r w:rsidRPr="005B4A8D">
        <w:t>8.2</w:t>
      </w:r>
      <w:r w:rsidRPr="005B4A8D">
        <w:tab/>
        <w:t xml:space="preserve">The group will meet again </w:t>
      </w:r>
      <w:r w:rsidR="008C499E">
        <w:t>on 14</w:t>
      </w:r>
      <w:r w:rsidR="00C40D9E" w:rsidRPr="00C40D9E">
        <w:rPr>
          <w:vertAlign w:val="superscript"/>
        </w:rPr>
        <w:t>th</w:t>
      </w:r>
      <w:r w:rsidR="00C40D9E">
        <w:t xml:space="preserve"> </w:t>
      </w:r>
      <w:r w:rsidR="008C499E">
        <w:t xml:space="preserve">November </w:t>
      </w:r>
      <w:r w:rsidRPr="005B4A8D">
        <w:t>and invitations will be issued to schools assessed as high risk</w:t>
      </w:r>
      <w:r w:rsidR="00192D20">
        <w:t>,</w:t>
      </w:r>
      <w:r w:rsidRPr="005B4A8D">
        <w:t xml:space="preserve"> based on the first two quarters monitoring. </w:t>
      </w:r>
      <w:r w:rsidR="00192D20">
        <w:t>Letters will be sent by 19</w:t>
      </w:r>
      <w:r w:rsidR="00192D20" w:rsidRPr="00192D20">
        <w:rPr>
          <w:vertAlign w:val="superscript"/>
        </w:rPr>
        <w:t>th</w:t>
      </w:r>
      <w:r w:rsidR="00192D20">
        <w:t xml:space="preserve"> October and applications expected no later than 3</w:t>
      </w:r>
      <w:r w:rsidR="00C40D9E">
        <w:t>1</w:t>
      </w:r>
      <w:r w:rsidR="00C40D9E" w:rsidRPr="00C40D9E">
        <w:rPr>
          <w:vertAlign w:val="superscript"/>
        </w:rPr>
        <w:t>st</w:t>
      </w:r>
      <w:r w:rsidR="00C40D9E">
        <w:t xml:space="preserve"> </w:t>
      </w:r>
      <w:r w:rsidR="00192D20">
        <w:t xml:space="preserve">October. </w:t>
      </w:r>
      <w:r w:rsidRPr="005B4A8D">
        <w:t xml:space="preserve">Other schools wishing to have a discussion of their financial situation or make an application to the fund should contact the </w:t>
      </w:r>
      <w:r w:rsidR="00935C80" w:rsidRPr="005B4A8D">
        <w:t>f</w:t>
      </w:r>
      <w:r w:rsidRPr="005B4A8D">
        <w:t xml:space="preserve">inance team.  </w:t>
      </w:r>
    </w:p>
    <w:p w14:paraId="3E8B585A" w14:textId="77777777" w:rsidR="007168CF" w:rsidRDefault="007168CF" w:rsidP="00494474">
      <w:pPr>
        <w:pStyle w:val="Default"/>
        <w:ind w:left="709" w:hanging="709"/>
        <w:jc w:val="both"/>
      </w:pPr>
    </w:p>
    <w:p w14:paraId="02C93D9B" w14:textId="77777777" w:rsidR="007168CF" w:rsidRPr="005B4A8D" w:rsidRDefault="007168CF" w:rsidP="00C007F9">
      <w:pPr>
        <w:pBdr>
          <w:top w:val="single" w:sz="12" w:space="1" w:color="auto"/>
          <w:left w:val="single" w:sz="12" w:space="4" w:color="auto"/>
          <w:bottom w:val="single" w:sz="12" w:space="1" w:color="auto"/>
          <w:right w:val="single" w:sz="12" w:space="4" w:color="auto"/>
        </w:pBdr>
        <w:ind w:left="851"/>
        <w:jc w:val="both"/>
      </w:pPr>
      <w:r w:rsidRPr="00E250E7">
        <w:rPr>
          <w:b/>
          <w:sz w:val="23"/>
          <w:szCs w:val="23"/>
          <w:u w:val="single"/>
        </w:rPr>
        <w:t>Recommendation</w:t>
      </w:r>
      <w:r>
        <w:rPr>
          <w:b/>
          <w:sz w:val="23"/>
          <w:szCs w:val="23"/>
          <w:u w:val="single"/>
        </w:rPr>
        <w:t xml:space="preserve"> </w:t>
      </w:r>
      <w:r w:rsidR="00937414">
        <w:rPr>
          <w:b/>
          <w:sz w:val="23"/>
          <w:szCs w:val="23"/>
          <w:u w:val="single"/>
        </w:rPr>
        <w:t>(</w:t>
      </w:r>
      <w:r w:rsidR="00C40D9E">
        <w:rPr>
          <w:b/>
          <w:sz w:val="23"/>
          <w:szCs w:val="23"/>
          <w:u w:val="single"/>
        </w:rPr>
        <w:t>i</w:t>
      </w:r>
      <w:r w:rsidR="00937414">
        <w:rPr>
          <w:b/>
          <w:sz w:val="23"/>
          <w:szCs w:val="23"/>
          <w:u w:val="single"/>
        </w:rPr>
        <w:t>x)</w:t>
      </w:r>
      <w:r>
        <w:rPr>
          <w:b/>
          <w:sz w:val="23"/>
          <w:szCs w:val="23"/>
          <w:u w:val="single"/>
        </w:rPr>
        <w:t>:</w:t>
      </w:r>
      <w:r w:rsidRPr="005B4A8D">
        <w:rPr>
          <w:sz w:val="23"/>
          <w:szCs w:val="23"/>
        </w:rPr>
        <w:t xml:space="preserve"> Schools </w:t>
      </w:r>
      <w:r>
        <w:rPr>
          <w:sz w:val="23"/>
          <w:szCs w:val="23"/>
        </w:rPr>
        <w:t>f</w:t>
      </w:r>
      <w:r w:rsidRPr="005B4A8D">
        <w:rPr>
          <w:sz w:val="23"/>
          <w:szCs w:val="23"/>
        </w:rPr>
        <w:t xml:space="preserve">orum </w:t>
      </w:r>
      <w:r>
        <w:rPr>
          <w:sz w:val="23"/>
          <w:szCs w:val="23"/>
        </w:rPr>
        <w:t>are requested to note update on schools facing financial difficulties.</w:t>
      </w:r>
      <w:r w:rsidRPr="005B4A8D">
        <w:rPr>
          <w:b/>
          <w:sz w:val="23"/>
          <w:szCs w:val="23"/>
        </w:rPr>
        <w:t xml:space="preserve">  </w:t>
      </w:r>
    </w:p>
    <w:p w14:paraId="7D4D0CAA" w14:textId="77777777" w:rsidR="00FD7D5F" w:rsidRPr="005B4A8D" w:rsidRDefault="00FD7D5F" w:rsidP="007168CF">
      <w:pPr>
        <w:pStyle w:val="Default"/>
        <w:jc w:val="both"/>
      </w:pPr>
    </w:p>
    <w:p w14:paraId="0FEBE028" w14:textId="77777777" w:rsidR="00FD7D5F" w:rsidRPr="005B4A8D" w:rsidRDefault="00FD7D5F" w:rsidP="00494474">
      <w:pPr>
        <w:pStyle w:val="Default"/>
        <w:numPr>
          <w:ilvl w:val="0"/>
          <w:numId w:val="42"/>
        </w:numPr>
        <w:jc w:val="both"/>
        <w:rPr>
          <w:b/>
        </w:rPr>
      </w:pPr>
      <w:r w:rsidRPr="005B4A8D">
        <w:rPr>
          <w:b/>
        </w:rPr>
        <w:t xml:space="preserve">Scheme for </w:t>
      </w:r>
      <w:r w:rsidR="0047348C" w:rsidRPr="005B4A8D">
        <w:rPr>
          <w:b/>
        </w:rPr>
        <w:t>fi</w:t>
      </w:r>
      <w:r w:rsidRPr="005B4A8D">
        <w:rPr>
          <w:b/>
        </w:rPr>
        <w:t xml:space="preserve">nancing </w:t>
      </w:r>
      <w:r w:rsidR="0047348C" w:rsidRPr="005B4A8D">
        <w:rPr>
          <w:b/>
        </w:rPr>
        <w:t>s</w:t>
      </w:r>
      <w:r w:rsidRPr="005B4A8D">
        <w:rPr>
          <w:b/>
        </w:rPr>
        <w:t>chools</w:t>
      </w:r>
    </w:p>
    <w:p w14:paraId="67031574" w14:textId="77777777" w:rsidR="00FD7D5F" w:rsidRPr="005B4A8D" w:rsidRDefault="00FD7D5F" w:rsidP="00494474">
      <w:pPr>
        <w:pStyle w:val="Default"/>
        <w:jc w:val="both"/>
        <w:rPr>
          <w:b/>
        </w:rPr>
      </w:pPr>
    </w:p>
    <w:p w14:paraId="7C5AE272" w14:textId="77777777" w:rsidR="00FD7D5F" w:rsidRPr="005B4A8D" w:rsidRDefault="00951814" w:rsidP="00494474">
      <w:pPr>
        <w:pStyle w:val="Default"/>
        <w:ind w:left="709" w:hanging="709"/>
        <w:jc w:val="both"/>
      </w:pPr>
      <w:r w:rsidRPr="005B4A8D">
        <w:t>9</w:t>
      </w:r>
      <w:r w:rsidR="00FD7D5F" w:rsidRPr="005B4A8D">
        <w:t>.1</w:t>
      </w:r>
      <w:r w:rsidR="00FD7D5F" w:rsidRPr="005B4A8D">
        <w:tab/>
        <w:t xml:space="preserve">The local </w:t>
      </w:r>
      <w:r w:rsidR="0047348C" w:rsidRPr="005B4A8D">
        <w:t>s</w:t>
      </w:r>
      <w:r w:rsidR="00FD7D5F" w:rsidRPr="005B4A8D">
        <w:t xml:space="preserve">cheme for </w:t>
      </w:r>
      <w:r w:rsidR="0047348C" w:rsidRPr="005B4A8D">
        <w:t>f</w:t>
      </w:r>
      <w:r w:rsidR="00FD7D5F" w:rsidRPr="005B4A8D">
        <w:t xml:space="preserve">inancing </w:t>
      </w:r>
      <w:r w:rsidR="0047348C" w:rsidRPr="005B4A8D">
        <w:t>s</w:t>
      </w:r>
      <w:r w:rsidR="00FD7D5F" w:rsidRPr="005B4A8D">
        <w:t>chools should be regularly reviewed to ensure it continues to be fit for purpose and compliant</w:t>
      </w:r>
      <w:r w:rsidRPr="005B4A8D">
        <w:t xml:space="preserve">. </w:t>
      </w:r>
      <w:r w:rsidR="009A623A" w:rsidRPr="005B4A8D">
        <w:t xml:space="preserve">As part of the consultation process, the revised scheme for financing schools, </w:t>
      </w:r>
      <w:r w:rsidR="005D7EBF">
        <w:t xml:space="preserve">will be circulated to schools. </w:t>
      </w:r>
    </w:p>
    <w:p w14:paraId="45AE316A" w14:textId="77777777" w:rsidR="009A623A" w:rsidRPr="005B4A8D" w:rsidRDefault="009A623A" w:rsidP="00494474">
      <w:pPr>
        <w:pStyle w:val="Default"/>
        <w:ind w:left="709" w:hanging="709"/>
        <w:jc w:val="both"/>
      </w:pPr>
    </w:p>
    <w:p w14:paraId="46AA8F0B" w14:textId="77777777" w:rsidR="009A623A" w:rsidRPr="005B4A8D" w:rsidRDefault="009A623A" w:rsidP="00C007F9">
      <w:pPr>
        <w:pStyle w:val="Default"/>
        <w:pBdr>
          <w:top w:val="single" w:sz="12" w:space="1" w:color="auto"/>
          <w:left w:val="single" w:sz="12" w:space="4" w:color="auto"/>
          <w:bottom w:val="single" w:sz="12" w:space="1" w:color="auto"/>
          <w:right w:val="single" w:sz="12" w:space="4" w:color="auto"/>
        </w:pBdr>
        <w:ind w:left="851"/>
        <w:jc w:val="both"/>
      </w:pPr>
      <w:r w:rsidRPr="002420EC">
        <w:rPr>
          <w:b/>
          <w:u w:val="single"/>
        </w:rPr>
        <w:t>Recommendation</w:t>
      </w:r>
      <w:r w:rsidR="007168CF">
        <w:rPr>
          <w:b/>
          <w:u w:val="single"/>
        </w:rPr>
        <w:t xml:space="preserve"> (xi)</w:t>
      </w:r>
      <w:r w:rsidRPr="002420EC">
        <w:rPr>
          <w:b/>
          <w:u w:val="single"/>
        </w:rPr>
        <w:t>:</w:t>
      </w:r>
      <w:r w:rsidRPr="005B4A8D">
        <w:t xml:space="preserve"> Schools </w:t>
      </w:r>
      <w:r w:rsidR="007168CF">
        <w:t>f</w:t>
      </w:r>
      <w:r w:rsidRPr="005B4A8D">
        <w:t xml:space="preserve">orum </w:t>
      </w:r>
      <w:r w:rsidR="004731FE">
        <w:t>are</w:t>
      </w:r>
      <w:r w:rsidRPr="005B4A8D">
        <w:t xml:space="preserve"> requested to </w:t>
      </w:r>
      <w:r w:rsidR="004731FE">
        <w:t>agree that the revised scheme of financing be distributed for consultation.</w:t>
      </w:r>
    </w:p>
    <w:p w14:paraId="183E632E" w14:textId="77777777" w:rsidR="00916D24" w:rsidRPr="005B4A8D" w:rsidRDefault="00916D24" w:rsidP="00916D24">
      <w:pPr>
        <w:pStyle w:val="ListParagraph"/>
        <w:jc w:val="both"/>
        <w:rPr>
          <w:rFonts w:cs="Arial"/>
          <w:b/>
          <w:u w:val="single"/>
        </w:rPr>
      </w:pPr>
    </w:p>
    <w:p w14:paraId="2C6F8872" w14:textId="77777777" w:rsidR="00916D24" w:rsidRPr="00EB6403" w:rsidRDefault="00916D24" w:rsidP="00951814">
      <w:pPr>
        <w:pStyle w:val="Default"/>
        <w:numPr>
          <w:ilvl w:val="0"/>
          <w:numId w:val="42"/>
        </w:numPr>
        <w:rPr>
          <w:b/>
        </w:rPr>
      </w:pPr>
      <w:r w:rsidRPr="00EB6403">
        <w:rPr>
          <w:b/>
        </w:rPr>
        <w:t xml:space="preserve">Financial </w:t>
      </w:r>
      <w:r w:rsidR="00934EC0">
        <w:rPr>
          <w:b/>
        </w:rPr>
        <w:t>i</w:t>
      </w:r>
      <w:r w:rsidRPr="00EB6403">
        <w:rPr>
          <w:b/>
        </w:rPr>
        <w:t xml:space="preserve">mplications </w:t>
      </w:r>
    </w:p>
    <w:p w14:paraId="4DD241C0" w14:textId="77777777" w:rsidR="00916D24" w:rsidRPr="005B4A8D" w:rsidRDefault="00916D24" w:rsidP="00916D24">
      <w:pPr>
        <w:pStyle w:val="Default"/>
        <w:ind w:left="720"/>
      </w:pPr>
    </w:p>
    <w:p w14:paraId="16312F68" w14:textId="77777777" w:rsidR="00916D24" w:rsidRPr="005B4A8D" w:rsidRDefault="00916D24" w:rsidP="00494474">
      <w:pPr>
        <w:pStyle w:val="Default"/>
        <w:ind w:left="720"/>
        <w:jc w:val="both"/>
        <w:rPr>
          <w:b/>
        </w:rPr>
      </w:pPr>
      <w:r w:rsidRPr="005B4A8D">
        <w:t xml:space="preserve">The </w:t>
      </w:r>
      <w:r w:rsidR="0047348C" w:rsidRPr="005B4A8D">
        <w:t>s</w:t>
      </w:r>
      <w:r w:rsidRPr="005B4A8D">
        <w:t xml:space="preserve">chool </w:t>
      </w:r>
      <w:r w:rsidR="0047348C" w:rsidRPr="005B4A8D">
        <w:t>f</w:t>
      </w:r>
      <w:r w:rsidRPr="005B4A8D">
        <w:t xml:space="preserve">unding </w:t>
      </w:r>
      <w:r w:rsidR="0047348C" w:rsidRPr="005B4A8D">
        <w:t>f</w:t>
      </w:r>
      <w:r w:rsidRPr="005B4A8D">
        <w:t>ormula is contained within the Dedicated Schools Grant</w:t>
      </w:r>
      <w:r w:rsidR="0047348C" w:rsidRPr="005B4A8D">
        <w:t>.</w:t>
      </w:r>
    </w:p>
    <w:p w14:paraId="77F45549" w14:textId="77777777" w:rsidR="00916D24" w:rsidRPr="005B4A8D" w:rsidRDefault="00916D24" w:rsidP="00916D24">
      <w:pPr>
        <w:autoSpaceDE w:val="0"/>
        <w:autoSpaceDN w:val="0"/>
        <w:adjustRightInd w:val="0"/>
        <w:ind w:left="709" w:hanging="709"/>
        <w:rPr>
          <w:rFonts w:cs="Arial"/>
        </w:rPr>
      </w:pPr>
    </w:p>
    <w:p w14:paraId="7378CDAC" w14:textId="77777777" w:rsidR="00916D24" w:rsidRPr="00EB6403" w:rsidRDefault="00916D24" w:rsidP="00951814">
      <w:pPr>
        <w:pStyle w:val="Default"/>
        <w:numPr>
          <w:ilvl w:val="0"/>
          <w:numId w:val="42"/>
        </w:numPr>
        <w:rPr>
          <w:b/>
        </w:rPr>
      </w:pPr>
      <w:r w:rsidRPr="00EB6403">
        <w:rPr>
          <w:b/>
        </w:rPr>
        <w:t xml:space="preserve">Legal </w:t>
      </w:r>
      <w:r w:rsidR="00934EC0">
        <w:rPr>
          <w:b/>
        </w:rPr>
        <w:t>i</w:t>
      </w:r>
      <w:r w:rsidRPr="00EB6403">
        <w:rPr>
          <w:b/>
        </w:rPr>
        <w:t>mplications</w:t>
      </w:r>
    </w:p>
    <w:p w14:paraId="7C773EEF" w14:textId="77777777" w:rsidR="00916D24" w:rsidRPr="005B4A8D" w:rsidRDefault="00916D24" w:rsidP="00916D24">
      <w:pPr>
        <w:pStyle w:val="ListParagraph"/>
        <w:jc w:val="both"/>
        <w:rPr>
          <w:rFonts w:cs="Arial"/>
          <w:b/>
          <w:u w:val="single"/>
        </w:rPr>
      </w:pPr>
    </w:p>
    <w:p w14:paraId="05B655FB" w14:textId="77777777" w:rsidR="00B42641" w:rsidRPr="005B4A8D" w:rsidRDefault="00B42641" w:rsidP="00494474">
      <w:pPr>
        <w:ind w:left="709"/>
        <w:jc w:val="both"/>
        <w:rPr>
          <w:rFonts w:cs="Arial"/>
        </w:rPr>
      </w:pPr>
      <w:bookmarkStart w:id="7" w:name="_Hlk526417931"/>
      <w:r w:rsidRPr="005B4A8D">
        <w:rPr>
          <w:rFonts w:cs="Arial"/>
        </w:rPr>
        <w:t xml:space="preserve">The </w:t>
      </w:r>
      <w:r w:rsidR="0047348C" w:rsidRPr="005B4A8D">
        <w:rPr>
          <w:rFonts w:cs="Arial"/>
        </w:rPr>
        <w:t>s</w:t>
      </w:r>
      <w:r w:rsidRPr="005B4A8D">
        <w:rPr>
          <w:rFonts w:cs="Arial"/>
        </w:rPr>
        <w:t xml:space="preserve">chools </w:t>
      </w:r>
      <w:r w:rsidR="0047348C" w:rsidRPr="005B4A8D">
        <w:rPr>
          <w:rFonts w:cs="Arial"/>
        </w:rPr>
        <w:t>f</w:t>
      </w:r>
      <w:r w:rsidRPr="005B4A8D">
        <w:rPr>
          <w:rFonts w:cs="Arial"/>
        </w:rPr>
        <w:t xml:space="preserve">orums (England) </w:t>
      </w:r>
      <w:r w:rsidR="0047348C" w:rsidRPr="005B4A8D">
        <w:rPr>
          <w:rFonts w:cs="Arial"/>
        </w:rPr>
        <w:t>r</w:t>
      </w:r>
      <w:r w:rsidRPr="005B4A8D">
        <w:rPr>
          <w:rFonts w:cs="Arial"/>
        </w:rPr>
        <w:t>egulations 2012 govern the</w:t>
      </w:r>
      <w:r w:rsidR="00D804FB" w:rsidRPr="005B4A8D">
        <w:rPr>
          <w:rFonts w:cs="Arial"/>
        </w:rPr>
        <w:t xml:space="preserve"> constitution and conduct of meetings of the </w:t>
      </w:r>
      <w:r w:rsidR="0047348C" w:rsidRPr="005B4A8D">
        <w:rPr>
          <w:rFonts w:cs="Arial"/>
        </w:rPr>
        <w:t>f</w:t>
      </w:r>
      <w:r w:rsidR="00D804FB" w:rsidRPr="005B4A8D">
        <w:rPr>
          <w:rFonts w:cs="Arial"/>
        </w:rPr>
        <w:t xml:space="preserve">orum. The </w:t>
      </w:r>
      <w:r w:rsidR="0047348C" w:rsidRPr="005B4A8D">
        <w:rPr>
          <w:rFonts w:cs="Arial"/>
        </w:rPr>
        <w:t>s</w:t>
      </w:r>
      <w:r w:rsidR="00D804FB" w:rsidRPr="005B4A8D">
        <w:rPr>
          <w:rFonts w:cs="Arial"/>
        </w:rPr>
        <w:t xml:space="preserve">chools </w:t>
      </w:r>
      <w:r w:rsidR="0047348C" w:rsidRPr="005B4A8D">
        <w:rPr>
          <w:rFonts w:cs="Arial"/>
        </w:rPr>
        <w:t>f</w:t>
      </w:r>
      <w:r w:rsidR="00D804FB" w:rsidRPr="005B4A8D">
        <w:rPr>
          <w:rFonts w:cs="Arial"/>
        </w:rPr>
        <w:t xml:space="preserve">inance (England) </w:t>
      </w:r>
      <w:r w:rsidR="0047348C" w:rsidRPr="005B4A8D">
        <w:rPr>
          <w:rFonts w:cs="Arial"/>
        </w:rPr>
        <w:t>r</w:t>
      </w:r>
      <w:r w:rsidR="00D804FB" w:rsidRPr="005B4A8D">
        <w:rPr>
          <w:rFonts w:cs="Arial"/>
        </w:rPr>
        <w:t xml:space="preserve">egulations 2012 determine those matters on which the </w:t>
      </w:r>
      <w:r w:rsidR="0047348C" w:rsidRPr="005B4A8D">
        <w:rPr>
          <w:rFonts w:cs="Arial"/>
        </w:rPr>
        <w:t>l</w:t>
      </w:r>
      <w:r w:rsidR="00D804FB" w:rsidRPr="005B4A8D">
        <w:rPr>
          <w:rFonts w:cs="Arial"/>
        </w:rPr>
        <w:t xml:space="preserve">ocal </w:t>
      </w:r>
      <w:r w:rsidR="0047348C" w:rsidRPr="005B4A8D">
        <w:rPr>
          <w:rFonts w:cs="Arial"/>
        </w:rPr>
        <w:t>a</w:t>
      </w:r>
      <w:r w:rsidR="00D804FB" w:rsidRPr="005B4A8D">
        <w:rPr>
          <w:rFonts w:cs="Arial"/>
        </w:rPr>
        <w:t xml:space="preserve">uthority must or may consult the </w:t>
      </w:r>
      <w:r w:rsidR="0047348C" w:rsidRPr="005B4A8D">
        <w:rPr>
          <w:rFonts w:cs="Arial"/>
        </w:rPr>
        <w:t>s</w:t>
      </w:r>
      <w:r w:rsidR="00D804FB" w:rsidRPr="005B4A8D">
        <w:rPr>
          <w:rFonts w:cs="Arial"/>
        </w:rPr>
        <w:t xml:space="preserve">chools </w:t>
      </w:r>
      <w:r w:rsidR="0047348C" w:rsidRPr="005B4A8D">
        <w:rPr>
          <w:rFonts w:cs="Arial"/>
        </w:rPr>
        <w:t>f</w:t>
      </w:r>
      <w:r w:rsidR="00D804FB" w:rsidRPr="005B4A8D">
        <w:rPr>
          <w:rFonts w:cs="Arial"/>
        </w:rPr>
        <w:t xml:space="preserve">orum and </w:t>
      </w:r>
      <w:bookmarkEnd w:id="7"/>
      <w:r w:rsidR="00D804FB" w:rsidRPr="005B4A8D">
        <w:rPr>
          <w:rFonts w:cs="Arial"/>
        </w:rPr>
        <w:t xml:space="preserve">those in respect of which the </w:t>
      </w:r>
      <w:r w:rsidR="0047348C" w:rsidRPr="005B4A8D">
        <w:rPr>
          <w:rFonts w:cs="Arial"/>
        </w:rPr>
        <w:t>s</w:t>
      </w:r>
      <w:r w:rsidR="00D804FB" w:rsidRPr="005B4A8D">
        <w:rPr>
          <w:rFonts w:cs="Arial"/>
        </w:rPr>
        <w:t xml:space="preserve">chools </w:t>
      </w:r>
      <w:r w:rsidR="0047348C" w:rsidRPr="005B4A8D">
        <w:rPr>
          <w:rFonts w:cs="Arial"/>
        </w:rPr>
        <w:t>f</w:t>
      </w:r>
      <w:r w:rsidR="00D804FB" w:rsidRPr="005B4A8D">
        <w:rPr>
          <w:rFonts w:cs="Arial"/>
        </w:rPr>
        <w:t xml:space="preserve">orum can make decisions. These </w:t>
      </w:r>
      <w:r w:rsidR="0047348C" w:rsidRPr="005B4A8D">
        <w:rPr>
          <w:rFonts w:cs="Arial"/>
        </w:rPr>
        <w:t>r</w:t>
      </w:r>
      <w:r w:rsidR="00D804FB" w:rsidRPr="005B4A8D">
        <w:rPr>
          <w:rFonts w:cs="Arial"/>
        </w:rPr>
        <w:t>egulations make provision for the financial arrangements of local authorities in relation to the funding of maintained schools and providers of prescribed early years provision in England</w:t>
      </w:r>
      <w:r w:rsidR="00FF0EFC" w:rsidRPr="005B4A8D">
        <w:rPr>
          <w:rFonts w:cs="Arial"/>
        </w:rPr>
        <w:t>, for</w:t>
      </w:r>
      <w:r w:rsidR="00D804FB" w:rsidRPr="005B4A8D">
        <w:rPr>
          <w:rFonts w:cs="Arial"/>
        </w:rPr>
        <w:t xml:space="preserve"> the financial year </w:t>
      </w:r>
      <w:r w:rsidR="002A2692" w:rsidRPr="005B4A8D">
        <w:rPr>
          <w:rFonts w:cs="Arial"/>
        </w:rPr>
        <w:t xml:space="preserve">2013/14 and </w:t>
      </w:r>
      <w:r w:rsidR="007668A0" w:rsidRPr="005B4A8D">
        <w:rPr>
          <w:rFonts w:cs="Arial"/>
        </w:rPr>
        <w:t xml:space="preserve">all </w:t>
      </w:r>
      <w:r w:rsidR="002A2692" w:rsidRPr="005B4A8D">
        <w:rPr>
          <w:rFonts w:cs="Arial"/>
        </w:rPr>
        <w:t>subsequent years including 2018/19</w:t>
      </w:r>
      <w:r w:rsidR="0047348C" w:rsidRPr="005B4A8D">
        <w:rPr>
          <w:rFonts w:cs="Arial"/>
        </w:rPr>
        <w:t>.</w:t>
      </w:r>
      <w:r w:rsidR="00D804FB" w:rsidRPr="005B4A8D">
        <w:rPr>
          <w:rFonts w:cs="Arial"/>
        </w:rPr>
        <w:t xml:space="preserve">  </w:t>
      </w:r>
    </w:p>
    <w:p w14:paraId="3F0D3B1A" w14:textId="77777777" w:rsidR="0083710B" w:rsidRPr="005B4A8D" w:rsidRDefault="0083710B" w:rsidP="00494474">
      <w:pPr>
        <w:ind w:left="709" w:hanging="709"/>
        <w:jc w:val="both"/>
        <w:rPr>
          <w:rFonts w:cs="Arial"/>
          <w:color w:val="1F497D"/>
        </w:rPr>
      </w:pPr>
    </w:p>
    <w:p w14:paraId="79A121C5" w14:textId="77777777" w:rsidR="003B6610" w:rsidRPr="00EB6403" w:rsidRDefault="00CA619C" w:rsidP="000B3C9B">
      <w:pPr>
        <w:autoSpaceDE w:val="0"/>
        <w:autoSpaceDN w:val="0"/>
        <w:adjustRightInd w:val="0"/>
        <w:rPr>
          <w:rFonts w:cs="Arial"/>
          <w:color w:val="000000"/>
        </w:rPr>
      </w:pPr>
      <w:r w:rsidRPr="005B4A8D">
        <w:rPr>
          <w:rFonts w:cs="Arial"/>
          <w:b/>
        </w:rPr>
        <w:t>1</w:t>
      </w:r>
      <w:r w:rsidR="003B6AE6" w:rsidRPr="005B4A8D">
        <w:rPr>
          <w:rFonts w:cs="Arial"/>
          <w:b/>
        </w:rPr>
        <w:t>2</w:t>
      </w:r>
      <w:r w:rsidR="000B3C9B" w:rsidRPr="005B4A8D">
        <w:rPr>
          <w:rFonts w:cs="Arial"/>
          <w:b/>
        </w:rPr>
        <w:t>.</w:t>
      </w:r>
      <w:r w:rsidR="00B448CA" w:rsidRPr="005B4A8D">
        <w:rPr>
          <w:rFonts w:cs="Arial"/>
          <w:b/>
        </w:rPr>
        <w:tab/>
      </w:r>
      <w:r w:rsidR="003B6610" w:rsidRPr="00EB6403">
        <w:rPr>
          <w:rFonts w:cs="Arial"/>
          <w:b/>
        </w:rPr>
        <w:t xml:space="preserve">Other </w:t>
      </w:r>
      <w:r w:rsidR="00934EC0">
        <w:rPr>
          <w:rFonts w:cs="Arial"/>
          <w:b/>
        </w:rPr>
        <w:t>i</w:t>
      </w:r>
      <w:r w:rsidR="003B6610" w:rsidRPr="00EB6403">
        <w:rPr>
          <w:rFonts w:cs="Arial"/>
          <w:b/>
        </w:rPr>
        <w:t>mplications</w:t>
      </w:r>
    </w:p>
    <w:p w14:paraId="35996DCA" w14:textId="77777777" w:rsidR="003B6610" w:rsidRPr="005B4A8D" w:rsidRDefault="003B6610" w:rsidP="001370FE">
      <w:pPr>
        <w:autoSpaceDE w:val="0"/>
        <w:autoSpaceDN w:val="0"/>
        <w:adjustRightInd w:val="0"/>
        <w:ind w:left="709" w:hanging="709"/>
        <w:rPr>
          <w:rFonts w:cs="Arial"/>
          <w:color w:val="0000FF"/>
        </w:rPr>
      </w:pPr>
    </w:p>
    <w:p w14:paraId="5A15B586" w14:textId="77777777" w:rsidR="00B448CA" w:rsidRPr="005B4A8D" w:rsidRDefault="00B448CA" w:rsidP="00295280">
      <w:pPr>
        <w:numPr>
          <w:ilvl w:val="1"/>
          <w:numId w:val="6"/>
        </w:numPr>
        <w:autoSpaceDE w:val="0"/>
        <w:autoSpaceDN w:val="0"/>
        <w:adjustRightInd w:val="0"/>
        <w:ind w:left="709" w:hanging="709"/>
        <w:rPr>
          <w:rFonts w:cs="Arial"/>
        </w:rPr>
      </w:pPr>
      <w:r w:rsidRPr="005B4A8D">
        <w:rPr>
          <w:rFonts w:cs="Arial"/>
          <w:b/>
        </w:rPr>
        <w:t xml:space="preserve">Risk </w:t>
      </w:r>
      <w:r w:rsidR="00934EC0">
        <w:rPr>
          <w:rFonts w:cs="Arial"/>
          <w:b/>
        </w:rPr>
        <w:t>m</w:t>
      </w:r>
      <w:r w:rsidRPr="005B4A8D">
        <w:rPr>
          <w:rFonts w:cs="Arial"/>
          <w:b/>
        </w:rPr>
        <w:t xml:space="preserve">anagement </w:t>
      </w:r>
      <w:r w:rsidR="001102BC" w:rsidRPr="005B4A8D">
        <w:rPr>
          <w:rFonts w:cs="Arial"/>
          <w:b/>
        </w:rPr>
        <w:t xml:space="preserve">- </w:t>
      </w:r>
      <w:r w:rsidR="001102BC" w:rsidRPr="005B4A8D">
        <w:rPr>
          <w:rFonts w:cs="Arial"/>
        </w:rPr>
        <w:t>None</w:t>
      </w:r>
    </w:p>
    <w:p w14:paraId="0DE1B90A" w14:textId="77777777" w:rsidR="000D030E" w:rsidRPr="005B4A8D" w:rsidRDefault="000D030E" w:rsidP="001370FE">
      <w:pPr>
        <w:autoSpaceDE w:val="0"/>
        <w:autoSpaceDN w:val="0"/>
        <w:adjustRightInd w:val="0"/>
        <w:ind w:left="709" w:hanging="709"/>
        <w:rPr>
          <w:rFonts w:cs="Arial"/>
        </w:rPr>
      </w:pPr>
    </w:p>
    <w:p w14:paraId="27846291" w14:textId="77777777" w:rsidR="0046701F" w:rsidRPr="005B4A8D" w:rsidRDefault="00B448CA" w:rsidP="00295280">
      <w:pPr>
        <w:numPr>
          <w:ilvl w:val="1"/>
          <w:numId w:val="6"/>
        </w:numPr>
        <w:autoSpaceDE w:val="0"/>
        <w:autoSpaceDN w:val="0"/>
        <w:adjustRightInd w:val="0"/>
        <w:ind w:left="709" w:hanging="709"/>
        <w:rPr>
          <w:rFonts w:cs="Arial"/>
          <w:color w:val="000000" w:themeColor="text1"/>
        </w:rPr>
      </w:pPr>
      <w:r w:rsidRPr="005B4A8D">
        <w:rPr>
          <w:rFonts w:cs="Arial"/>
          <w:b/>
        </w:rPr>
        <w:t>Contr</w:t>
      </w:r>
      <w:r w:rsidRPr="005B4A8D">
        <w:rPr>
          <w:rFonts w:cs="Arial"/>
          <w:b/>
          <w:color w:val="000000" w:themeColor="text1"/>
        </w:rPr>
        <w:t xml:space="preserve">actual </w:t>
      </w:r>
      <w:r w:rsidR="00934EC0">
        <w:rPr>
          <w:rFonts w:cs="Arial"/>
          <w:b/>
          <w:color w:val="000000" w:themeColor="text1"/>
        </w:rPr>
        <w:t>i</w:t>
      </w:r>
      <w:r w:rsidRPr="005B4A8D">
        <w:rPr>
          <w:rFonts w:cs="Arial"/>
          <w:b/>
          <w:color w:val="000000" w:themeColor="text1"/>
        </w:rPr>
        <w:t>ssues</w:t>
      </w:r>
      <w:r w:rsidR="001102BC" w:rsidRPr="005B4A8D">
        <w:rPr>
          <w:rFonts w:cs="Arial"/>
          <w:color w:val="000000" w:themeColor="text1"/>
        </w:rPr>
        <w:t xml:space="preserve"> - None</w:t>
      </w:r>
      <w:r w:rsidR="002F3F9A" w:rsidRPr="005B4A8D">
        <w:rPr>
          <w:rFonts w:cs="Arial"/>
          <w:color w:val="000000" w:themeColor="text1"/>
        </w:rPr>
        <w:t xml:space="preserve"> </w:t>
      </w:r>
    </w:p>
    <w:p w14:paraId="1CC6156B" w14:textId="77777777" w:rsidR="0046701F" w:rsidRPr="005B4A8D" w:rsidRDefault="0046701F" w:rsidP="0046701F">
      <w:pPr>
        <w:pStyle w:val="ListParagraph"/>
        <w:rPr>
          <w:rFonts w:cs="Arial"/>
        </w:rPr>
      </w:pPr>
    </w:p>
    <w:p w14:paraId="76305AF2" w14:textId="77777777" w:rsidR="00B448CA" w:rsidRPr="005B4A8D" w:rsidRDefault="00B448CA" w:rsidP="00295280">
      <w:pPr>
        <w:numPr>
          <w:ilvl w:val="1"/>
          <w:numId w:val="6"/>
        </w:numPr>
        <w:autoSpaceDE w:val="0"/>
        <w:autoSpaceDN w:val="0"/>
        <w:adjustRightInd w:val="0"/>
        <w:ind w:left="709" w:hanging="709"/>
        <w:rPr>
          <w:rFonts w:cs="Arial"/>
          <w:color w:val="000000" w:themeColor="text1"/>
        </w:rPr>
      </w:pPr>
      <w:r w:rsidRPr="005B4A8D">
        <w:rPr>
          <w:rFonts w:cs="Arial"/>
          <w:b/>
        </w:rPr>
        <w:t xml:space="preserve">Staffing </w:t>
      </w:r>
      <w:r w:rsidR="00934EC0">
        <w:rPr>
          <w:rFonts w:cs="Arial"/>
          <w:b/>
        </w:rPr>
        <w:t>i</w:t>
      </w:r>
      <w:r w:rsidRPr="005B4A8D">
        <w:rPr>
          <w:rFonts w:cs="Arial"/>
          <w:b/>
        </w:rPr>
        <w:t>ssues</w:t>
      </w:r>
      <w:r w:rsidR="00583A52" w:rsidRPr="005B4A8D">
        <w:rPr>
          <w:rFonts w:cs="Arial"/>
        </w:rPr>
        <w:t xml:space="preserve"> </w:t>
      </w:r>
      <w:r w:rsidR="007D1D4F" w:rsidRPr="005B4A8D">
        <w:rPr>
          <w:rFonts w:cs="Arial"/>
        </w:rPr>
        <w:t>– No</w:t>
      </w:r>
      <w:r w:rsidR="001102BC" w:rsidRPr="005B4A8D">
        <w:rPr>
          <w:rFonts w:cs="Arial"/>
        </w:rPr>
        <w:t>ne</w:t>
      </w:r>
      <w:r w:rsidR="00583A52" w:rsidRPr="005B4A8D">
        <w:rPr>
          <w:rFonts w:cs="Arial"/>
          <w:color w:val="0000FF"/>
        </w:rPr>
        <w:t xml:space="preserve"> </w:t>
      </w:r>
    </w:p>
    <w:p w14:paraId="381DF525" w14:textId="77777777" w:rsidR="00E86584" w:rsidRPr="005B4A8D" w:rsidRDefault="00E86584" w:rsidP="001370FE">
      <w:pPr>
        <w:pStyle w:val="ListParagraph"/>
        <w:ind w:left="709" w:hanging="709"/>
        <w:rPr>
          <w:rFonts w:cs="Arial"/>
        </w:rPr>
      </w:pPr>
    </w:p>
    <w:p w14:paraId="70525066" w14:textId="77777777" w:rsidR="00B448CA" w:rsidRPr="005B4A8D" w:rsidRDefault="00B448CA" w:rsidP="00295280">
      <w:pPr>
        <w:numPr>
          <w:ilvl w:val="1"/>
          <w:numId w:val="6"/>
        </w:numPr>
        <w:autoSpaceDE w:val="0"/>
        <w:autoSpaceDN w:val="0"/>
        <w:adjustRightInd w:val="0"/>
        <w:ind w:left="709" w:hanging="709"/>
        <w:rPr>
          <w:rFonts w:cs="Arial"/>
        </w:rPr>
      </w:pPr>
      <w:r w:rsidRPr="005B4A8D">
        <w:rPr>
          <w:rFonts w:cs="Arial"/>
          <w:b/>
        </w:rPr>
        <w:t xml:space="preserve">Customer </w:t>
      </w:r>
      <w:r w:rsidR="00934EC0">
        <w:rPr>
          <w:rFonts w:cs="Arial"/>
          <w:b/>
        </w:rPr>
        <w:t>i</w:t>
      </w:r>
      <w:r w:rsidRPr="005B4A8D">
        <w:rPr>
          <w:rFonts w:cs="Arial"/>
          <w:b/>
        </w:rPr>
        <w:t>mpact</w:t>
      </w:r>
      <w:r w:rsidR="001102BC" w:rsidRPr="005B4A8D">
        <w:rPr>
          <w:rFonts w:cs="Arial"/>
        </w:rPr>
        <w:t xml:space="preserve"> </w:t>
      </w:r>
      <w:r w:rsidR="00E86584" w:rsidRPr="005B4A8D">
        <w:rPr>
          <w:rFonts w:cs="Arial"/>
        </w:rPr>
        <w:t>–</w:t>
      </w:r>
      <w:r w:rsidR="001102BC" w:rsidRPr="005B4A8D">
        <w:rPr>
          <w:rFonts w:cs="Arial"/>
        </w:rPr>
        <w:t xml:space="preserve"> None</w:t>
      </w:r>
    </w:p>
    <w:p w14:paraId="20E34F98" w14:textId="77777777" w:rsidR="00E86584" w:rsidRPr="005B4A8D" w:rsidRDefault="00E86584" w:rsidP="001370FE">
      <w:pPr>
        <w:pStyle w:val="ListParagraph"/>
        <w:ind w:left="709" w:hanging="709"/>
        <w:rPr>
          <w:rFonts w:cs="Arial"/>
        </w:rPr>
      </w:pPr>
    </w:p>
    <w:p w14:paraId="4B713B7B" w14:textId="77777777" w:rsidR="00E86584" w:rsidRPr="005B4A8D" w:rsidRDefault="00E86584" w:rsidP="00295280">
      <w:pPr>
        <w:numPr>
          <w:ilvl w:val="1"/>
          <w:numId w:val="6"/>
        </w:numPr>
        <w:autoSpaceDE w:val="0"/>
        <w:autoSpaceDN w:val="0"/>
        <w:adjustRightInd w:val="0"/>
        <w:ind w:left="709" w:hanging="709"/>
        <w:rPr>
          <w:rFonts w:cs="Arial"/>
        </w:rPr>
      </w:pPr>
      <w:r w:rsidRPr="005B4A8D">
        <w:rPr>
          <w:rFonts w:cs="Arial"/>
          <w:b/>
        </w:rPr>
        <w:t xml:space="preserve">Safeguarding </w:t>
      </w:r>
      <w:r w:rsidR="00934EC0">
        <w:rPr>
          <w:rFonts w:cs="Arial"/>
          <w:b/>
        </w:rPr>
        <w:t>c</w:t>
      </w:r>
      <w:r w:rsidRPr="005B4A8D">
        <w:rPr>
          <w:rFonts w:cs="Arial"/>
          <w:b/>
        </w:rPr>
        <w:t>hildren-</w:t>
      </w:r>
      <w:r w:rsidRPr="005B4A8D">
        <w:rPr>
          <w:rFonts w:cs="Arial"/>
        </w:rPr>
        <w:t xml:space="preserve"> None</w:t>
      </w:r>
    </w:p>
    <w:p w14:paraId="5203BF8A" w14:textId="77777777" w:rsidR="00E86584" w:rsidRPr="005B4A8D" w:rsidRDefault="00E86584" w:rsidP="001370FE">
      <w:pPr>
        <w:pStyle w:val="ListParagraph"/>
        <w:ind w:left="709" w:hanging="709"/>
        <w:rPr>
          <w:rFonts w:cs="Arial"/>
        </w:rPr>
      </w:pPr>
    </w:p>
    <w:p w14:paraId="74D7F383" w14:textId="77777777" w:rsidR="00E86584" w:rsidRPr="005B4A8D" w:rsidRDefault="00E86584" w:rsidP="00295280">
      <w:pPr>
        <w:numPr>
          <w:ilvl w:val="1"/>
          <w:numId w:val="6"/>
        </w:numPr>
        <w:autoSpaceDE w:val="0"/>
        <w:autoSpaceDN w:val="0"/>
        <w:adjustRightInd w:val="0"/>
        <w:ind w:left="709" w:hanging="709"/>
        <w:rPr>
          <w:rFonts w:cs="Arial"/>
        </w:rPr>
      </w:pPr>
      <w:r w:rsidRPr="005B4A8D">
        <w:rPr>
          <w:rFonts w:cs="Arial"/>
          <w:b/>
        </w:rPr>
        <w:t>Health Issues</w:t>
      </w:r>
      <w:r w:rsidRPr="005B4A8D">
        <w:rPr>
          <w:rFonts w:cs="Arial"/>
        </w:rPr>
        <w:t xml:space="preserve"> - None</w:t>
      </w:r>
      <w:r w:rsidRPr="005B4A8D">
        <w:rPr>
          <w:rFonts w:cs="Arial"/>
          <w:color w:val="0000FF"/>
        </w:rPr>
        <w:t xml:space="preserve">  </w:t>
      </w:r>
    </w:p>
    <w:p w14:paraId="1BA5D563" w14:textId="77777777" w:rsidR="00E86584" w:rsidRPr="005B4A8D" w:rsidRDefault="00E86584" w:rsidP="001370FE">
      <w:pPr>
        <w:pStyle w:val="ListParagraph"/>
        <w:ind w:left="709" w:hanging="709"/>
        <w:rPr>
          <w:rFonts w:cs="Arial"/>
        </w:rPr>
      </w:pPr>
    </w:p>
    <w:p w14:paraId="43F806EA" w14:textId="77777777" w:rsidR="00E86584" w:rsidRPr="005B4A8D" w:rsidRDefault="00E86584" w:rsidP="00295280">
      <w:pPr>
        <w:numPr>
          <w:ilvl w:val="1"/>
          <w:numId w:val="6"/>
        </w:numPr>
        <w:autoSpaceDE w:val="0"/>
        <w:autoSpaceDN w:val="0"/>
        <w:adjustRightInd w:val="0"/>
        <w:ind w:left="709" w:hanging="709"/>
        <w:rPr>
          <w:rFonts w:cs="Arial"/>
        </w:rPr>
      </w:pPr>
      <w:r w:rsidRPr="005B4A8D">
        <w:rPr>
          <w:rFonts w:cs="Arial"/>
          <w:b/>
        </w:rPr>
        <w:t>Crime and Disorder Issues</w:t>
      </w:r>
      <w:r w:rsidRPr="005B4A8D">
        <w:rPr>
          <w:rFonts w:cs="Arial"/>
        </w:rPr>
        <w:t xml:space="preserve"> – None </w:t>
      </w:r>
      <w:r w:rsidRPr="005B4A8D">
        <w:rPr>
          <w:rFonts w:cs="Arial"/>
          <w:color w:val="0000FF"/>
        </w:rPr>
        <w:t xml:space="preserve">  </w:t>
      </w:r>
    </w:p>
    <w:p w14:paraId="1D2E1195" w14:textId="77777777" w:rsidR="00E86584" w:rsidRPr="005B4A8D" w:rsidRDefault="00E86584" w:rsidP="001370FE">
      <w:pPr>
        <w:pStyle w:val="ListParagraph"/>
        <w:ind w:left="709" w:hanging="709"/>
        <w:rPr>
          <w:rFonts w:cs="Arial"/>
        </w:rPr>
      </w:pPr>
    </w:p>
    <w:p w14:paraId="0B653B0D" w14:textId="77777777" w:rsidR="00E86584" w:rsidRPr="005B4A8D" w:rsidRDefault="001601D1" w:rsidP="00295280">
      <w:pPr>
        <w:numPr>
          <w:ilvl w:val="1"/>
          <w:numId w:val="6"/>
        </w:numPr>
        <w:autoSpaceDE w:val="0"/>
        <w:autoSpaceDN w:val="0"/>
        <w:adjustRightInd w:val="0"/>
        <w:ind w:left="709" w:hanging="709"/>
        <w:rPr>
          <w:rFonts w:cs="Arial"/>
        </w:rPr>
      </w:pPr>
      <w:r w:rsidRPr="005B4A8D">
        <w:rPr>
          <w:rFonts w:cs="Arial"/>
          <w:b/>
        </w:rPr>
        <w:t>Property / Asset Issues</w:t>
      </w:r>
      <w:r w:rsidRPr="005B4A8D">
        <w:rPr>
          <w:rFonts w:cs="Arial"/>
        </w:rPr>
        <w:t xml:space="preserve"> – None</w:t>
      </w:r>
    </w:p>
    <w:p w14:paraId="459724DC" w14:textId="77777777" w:rsidR="000404CF" w:rsidRPr="005B4A8D" w:rsidRDefault="000404CF" w:rsidP="001370FE">
      <w:pPr>
        <w:autoSpaceDE w:val="0"/>
        <w:autoSpaceDN w:val="0"/>
        <w:adjustRightInd w:val="0"/>
        <w:ind w:left="709" w:hanging="709"/>
        <w:rPr>
          <w:rFonts w:cs="Arial"/>
          <w:b/>
        </w:rPr>
      </w:pPr>
    </w:p>
    <w:p w14:paraId="526DDC2B" w14:textId="77777777" w:rsidR="009D2E10" w:rsidRPr="005B4A8D" w:rsidRDefault="009D2E10" w:rsidP="001370FE">
      <w:pPr>
        <w:autoSpaceDE w:val="0"/>
        <w:autoSpaceDN w:val="0"/>
        <w:adjustRightInd w:val="0"/>
        <w:ind w:left="709" w:hanging="709"/>
        <w:rPr>
          <w:b/>
        </w:rPr>
      </w:pPr>
    </w:p>
    <w:p w14:paraId="5BA44C10" w14:textId="77777777" w:rsidR="006B0B04" w:rsidRPr="005B4A8D" w:rsidRDefault="006B0B04" w:rsidP="001370FE">
      <w:pPr>
        <w:autoSpaceDE w:val="0"/>
        <w:autoSpaceDN w:val="0"/>
        <w:adjustRightInd w:val="0"/>
        <w:ind w:left="709" w:hanging="709"/>
        <w:rPr>
          <w:b/>
        </w:rPr>
      </w:pPr>
      <w:r w:rsidRPr="005B4A8D">
        <w:rPr>
          <w:rFonts w:cs="Arial"/>
          <w:b/>
        </w:rPr>
        <w:t xml:space="preserve">Background </w:t>
      </w:r>
      <w:r w:rsidR="0047348C" w:rsidRPr="005B4A8D">
        <w:rPr>
          <w:rFonts w:cs="Arial"/>
          <w:b/>
        </w:rPr>
        <w:t>p</w:t>
      </w:r>
      <w:r w:rsidRPr="005B4A8D">
        <w:rPr>
          <w:rFonts w:cs="Arial"/>
          <w:b/>
        </w:rPr>
        <w:t>apers</w:t>
      </w:r>
      <w:r w:rsidR="007432B9" w:rsidRPr="005B4A8D">
        <w:rPr>
          <w:rFonts w:cs="Arial"/>
          <w:b/>
        </w:rPr>
        <w:t xml:space="preserve"> </w:t>
      </w:r>
      <w:r w:rsidR="0047348C" w:rsidRPr="005B4A8D">
        <w:rPr>
          <w:b/>
        </w:rPr>
        <w:t>u</w:t>
      </w:r>
      <w:r w:rsidR="007432B9" w:rsidRPr="005B4A8D">
        <w:rPr>
          <w:b/>
        </w:rPr>
        <w:t xml:space="preserve">sed in the </w:t>
      </w:r>
      <w:r w:rsidR="0047348C" w:rsidRPr="005B4A8D">
        <w:rPr>
          <w:b/>
        </w:rPr>
        <w:t>p</w:t>
      </w:r>
      <w:r w:rsidR="007432B9" w:rsidRPr="005B4A8D">
        <w:rPr>
          <w:b/>
        </w:rPr>
        <w:t xml:space="preserve">reparation of the </w:t>
      </w:r>
      <w:r w:rsidR="0047348C" w:rsidRPr="005B4A8D">
        <w:rPr>
          <w:b/>
        </w:rPr>
        <w:t>r</w:t>
      </w:r>
      <w:r w:rsidR="007432B9" w:rsidRPr="005B4A8D">
        <w:rPr>
          <w:b/>
        </w:rPr>
        <w:t>eport:</w:t>
      </w:r>
    </w:p>
    <w:p w14:paraId="4906F7F9" w14:textId="77777777" w:rsidR="00EA0621" w:rsidRPr="005B4A8D" w:rsidRDefault="00EA0621" w:rsidP="001370FE">
      <w:pPr>
        <w:autoSpaceDE w:val="0"/>
        <w:autoSpaceDN w:val="0"/>
        <w:adjustRightInd w:val="0"/>
        <w:ind w:left="709" w:hanging="709"/>
        <w:rPr>
          <w:rFonts w:cs="Arial"/>
          <w:b/>
        </w:rPr>
      </w:pPr>
    </w:p>
    <w:p w14:paraId="2B63F675" w14:textId="77777777" w:rsidR="00237113" w:rsidRPr="005B4A8D" w:rsidRDefault="00612CCC" w:rsidP="001370FE">
      <w:pPr>
        <w:ind w:left="709" w:hanging="709"/>
        <w:rPr>
          <w:rFonts w:cs="Arial"/>
          <w:color w:val="0000FF"/>
        </w:rPr>
      </w:pPr>
      <w:r w:rsidRPr="005B4A8D">
        <w:rPr>
          <w:rFonts w:cs="Arial"/>
          <w:color w:val="000000"/>
        </w:rPr>
        <w:t xml:space="preserve">None. </w:t>
      </w:r>
    </w:p>
    <w:p w14:paraId="34F2A8AB" w14:textId="77777777" w:rsidR="000F14B0" w:rsidRPr="005B4A8D" w:rsidRDefault="000F14B0" w:rsidP="001370FE">
      <w:pPr>
        <w:autoSpaceDE w:val="0"/>
        <w:autoSpaceDN w:val="0"/>
        <w:adjustRightInd w:val="0"/>
        <w:ind w:left="709" w:hanging="709"/>
        <w:rPr>
          <w:rFonts w:cs="Arial"/>
          <w:b/>
        </w:rPr>
      </w:pPr>
    </w:p>
    <w:p w14:paraId="5C3D6A82" w14:textId="77777777" w:rsidR="00E22338" w:rsidRPr="005B4A8D" w:rsidRDefault="000F14B0" w:rsidP="003413C8">
      <w:pPr>
        <w:autoSpaceDE w:val="0"/>
        <w:autoSpaceDN w:val="0"/>
        <w:adjustRightInd w:val="0"/>
        <w:rPr>
          <w:b/>
        </w:rPr>
      </w:pPr>
      <w:r w:rsidRPr="005B4A8D">
        <w:rPr>
          <w:rFonts w:cs="Arial"/>
          <w:b/>
        </w:rPr>
        <w:t>List of appendices</w:t>
      </w:r>
      <w:r w:rsidRPr="005B4A8D">
        <w:rPr>
          <w:b/>
        </w:rPr>
        <w:t>:</w:t>
      </w:r>
    </w:p>
    <w:p w14:paraId="3B2BD485" w14:textId="77777777" w:rsidR="002815B1" w:rsidRPr="005B4A8D" w:rsidRDefault="002815B1" w:rsidP="003413C8">
      <w:pPr>
        <w:autoSpaceDE w:val="0"/>
        <w:autoSpaceDN w:val="0"/>
        <w:adjustRightInd w:val="0"/>
        <w:rPr>
          <w:b/>
        </w:rPr>
      </w:pPr>
    </w:p>
    <w:p w14:paraId="1B84BD3F" w14:textId="77777777" w:rsidR="002815B1" w:rsidRPr="005B4A8D" w:rsidRDefault="00016BE0" w:rsidP="002815B1">
      <w:pPr>
        <w:jc w:val="both"/>
      </w:pPr>
      <w:r w:rsidRPr="005B4A8D">
        <w:t xml:space="preserve">Appendix </w:t>
      </w:r>
      <w:r w:rsidR="00551BA4" w:rsidRPr="005B4A8D">
        <w:t>A:</w:t>
      </w:r>
      <w:r w:rsidR="0047348C" w:rsidRPr="005B4A8D">
        <w:tab/>
      </w:r>
      <w:r w:rsidR="00951814" w:rsidRPr="005B4A8D">
        <w:t>F</w:t>
      </w:r>
      <w:r w:rsidR="004D5510">
        <w:t>unding model, option 1 or 2.</w:t>
      </w:r>
    </w:p>
    <w:p w14:paraId="4E5CE5F0" w14:textId="77777777" w:rsidR="00551BA4" w:rsidRPr="005B4A8D" w:rsidRDefault="00551BA4" w:rsidP="002815B1">
      <w:pPr>
        <w:jc w:val="both"/>
      </w:pPr>
    </w:p>
    <w:p w14:paraId="5CEE1009" w14:textId="77777777" w:rsidR="00551BA4" w:rsidRPr="005B4A8D" w:rsidRDefault="00551BA4" w:rsidP="002815B1">
      <w:pPr>
        <w:jc w:val="both"/>
      </w:pPr>
      <w:r w:rsidRPr="005B4A8D">
        <w:t>Appendix B:</w:t>
      </w:r>
      <w:r w:rsidR="0047348C" w:rsidRPr="005B4A8D">
        <w:tab/>
      </w:r>
      <w:r w:rsidR="004D5510" w:rsidRPr="005B4A8D">
        <w:t xml:space="preserve">Impact of the </w:t>
      </w:r>
      <w:r w:rsidR="004D5510">
        <w:t>two</w:t>
      </w:r>
      <w:r w:rsidR="004D5510" w:rsidRPr="005B4A8D">
        <w:t xml:space="preserve"> options on individual school</w:t>
      </w:r>
      <w:r w:rsidR="004D5510">
        <w:t>s</w:t>
      </w:r>
      <w:r w:rsidR="004D5510" w:rsidRPr="005B4A8D">
        <w:t xml:space="preserve"> budgets</w:t>
      </w:r>
      <w:r w:rsidR="00951814" w:rsidRPr="005B4A8D">
        <w:t xml:space="preserve">.  </w:t>
      </w:r>
    </w:p>
    <w:p w14:paraId="33EA2008" w14:textId="77777777" w:rsidR="00EE18E6" w:rsidRDefault="00EE18E6">
      <w:pPr>
        <w:rPr>
          <w:b/>
        </w:rPr>
      </w:pPr>
    </w:p>
    <w:sectPr w:rsidR="00EE18E6" w:rsidSect="00125FCD">
      <w:footerReference w:type="default" r:id="rId9"/>
      <w:pgSz w:w="11909" w:h="16834" w:code="9"/>
      <w:pgMar w:top="1560"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5350" w14:textId="77777777" w:rsidR="007510AE" w:rsidRDefault="007510AE">
      <w:r>
        <w:separator/>
      </w:r>
    </w:p>
  </w:endnote>
  <w:endnote w:type="continuationSeparator" w:id="0">
    <w:p w14:paraId="230FCC95" w14:textId="77777777" w:rsidR="007510AE" w:rsidRDefault="0075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B79A" w14:textId="77777777" w:rsidR="00C40D9E" w:rsidRDefault="00C40D9E">
    <w:pPr>
      <w:pStyle w:val="Footer"/>
      <w:jc w:val="center"/>
    </w:pPr>
    <w:r>
      <w:fldChar w:fldCharType="begin"/>
    </w:r>
    <w:r>
      <w:instrText xml:space="preserve"> PAGE   \* MERGEFORMAT </w:instrText>
    </w:r>
    <w:r>
      <w:fldChar w:fldCharType="separate"/>
    </w:r>
    <w:r>
      <w:rPr>
        <w:noProof/>
      </w:rPr>
      <w:t>5</w:t>
    </w:r>
    <w:r>
      <w:rPr>
        <w:noProof/>
      </w:rPr>
      <w:fldChar w:fldCharType="end"/>
    </w:r>
  </w:p>
  <w:p w14:paraId="477B56F4" w14:textId="77777777" w:rsidR="00C40D9E" w:rsidRDefault="00C4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A8ED" w14:textId="77777777" w:rsidR="007510AE" w:rsidRDefault="007510AE">
      <w:r>
        <w:separator/>
      </w:r>
    </w:p>
  </w:footnote>
  <w:footnote w:type="continuationSeparator" w:id="0">
    <w:p w14:paraId="0552196B" w14:textId="77777777" w:rsidR="007510AE" w:rsidRDefault="0075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A29"/>
    <w:multiLevelType w:val="multilevel"/>
    <w:tmpl w:val="BE600BC8"/>
    <w:lvl w:ilvl="0">
      <w:start w:val="1"/>
      <w:numFmt w:val="decimal"/>
      <w:pStyle w:val="Level1"/>
      <w:lvlText w:val="%1."/>
      <w:lvlJc w:val="left"/>
      <w:pPr>
        <w:tabs>
          <w:tab w:val="num" w:pos="906"/>
        </w:tabs>
        <w:ind w:left="906" w:hanging="1200"/>
      </w:pPr>
      <w:rPr>
        <w:rFonts w:hint="default"/>
        <w:b w:val="0"/>
        <w:i w:val="0"/>
        <w:caps w:val="0"/>
        <w:strike w:val="0"/>
        <w:dstrike w:val="0"/>
        <w:vanish w:val="0"/>
        <w:color w:val="0070C0"/>
        <w:sz w:val="30"/>
        <w:szCs w:val="30"/>
        <w:u w:val="none"/>
        <w:vertAlign w:val="baseline"/>
      </w:rPr>
    </w:lvl>
    <w:lvl w:ilvl="1">
      <w:start w:val="1"/>
      <w:numFmt w:val="decimal"/>
      <w:pStyle w:val="Level2"/>
      <w:lvlText w:val="%1.%2."/>
      <w:lvlJc w:val="left"/>
      <w:pPr>
        <w:tabs>
          <w:tab w:val="num" w:pos="622"/>
        </w:tabs>
        <w:ind w:left="622" w:hanging="1200"/>
      </w:pPr>
      <w:rPr>
        <w:rFonts w:cs="Times New Roman"/>
        <w:b w:val="0"/>
        <w:bCs w:val="0"/>
        <w:i w:val="0"/>
        <w:iCs w:val="0"/>
        <w:caps w:val="0"/>
        <w:smallCaps w:val="0"/>
        <w:strike w:val="0"/>
        <w:dstrike w:val="0"/>
        <w:noProof w:val="0"/>
        <w:vanish w:val="0"/>
        <w:color w:val="262626"/>
        <w:spacing w:val="0"/>
        <w:kern w:val="0"/>
        <w:position w:val="0"/>
        <w:u w:val="none"/>
        <w:vertAlign w:val="baseline"/>
        <w:em w:val="none"/>
      </w:rPr>
    </w:lvl>
    <w:lvl w:ilvl="2">
      <w:start w:val="1"/>
      <w:numFmt w:val="decimal"/>
      <w:lvlText w:val="%1.%2.%3."/>
      <w:lvlJc w:val="left"/>
      <w:pPr>
        <w:tabs>
          <w:tab w:val="num" w:pos="906"/>
        </w:tabs>
        <w:ind w:left="906"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506"/>
        </w:tabs>
        <w:ind w:left="506" w:hanging="400"/>
      </w:pPr>
      <w:rPr>
        <w:rFonts w:ascii="Symbol" w:hAnsi="Symbol" w:hint="default"/>
        <w:color w:val="auto"/>
      </w:rPr>
    </w:lvl>
    <w:lvl w:ilvl="4">
      <w:start w:val="1"/>
      <w:numFmt w:val="decimal"/>
      <w:lvlText w:val="%1.%2.%3.%4.%5."/>
      <w:lvlJc w:val="left"/>
      <w:pPr>
        <w:tabs>
          <w:tab w:val="num" w:pos="2586"/>
        </w:tabs>
        <w:ind w:left="1938" w:hanging="792"/>
      </w:pPr>
      <w:rPr>
        <w:rFonts w:hint="default"/>
      </w:rPr>
    </w:lvl>
    <w:lvl w:ilvl="5">
      <w:start w:val="1"/>
      <w:numFmt w:val="decimal"/>
      <w:lvlText w:val="%1.%2.%3.%4.%5.%6."/>
      <w:lvlJc w:val="left"/>
      <w:pPr>
        <w:tabs>
          <w:tab w:val="num" w:pos="3306"/>
        </w:tabs>
        <w:ind w:left="2442" w:hanging="936"/>
      </w:pPr>
      <w:rPr>
        <w:rFonts w:hint="default"/>
      </w:rPr>
    </w:lvl>
    <w:lvl w:ilvl="6">
      <w:start w:val="1"/>
      <w:numFmt w:val="decimal"/>
      <w:lvlText w:val="%1.%2.%3.%4.%5.%6.%7."/>
      <w:lvlJc w:val="left"/>
      <w:pPr>
        <w:tabs>
          <w:tab w:val="num" w:pos="4026"/>
        </w:tabs>
        <w:ind w:left="2946" w:hanging="1080"/>
      </w:pPr>
      <w:rPr>
        <w:rFonts w:hint="default"/>
      </w:rPr>
    </w:lvl>
    <w:lvl w:ilvl="7">
      <w:start w:val="1"/>
      <w:numFmt w:val="decimal"/>
      <w:lvlText w:val="%1.%2.%3.%4.%5.%6.%7.%8."/>
      <w:lvlJc w:val="left"/>
      <w:pPr>
        <w:tabs>
          <w:tab w:val="num" w:pos="4746"/>
        </w:tabs>
        <w:ind w:left="3450" w:hanging="1224"/>
      </w:pPr>
      <w:rPr>
        <w:rFonts w:hint="default"/>
      </w:rPr>
    </w:lvl>
    <w:lvl w:ilvl="8">
      <w:start w:val="1"/>
      <w:numFmt w:val="decimal"/>
      <w:lvlText w:val="%1.%2.%3.%4.%5.%6.%7.%8.%9."/>
      <w:lvlJc w:val="left"/>
      <w:pPr>
        <w:tabs>
          <w:tab w:val="num" w:pos="5466"/>
        </w:tabs>
        <w:ind w:left="4026" w:hanging="1440"/>
      </w:pPr>
      <w:rPr>
        <w:rFonts w:hint="default"/>
      </w:rPr>
    </w:lvl>
  </w:abstractNum>
  <w:abstractNum w:abstractNumId="1" w15:restartNumberingAfterBreak="0">
    <w:nsid w:val="043B7E1E"/>
    <w:multiLevelType w:val="hybridMultilevel"/>
    <w:tmpl w:val="807A254C"/>
    <w:lvl w:ilvl="0" w:tplc="0809001B">
      <w:start w:val="1"/>
      <w:numFmt w:val="lowerRoman"/>
      <w:lvlText w:val="%1."/>
      <w:lvlJc w:val="righ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5DC78B2"/>
    <w:multiLevelType w:val="hybridMultilevel"/>
    <w:tmpl w:val="4B52E8C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26580"/>
    <w:multiLevelType w:val="hybridMultilevel"/>
    <w:tmpl w:val="716825FC"/>
    <w:lvl w:ilvl="0" w:tplc="13085916">
      <w:start w:val="3"/>
      <w:numFmt w:val="lowerRoman"/>
      <w:lvlText w:val="(%1)"/>
      <w:lvlJc w:val="left"/>
      <w:pPr>
        <w:ind w:left="100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0A8D0415"/>
    <w:multiLevelType w:val="hybridMultilevel"/>
    <w:tmpl w:val="EBC68F64"/>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B4535B"/>
    <w:multiLevelType w:val="hybridMultilevel"/>
    <w:tmpl w:val="12D00E06"/>
    <w:lvl w:ilvl="0" w:tplc="ED50A05A">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52FF3"/>
    <w:multiLevelType w:val="hybridMultilevel"/>
    <w:tmpl w:val="944E0D7E"/>
    <w:lvl w:ilvl="0" w:tplc="A2C621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946262"/>
    <w:multiLevelType w:val="hybridMultilevel"/>
    <w:tmpl w:val="38B24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22831"/>
    <w:multiLevelType w:val="hybridMultilevel"/>
    <w:tmpl w:val="01986A30"/>
    <w:lvl w:ilvl="0" w:tplc="8894FA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3F7975"/>
    <w:multiLevelType w:val="hybridMultilevel"/>
    <w:tmpl w:val="8ADE11BA"/>
    <w:lvl w:ilvl="0" w:tplc="2B3036E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9318E2"/>
    <w:multiLevelType w:val="multilevel"/>
    <w:tmpl w:val="A13E5E20"/>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D5F0BA1"/>
    <w:multiLevelType w:val="multilevel"/>
    <w:tmpl w:val="FC40A75A"/>
    <w:lvl w:ilvl="0">
      <w:start w:val="1"/>
      <w:numFmt w:val="decimal"/>
      <w:pStyle w:val="MainHeading"/>
      <w:lvlText w:val="%1."/>
      <w:lvlJc w:val="left"/>
      <w:pPr>
        <w:ind w:left="720" w:hanging="720"/>
      </w:pPr>
    </w:lvl>
    <w:lvl w:ilvl="1">
      <w:start w:val="1"/>
      <w:numFmt w:val="decimal"/>
      <w:pStyle w:val="BodyText1"/>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215986"/>
    <w:multiLevelType w:val="multilevel"/>
    <w:tmpl w:val="423A1A44"/>
    <w:lvl w:ilvl="0">
      <w:start w:val="11"/>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4A75C12"/>
    <w:multiLevelType w:val="hybridMultilevel"/>
    <w:tmpl w:val="B1A22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CC09CF"/>
    <w:multiLevelType w:val="multilevel"/>
    <w:tmpl w:val="09A8DC6A"/>
    <w:lvl w:ilvl="0">
      <w:start w:val="9"/>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124C4C"/>
    <w:multiLevelType w:val="hybridMultilevel"/>
    <w:tmpl w:val="9404D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DF5B50"/>
    <w:multiLevelType w:val="multilevel"/>
    <w:tmpl w:val="62BA1742"/>
    <w:lvl w:ilvl="0">
      <w:start w:val="1"/>
      <w:numFmt w:val="decimal"/>
      <w:lvlText w:val="%1."/>
      <w:lvlJc w:val="left"/>
      <w:pPr>
        <w:ind w:left="1713" w:hanging="720"/>
      </w:pPr>
      <w:rPr>
        <w:rFonts w:ascii="Arial" w:eastAsia="Times New Roman" w:hAnsi="Arial" w:cs="Arial"/>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366E54EB"/>
    <w:multiLevelType w:val="hybridMultilevel"/>
    <w:tmpl w:val="EC0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25133"/>
    <w:multiLevelType w:val="hybridMultilevel"/>
    <w:tmpl w:val="01986A30"/>
    <w:lvl w:ilvl="0" w:tplc="8894FA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D71CBA"/>
    <w:multiLevelType w:val="hybridMultilevel"/>
    <w:tmpl w:val="3CD8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583A24"/>
    <w:multiLevelType w:val="hybridMultilevel"/>
    <w:tmpl w:val="01986A30"/>
    <w:lvl w:ilvl="0" w:tplc="8894FA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D72436"/>
    <w:multiLevelType w:val="hybridMultilevel"/>
    <w:tmpl w:val="93DE2144"/>
    <w:lvl w:ilvl="0" w:tplc="F8B27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E045A9"/>
    <w:multiLevelType w:val="multilevel"/>
    <w:tmpl w:val="247647C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3386FD9"/>
    <w:multiLevelType w:val="hybridMultilevel"/>
    <w:tmpl w:val="D564FB86"/>
    <w:lvl w:ilvl="0" w:tplc="7BBC4552">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7EE33F0"/>
    <w:multiLevelType w:val="multilevel"/>
    <w:tmpl w:val="842CF996"/>
    <w:lvl w:ilvl="0">
      <w:start w:val="1"/>
      <w:numFmt w:val="bullet"/>
      <w:lvlText w:val=""/>
      <w:lvlJc w:val="left"/>
      <w:pPr>
        <w:tabs>
          <w:tab w:val="num" w:pos="1429"/>
        </w:tabs>
        <w:ind w:left="1429" w:hanging="720"/>
      </w:pPr>
      <w:rPr>
        <w:rFonts w:ascii="Symbol" w:hAnsi="Symbol" w:hint="default"/>
        <w:b/>
      </w:rPr>
    </w:lvl>
    <w:lvl w:ilvl="1">
      <w:start w:val="1"/>
      <w:numFmt w:val="decimal"/>
      <w:isLgl/>
      <w:lvlText w:val="%1.%2"/>
      <w:lvlJc w:val="left"/>
      <w:pPr>
        <w:tabs>
          <w:tab w:val="num" w:pos="1069"/>
        </w:tabs>
        <w:ind w:left="1069" w:hanging="360"/>
      </w:pPr>
      <w:rPr>
        <w:rFonts w:hint="default"/>
        <w:b w:val="0"/>
        <w:color w:val="auto"/>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26" w15:restartNumberingAfterBreak="0">
    <w:nsid w:val="54033C6A"/>
    <w:multiLevelType w:val="hybridMultilevel"/>
    <w:tmpl w:val="D4C4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53282"/>
    <w:multiLevelType w:val="multilevel"/>
    <w:tmpl w:val="C480F3CC"/>
    <w:lvl w:ilvl="0">
      <w:start w:val="1"/>
      <w:numFmt w:val="decimal"/>
      <w:lvlText w:val="%1."/>
      <w:lvlJc w:val="left"/>
      <w:pPr>
        <w:ind w:left="1080" w:hanging="360"/>
      </w:p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A3C7B0D"/>
    <w:multiLevelType w:val="multilevel"/>
    <w:tmpl w:val="0B24BB32"/>
    <w:lvl w:ilvl="0">
      <w:start w:val="1"/>
      <w:numFmt w:val="bullet"/>
      <w:lvlText w:val=""/>
      <w:lvlJc w:val="left"/>
      <w:pPr>
        <w:tabs>
          <w:tab w:val="num" w:pos="1287"/>
        </w:tabs>
        <w:ind w:left="1287" w:hanging="720"/>
      </w:pPr>
      <w:rPr>
        <w:rFonts w:ascii="Symbol" w:hAnsi="Symbol" w:hint="default"/>
        <w:b/>
      </w:rPr>
    </w:lvl>
    <w:lvl w:ilvl="1">
      <w:start w:val="1"/>
      <w:numFmt w:val="decimal"/>
      <w:isLgl/>
      <w:lvlText w:val="%1.%2"/>
      <w:lvlJc w:val="left"/>
      <w:pPr>
        <w:tabs>
          <w:tab w:val="num" w:pos="927"/>
        </w:tabs>
        <w:ind w:left="927" w:hanging="360"/>
      </w:pPr>
      <w:rPr>
        <w:rFonts w:hint="default"/>
        <w:b w:val="0"/>
        <w:color w:val="auto"/>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29" w15:restartNumberingAfterBreak="0">
    <w:nsid w:val="5AAB21C8"/>
    <w:multiLevelType w:val="hybridMultilevel"/>
    <w:tmpl w:val="B51A53F4"/>
    <w:lvl w:ilvl="0" w:tplc="A2C621D0">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ED60797"/>
    <w:multiLevelType w:val="hybridMultilevel"/>
    <w:tmpl w:val="FE828B14"/>
    <w:lvl w:ilvl="0" w:tplc="06B47C32">
      <w:start w:val="1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EF36A3"/>
    <w:multiLevelType w:val="multilevel"/>
    <w:tmpl w:val="F1B07ED8"/>
    <w:lvl w:ilvl="0">
      <w:start w:val="2"/>
      <w:numFmt w:val="decimal"/>
      <w:lvlText w:val="%1."/>
      <w:lvlJc w:val="left"/>
      <w:pPr>
        <w:ind w:left="1430" w:hanging="720"/>
      </w:pPr>
      <w:rPr>
        <w:rFonts w:ascii="Arial" w:eastAsia="Times New Roman" w:hAnsi="Arial" w:cs="Arial"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2" w15:restartNumberingAfterBreak="0">
    <w:nsid w:val="616118B3"/>
    <w:multiLevelType w:val="multilevel"/>
    <w:tmpl w:val="7726681C"/>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E6FED"/>
    <w:multiLevelType w:val="hybridMultilevel"/>
    <w:tmpl w:val="90128238"/>
    <w:lvl w:ilvl="0" w:tplc="1F7423AA">
      <w:start w:val="2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CE3AC9"/>
    <w:multiLevelType w:val="multilevel"/>
    <w:tmpl w:val="FAAE93F4"/>
    <w:lvl w:ilvl="0">
      <w:start w:val="10"/>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3171769"/>
    <w:multiLevelType w:val="hybridMultilevel"/>
    <w:tmpl w:val="ABC05EBC"/>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6" w15:restartNumberingAfterBreak="0">
    <w:nsid w:val="73E13E64"/>
    <w:multiLevelType w:val="hybridMultilevel"/>
    <w:tmpl w:val="8DB0FEB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4E37D86"/>
    <w:multiLevelType w:val="hybridMultilevel"/>
    <w:tmpl w:val="DA5472DC"/>
    <w:lvl w:ilvl="0" w:tplc="BBB83C5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75950F8"/>
    <w:multiLevelType w:val="hybridMultilevel"/>
    <w:tmpl w:val="152CBE9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9" w15:restartNumberingAfterBreak="0">
    <w:nsid w:val="79905F2C"/>
    <w:multiLevelType w:val="hybridMultilevel"/>
    <w:tmpl w:val="85D49FB8"/>
    <w:lvl w:ilvl="0" w:tplc="A2C62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3D727D"/>
    <w:multiLevelType w:val="hybridMultilevel"/>
    <w:tmpl w:val="F9B65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490FEE"/>
    <w:multiLevelType w:val="multilevel"/>
    <w:tmpl w:val="89E47D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2"/>
  </w:num>
  <w:num w:numId="3">
    <w:abstractNumId w:val="39"/>
  </w:num>
  <w:num w:numId="4">
    <w:abstractNumId w:val="16"/>
  </w:num>
  <w:num w:numId="5">
    <w:abstractNumId w:val="0"/>
  </w:num>
  <w:num w:numId="6">
    <w:abstractNumId w:val="5"/>
  </w:num>
  <w:num w:numId="7">
    <w:abstractNumId w:val="19"/>
  </w:num>
  <w:num w:numId="8">
    <w:abstractNumId w:val="26"/>
  </w:num>
  <w:num w:numId="9">
    <w:abstractNumId w:val="29"/>
  </w:num>
  <w:num w:numId="10">
    <w:abstractNumId w:val="40"/>
  </w:num>
  <w:num w:numId="11">
    <w:abstractNumId w:val="32"/>
  </w:num>
  <w:num w:numId="12">
    <w:abstractNumId w:val="12"/>
  </w:num>
  <w:num w:numId="13">
    <w:abstractNumId w:val="1"/>
  </w:num>
  <w:num w:numId="14">
    <w:abstractNumId w:val="4"/>
  </w:num>
  <w:num w:numId="15">
    <w:abstractNumId w:val="41"/>
  </w:num>
  <w:num w:numId="16">
    <w:abstractNumId w:val="34"/>
  </w:num>
  <w:num w:numId="17">
    <w:abstractNumId w:val="31"/>
  </w:num>
  <w:num w:numId="18">
    <w:abstractNumId w:val="21"/>
  </w:num>
  <w:num w:numId="19">
    <w:abstractNumId w:val="38"/>
  </w:num>
  <w:num w:numId="20">
    <w:abstractNumId w:val="10"/>
  </w:num>
  <w:num w:numId="21">
    <w:abstractNumId w:val="17"/>
  </w:num>
  <w:num w:numId="22">
    <w:abstractNumId w:val="7"/>
  </w:num>
  <w:num w:numId="23">
    <w:abstractNumId w:val="8"/>
  </w:num>
  <w:num w:numId="24">
    <w:abstractNumId w:val="3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0"/>
  </w:num>
  <w:num w:numId="28">
    <w:abstractNumId w:val="6"/>
  </w:num>
  <w:num w:numId="29">
    <w:abstractNumId w:val="9"/>
  </w:num>
  <w:num w:numId="30">
    <w:abstractNumId w:val="3"/>
  </w:num>
  <w:num w:numId="31">
    <w:abstractNumId w:val="13"/>
  </w:num>
  <w:num w:numId="32">
    <w:abstractNumId w:val="18"/>
  </w:num>
  <w:num w:numId="33">
    <w:abstractNumId w:val="37"/>
  </w:num>
  <w:num w:numId="34">
    <w:abstractNumId w:val="23"/>
  </w:num>
  <w:num w:numId="35">
    <w:abstractNumId w:val="28"/>
  </w:num>
  <w:num w:numId="36">
    <w:abstractNumId w:val="33"/>
  </w:num>
  <w:num w:numId="37">
    <w:abstractNumId w:val="30"/>
  </w:num>
  <w:num w:numId="38">
    <w:abstractNumId w:val="27"/>
  </w:num>
  <w:num w:numId="39">
    <w:abstractNumId w:val="15"/>
  </w:num>
  <w:num w:numId="40">
    <w:abstractNumId w:val="35"/>
  </w:num>
  <w:num w:numId="41">
    <w:abstractNumId w:val="25"/>
  </w:num>
  <w:num w:numId="42">
    <w:abstractNumId w:val="14"/>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FF"/>
    <w:rsid w:val="000016AB"/>
    <w:rsid w:val="00002AF8"/>
    <w:rsid w:val="00005B71"/>
    <w:rsid w:val="00006DA9"/>
    <w:rsid w:val="00007862"/>
    <w:rsid w:val="00007D7B"/>
    <w:rsid w:val="00010185"/>
    <w:rsid w:val="000123DC"/>
    <w:rsid w:val="000152AA"/>
    <w:rsid w:val="0001592B"/>
    <w:rsid w:val="00015AC2"/>
    <w:rsid w:val="0001602F"/>
    <w:rsid w:val="00016BE0"/>
    <w:rsid w:val="00017940"/>
    <w:rsid w:val="00021BBF"/>
    <w:rsid w:val="00021BED"/>
    <w:rsid w:val="000233BA"/>
    <w:rsid w:val="00024035"/>
    <w:rsid w:val="000249EC"/>
    <w:rsid w:val="0002531C"/>
    <w:rsid w:val="00025EA0"/>
    <w:rsid w:val="00026914"/>
    <w:rsid w:val="00030B00"/>
    <w:rsid w:val="000310B7"/>
    <w:rsid w:val="000318AC"/>
    <w:rsid w:val="0003231A"/>
    <w:rsid w:val="00033019"/>
    <w:rsid w:val="00034204"/>
    <w:rsid w:val="0003456B"/>
    <w:rsid w:val="00034678"/>
    <w:rsid w:val="00034AAA"/>
    <w:rsid w:val="00035222"/>
    <w:rsid w:val="00036181"/>
    <w:rsid w:val="000365CD"/>
    <w:rsid w:val="000404CF"/>
    <w:rsid w:val="000413B1"/>
    <w:rsid w:val="00041B3F"/>
    <w:rsid w:val="00042094"/>
    <w:rsid w:val="00043B61"/>
    <w:rsid w:val="00043C82"/>
    <w:rsid w:val="00047C2C"/>
    <w:rsid w:val="00051382"/>
    <w:rsid w:val="00051F08"/>
    <w:rsid w:val="00053FB2"/>
    <w:rsid w:val="0005699A"/>
    <w:rsid w:val="0006044A"/>
    <w:rsid w:val="00062A22"/>
    <w:rsid w:val="00063181"/>
    <w:rsid w:val="00064AE1"/>
    <w:rsid w:val="00065FE5"/>
    <w:rsid w:val="00067F01"/>
    <w:rsid w:val="00070FC7"/>
    <w:rsid w:val="00072940"/>
    <w:rsid w:val="00072AF4"/>
    <w:rsid w:val="00075390"/>
    <w:rsid w:val="00076174"/>
    <w:rsid w:val="00076993"/>
    <w:rsid w:val="000816B4"/>
    <w:rsid w:val="000820BD"/>
    <w:rsid w:val="00083342"/>
    <w:rsid w:val="000839E0"/>
    <w:rsid w:val="000842DC"/>
    <w:rsid w:val="000912D0"/>
    <w:rsid w:val="00094439"/>
    <w:rsid w:val="00094667"/>
    <w:rsid w:val="00097034"/>
    <w:rsid w:val="000973FA"/>
    <w:rsid w:val="0009760F"/>
    <w:rsid w:val="000A0018"/>
    <w:rsid w:val="000A2CB4"/>
    <w:rsid w:val="000A3110"/>
    <w:rsid w:val="000A4E4C"/>
    <w:rsid w:val="000A5CEC"/>
    <w:rsid w:val="000A66D7"/>
    <w:rsid w:val="000B0001"/>
    <w:rsid w:val="000B16F3"/>
    <w:rsid w:val="000B3C9B"/>
    <w:rsid w:val="000B4DC8"/>
    <w:rsid w:val="000B7DB1"/>
    <w:rsid w:val="000C0C31"/>
    <w:rsid w:val="000C1A29"/>
    <w:rsid w:val="000C1D38"/>
    <w:rsid w:val="000C2344"/>
    <w:rsid w:val="000C5C0F"/>
    <w:rsid w:val="000C62C5"/>
    <w:rsid w:val="000D030E"/>
    <w:rsid w:val="000D05CB"/>
    <w:rsid w:val="000D2F6E"/>
    <w:rsid w:val="000D55A6"/>
    <w:rsid w:val="000D5779"/>
    <w:rsid w:val="000D5787"/>
    <w:rsid w:val="000D7DC8"/>
    <w:rsid w:val="000E20BD"/>
    <w:rsid w:val="000E2EA0"/>
    <w:rsid w:val="000E3D31"/>
    <w:rsid w:val="000E5DAE"/>
    <w:rsid w:val="000E7B9F"/>
    <w:rsid w:val="000F14B0"/>
    <w:rsid w:val="000F281E"/>
    <w:rsid w:val="000F291D"/>
    <w:rsid w:val="001015A7"/>
    <w:rsid w:val="001017C9"/>
    <w:rsid w:val="00102BB7"/>
    <w:rsid w:val="00102F9C"/>
    <w:rsid w:val="00103630"/>
    <w:rsid w:val="001059DE"/>
    <w:rsid w:val="001060BA"/>
    <w:rsid w:val="0010638D"/>
    <w:rsid w:val="001072F6"/>
    <w:rsid w:val="00107B00"/>
    <w:rsid w:val="001102BC"/>
    <w:rsid w:val="0011174D"/>
    <w:rsid w:val="0011240D"/>
    <w:rsid w:val="00112B89"/>
    <w:rsid w:val="00115B41"/>
    <w:rsid w:val="00116B4F"/>
    <w:rsid w:val="00117262"/>
    <w:rsid w:val="0011747C"/>
    <w:rsid w:val="0012128A"/>
    <w:rsid w:val="001214F2"/>
    <w:rsid w:val="00121534"/>
    <w:rsid w:val="0012179E"/>
    <w:rsid w:val="00122E68"/>
    <w:rsid w:val="00123C9C"/>
    <w:rsid w:val="00124287"/>
    <w:rsid w:val="00125FCD"/>
    <w:rsid w:val="00127C01"/>
    <w:rsid w:val="0013009A"/>
    <w:rsid w:val="00130919"/>
    <w:rsid w:val="0013113C"/>
    <w:rsid w:val="0013164F"/>
    <w:rsid w:val="00133834"/>
    <w:rsid w:val="0013439C"/>
    <w:rsid w:val="00136D34"/>
    <w:rsid w:val="001370FE"/>
    <w:rsid w:val="00137D48"/>
    <w:rsid w:val="00140325"/>
    <w:rsid w:val="001408AF"/>
    <w:rsid w:val="00141508"/>
    <w:rsid w:val="00141BCF"/>
    <w:rsid w:val="00142E26"/>
    <w:rsid w:val="00145BDB"/>
    <w:rsid w:val="00146296"/>
    <w:rsid w:val="00147B39"/>
    <w:rsid w:val="00150277"/>
    <w:rsid w:val="0015140A"/>
    <w:rsid w:val="0015429D"/>
    <w:rsid w:val="00154EB3"/>
    <w:rsid w:val="00155329"/>
    <w:rsid w:val="001556CA"/>
    <w:rsid w:val="00155F07"/>
    <w:rsid w:val="001601D1"/>
    <w:rsid w:val="00161DD3"/>
    <w:rsid w:val="001620F2"/>
    <w:rsid w:val="001623F6"/>
    <w:rsid w:val="00165486"/>
    <w:rsid w:val="00165B3C"/>
    <w:rsid w:val="00166496"/>
    <w:rsid w:val="0016655D"/>
    <w:rsid w:val="00166E5E"/>
    <w:rsid w:val="001710FA"/>
    <w:rsid w:val="001731F1"/>
    <w:rsid w:val="00173F6F"/>
    <w:rsid w:val="00175D83"/>
    <w:rsid w:val="00176AB6"/>
    <w:rsid w:val="00176C17"/>
    <w:rsid w:val="0017756C"/>
    <w:rsid w:val="00181241"/>
    <w:rsid w:val="00181709"/>
    <w:rsid w:val="0018172B"/>
    <w:rsid w:val="0018490C"/>
    <w:rsid w:val="00184BEE"/>
    <w:rsid w:val="00185647"/>
    <w:rsid w:val="00186AD9"/>
    <w:rsid w:val="001874DF"/>
    <w:rsid w:val="00191E7E"/>
    <w:rsid w:val="00191E9D"/>
    <w:rsid w:val="0019228B"/>
    <w:rsid w:val="001924BF"/>
    <w:rsid w:val="0019260C"/>
    <w:rsid w:val="00192D20"/>
    <w:rsid w:val="00193BDC"/>
    <w:rsid w:val="00194E81"/>
    <w:rsid w:val="00196460"/>
    <w:rsid w:val="00197808"/>
    <w:rsid w:val="00197868"/>
    <w:rsid w:val="001978A2"/>
    <w:rsid w:val="001A2041"/>
    <w:rsid w:val="001A2280"/>
    <w:rsid w:val="001A26C2"/>
    <w:rsid w:val="001A32DF"/>
    <w:rsid w:val="001A3C41"/>
    <w:rsid w:val="001A7B87"/>
    <w:rsid w:val="001B0526"/>
    <w:rsid w:val="001B2632"/>
    <w:rsid w:val="001B2F12"/>
    <w:rsid w:val="001B47A6"/>
    <w:rsid w:val="001B56CC"/>
    <w:rsid w:val="001B6318"/>
    <w:rsid w:val="001B7D7D"/>
    <w:rsid w:val="001C0B0D"/>
    <w:rsid w:val="001C0B69"/>
    <w:rsid w:val="001C5D12"/>
    <w:rsid w:val="001C66EA"/>
    <w:rsid w:val="001C72A2"/>
    <w:rsid w:val="001D2EF5"/>
    <w:rsid w:val="001D530B"/>
    <w:rsid w:val="001D5F19"/>
    <w:rsid w:val="001D622F"/>
    <w:rsid w:val="001D648F"/>
    <w:rsid w:val="001E010D"/>
    <w:rsid w:val="001E0514"/>
    <w:rsid w:val="001E0ED9"/>
    <w:rsid w:val="001E3036"/>
    <w:rsid w:val="001E37C2"/>
    <w:rsid w:val="001E3CC4"/>
    <w:rsid w:val="001E436C"/>
    <w:rsid w:val="001E47C3"/>
    <w:rsid w:val="001E5AFB"/>
    <w:rsid w:val="001E6232"/>
    <w:rsid w:val="001E697F"/>
    <w:rsid w:val="001E7623"/>
    <w:rsid w:val="001F0622"/>
    <w:rsid w:val="001F065B"/>
    <w:rsid w:val="001F0959"/>
    <w:rsid w:val="001F1E59"/>
    <w:rsid w:val="001F208A"/>
    <w:rsid w:val="001F2368"/>
    <w:rsid w:val="001F5F0F"/>
    <w:rsid w:val="0020083A"/>
    <w:rsid w:val="00200F1B"/>
    <w:rsid w:val="0020248C"/>
    <w:rsid w:val="002039A2"/>
    <w:rsid w:val="00204510"/>
    <w:rsid w:val="0020561F"/>
    <w:rsid w:val="00205671"/>
    <w:rsid w:val="00206B8C"/>
    <w:rsid w:val="0021058F"/>
    <w:rsid w:val="00210E9A"/>
    <w:rsid w:val="00211D5E"/>
    <w:rsid w:val="00211F72"/>
    <w:rsid w:val="00215C52"/>
    <w:rsid w:val="00216EBD"/>
    <w:rsid w:val="0021756D"/>
    <w:rsid w:val="002201F0"/>
    <w:rsid w:val="00220FCF"/>
    <w:rsid w:val="0022335E"/>
    <w:rsid w:val="002245EE"/>
    <w:rsid w:val="0022490B"/>
    <w:rsid w:val="00224ACC"/>
    <w:rsid w:val="00225B74"/>
    <w:rsid w:val="00225E0C"/>
    <w:rsid w:val="00226594"/>
    <w:rsid w:val="0022706D"/>
    <w:rsid w:val="00230EA1"/>
    <w:rsid w:val="002324F7"/>
    <w:rsid w:val="002329C6"/>
    <w:rsid w:val="00234E6C"/>
    <w:rsid w:val="00237113"/>
    <w:rsid w:val="00240ECA"/>
    <w:rsid w:val="0024162A"/>
    <w:rsid w:val="002420EC"/>
    <w:rsid w:val="00242390"/>
    <w:rsid w:val="00242399"/>
    <w:rsid w:val="00243460"/>
    <w:rsid w:val="002434F6"/>
    <w:rsid w:val="00243E12"/>
    <w:rsid w:val="0024597B"/>
    <w:rsid w:val="002473FC"/>
    <w:rsid w:val="00247A48"/>
    <w:rsid w:val="00250D54"/>
    <w:rsid w:val="00251787"/>
    <w:rsid w:val="002522E2"/>
    <w:rsid w:val="00252416"/>
    <w:rsid w:val="00252D8D"/>
    <w:rsid w:val="00254A98"/>
    <w:rsid w:val="0025518C"/>
    <w:rsid w:val="00257F99"/>
    <w:rsid w:val="00261196"/>
    <w:rsid w:val="002618AB"/>
    <w:rsid w:val="00264A9B"/>
    <w:rsid w:val="00264E80"/>
    <w:rsid w:val="002669D3"/>
    <w:rsid w:val="00271B83"/>
    <w:rsid w:val="00273F31"/>
    <w:rsid w:val="00274EC3"/>
    <w:rsid w:val="00275541"/>
    <w:rsid w:val="00276076"/>
    <w:rsid w:val="00276251"/>
    <w:rsid w:val="0027680C"/>
    <w:rsid w:val="00277078"/>
    <w:rsid w:val="002804CF"/>
    <w:rsid w:val="00280EC4"/>
    <w:rsid w:val="002815B1"/>
    <w:rsid w:val="00281849"/>
    <w:rsid w:val="00282551"/>
    <w:rsid w:val="00282D5E"/>
    <w:rsid w:val="002846E7"/>
    <w:rsid w:val="002855A5"/>
    <w:rsid w:val="0028601B"/>
    <w:rsid w:val="00292AD7"/>
    <w:rsid w:val="00293137"/>
    <w:rsid w:val="00294D66"/>
    <w:rsid w:val="00295067"/>
    <w:rsid w:val="00295280"/>
    <w:rsid w:val="002959FC"/>
    <w:rsid w:val="00296EF7"/>
    <w:rsid w:val="002A01AF"/>
    <w:rsid w:val="002A0586"/>
    <w:rsid w:val="002A0748"/>
    <w:rsid w:val="002A1ECE"/>
    <w:rsid w:val="002A2692"/>
    <w:rsid w:val="002A2FA5"/>
    <w:rsid w:val="002A3699"/>
    <w:rsid w:val="002A4F18"/>
    <w:rsid w:val="002A6B6E"/>
    <w:rsid w:val="002B04ED"/>
    <w:rsid w:val="002B0798"/>
    <w:rsid w:val="002B11B5"/>
    <w:rsid w:val="002B1A9D"/>
    <w:rsid w:val="002B1E30"/>
    <w:rsid w:val="002B1F79"/>
    <w:rsid w:val="002B30DE"/>
    <w:rsid w:val="002B402B"/>
    <w:rsid w:val="002B51C7"/>
    <w:rsid w:val="002C02D2"/>
    <w:rsid w:val="002C0CCC"/>
    <w:rsid w:val="002C161D"/>
    <w:rsid w:val="002C1B17"/>
    <w:rsid w:val="002C20C7"/>
    <w:rsid w:val="002C32ED"/>
    <w:rsid w:val="002C7239"/>
    <w:rsid w:val="002D01CD"/>
    <w:rsid w:val="002D070B"/>
    <w:rsid w:val="002D2D3C"/>
    <w:rsid w:val="002D45C6"/>
    <w:rsid w:val="002D4818"/>
    <w:rsid w:val="002D49EE"/>
    <w:rsid w:val="002D5B3F"/>
    <w:rsid w:val="002D5ECC"/>
    <w:rsid w:val="002D6FBC"/>
    <w:rsid w:val="002D7809"/>
    <w:rsid w:val="002E1B29"/>
    <w:rsid w:val="002E3116"/>
    <w:rsid w:val="002E4908"/>
    <w:rsid w:val="002E5490"/>
    <w:rsid w:val="002E7EC2"/>
    <w:rsid w:val="002F090F"/>
    <w:rsid w:val="002F0963"/>
    <w:rsid w:val="002F1DAF"/>
    <w:rsid w:val="002F3DC6"/>
    <w:rsid w:val="002F3F9A"/>
    <w:rsid w:val="002F61B6"/>
    <w:rsid w:val="002F756C"/>
    <w:rsid w:val="002F76FB"/>
    <w:rsid w:val="002F7D9D"/>
    <w:rsid w:val="002F7DBC"/>
    <w:rsid w:val="0030133F"/>
    <w:rsid w:val="003019D7"/>
    <w:rsid w:val="00301D4F"/>
    <w:rsid w:val="00303B06"/>
    <w:rsid w:val="00304EE1"/>
    <w:rsid w:val="00304F5B"/>
    <w:rsid w:val="00307168"/>
    <w:rsid w:val="00310E2C"/>
    <w:rsid w:val="003121E6"/>
    <w:rsid w:val="003128DF"/>
    <w:rsid w:val="00313462"/>
    <w:rsid w:val="00314CCF"/>
    <w:rsid w:val="00314DE9"/>
    <w:rsid w:val="003150DD"/>
    <w:rsid w:val="0031530D"/>
    <w:rsid w:val="003161E4"/>
    <w:rsid w:val="00316BAA"/>
    <w:rsid w:val="00317452"/>
    <w:rsid w:val="00317B0D"/>
    <w:rsid w:val="00320183"/>
    <w:rsid w:val="00320E9A"/>
    <w:rsid w:val="003211C2"/>
    <w:rsid w:val="0032172D"/>
    <w:rsid w:val="00322068"/>
    <w:rsid w:val="0032275F"/>
    <w:rsid w:val="00324560"/>
    <w:rsid w:val="00325B4D"/>
    <w:rsid w:val="003264B9"/>
    <w:rsid w:val="00326A4D"/>
    <w:rsid w:val="00327C04"/>
    <w:rsid w:val="00331B0A"/>
    <w:rsid w:val="003333C3"/>
    <w:rsid w:val="003337C1"/>
    <w:rsid w:val="00334B9F"/>
    <w:rsid w:val="00336997"/>
    <w:rsid w:val="003369B4"/>
    <w:rsid w:val="003379E5"/>
    <w:rsid w:val="003413C8"/>
    <w:rsid w:val="00345E4E"/>
    <w:rsid w:val="003462DC"/>
    <w:rsid w:val="003464FC"/>
    <w:rsid w:val="00346BB9"/>
    <w:rsid w:val="003479E9"/>
    <w:rsid w:val="00350D3D"/>
    <w:rsid w:val="0035103D"/>
    <w:rsid w:val="00351CE3"/>
    <w:rsid w:val="00352659"/>
    <w:rsid w:val="00353EE6"/>
    <w:rsid w:val="00356655"/>
    <w:rsid w:val="003568BF"/>
    <w:rsid w:val="00356AE5"/>
    <w:rsid w:val="00357988"/>
    <w:rsid w:val="003617A5"/>
    <w:rsid w:val="00362322"/>
    <w:rsid w:val="003627B4"/>
    <w:rsid w:val="003632EF"/>
    <w:rsid w:val="00371F4D"/>
    <w:rsid w:val="0037219A"/>
    <w:rsid w:val="00375509"/>
    <w:rsid w:val="00377322"/>
    <w:rsid w:val="003776E0"/>
    <w:rsid w:val="0038132C"/>
    <w:rsid w:val="00381481"/>
    <w:rsid w:val="00381F2E"/>
    <w:rsid w:val="00382AB6"/>
    <w:rsid w:val="00382D58"/>
    <w:rsid w:val="00383EA6"/>
    <w:rsid w:val="003849C5"/>
    <w:rsid w:val="00385B4A"/>
    <w:rsid w:val="00385DAE"/>
    <w:rsid w:val="00385FC8"/>
    <w:rsid w:val="00386093"/>
    <w:rsid w:val="0038769D"/>
    <w:rsid w:val="00387757"/>
    <w:rsid w:val="00391199"/>
    <w:rsid w:val="00391742"/>
    <w:rsid w:val="00391F83"/>
    <w:rsid w:val="00394013"/>
    <w:rsid w:val="00394FC1"/>
    <w:rsid w:val="00395030"/>
    <w:rsid w:val="00395640"/>
    <w:rsid w:val="003959C8"/>
    <w:rsid w:val="003965D7"/>
    <w:rsid w:val="00396A9F"/>
    <w:rsid w:val="003A01C4"/>
    <w:rsid w:val="003A2322"/>
    <w:rsid w:val="003A3378"/>
    <w:rsid w:val="003A44FA"/>
    <w:rsid w:val="003A4F63"/>
    <w:rsid w:val="003A5C3F"/>
    <w:rsid w:val="003B09E2"/>
    <w:rsid w:val="003B18E3"/>
    <w:rsid w:val="003B2ED6"/>
    <w:rsid w:val="003B6415"/>
    <w:rsid w:val="003B6610"/>
    <w:rsid w:val="003B6AE6"/>
    <w:rsid w:val="003C0695"/>
    <w:rsid w:val="003C0B67"/>
    <w:rsid w:val="003C16AB"/>
    <w:rsid w:val="003C1EBE"/>
    <w:rsid w:val="003C3C1E"/>
    <w:rsid w:val="003C5F14"/>
    <w:rsid w:val="003C787F"/>
    <w:rsid w:val="003C7A27"/>
    <w:rsid w:val="003D0435"/>
    <w:rsid w:val="003D07B7"/>
    <w:rsid w:val="003D10E0"/>
    <w:rsid w:val="003D1295"/>
    <w:rsid w:val="003D1E77"/>
    <w:rsid w:val="003D2040"/>
    <w:rsid w:val="003D4384"/>
    <w:rsid w:val="003D4495"/>
    <w:rsid w:val="003D4EB9"/>
    <w:rsid w:val="003D54CF"/>
    <w:rsid w:val="003D5FC7"/>
    <w:rsid w:val="003D6D4B"/>
    <w:rsid w:val="003E152D"/>
    <w:rsid w:val="003E2AE5"/>
    <w:rsid w:val="003E2EDE"/>
    <w:rsid w:val="003E4848"/>
    <w:rsid w:val="003E4AA1"/>
    <w:rsid w:val="003E4E2F"/>
    <w:rsid w:val="003E5069"/>
    <w:rsid w:val="003E6631"/>
    <w:rsid w:val="003E71A4"/>
    <w:rsid w:val="003F016C"/>
    <w:rsid w:val="003F222E"/>
    <w:rsid w:val="003F2A45"/>
    <w:rsid w:val="003F5680"/>
    <w:rsid w:val="003F62CA"/>
    <w:rsid w:val="003F68B0"/>
    <w:rsid w:val="003F6B28"/>
    <w:rsid w:val="003F7012"/>
    <w:rsid w:val="004002A6"/>
    <w:rsid w:val="00400A25"/>
    <w:rsid w:val="00401DEB"/>
    <w:rsid w:val="00402279"/>
    <w:rsid w:val="00402C6B"/>
    <w:rsid w:val="00403751"/>
    <w:rsid w:val="00405564"/>
    <w:rsid w:val="00405AD1"/>
    <w:rsid w:val="0040697B"/>
    <w:rsid w:val="00407E26"/>
    <w:rsid w:val="00411851"/>
    <w:rsid w:val="0041533E"/>
    <w:rsid w:val="00416034"/>
    <w:rsid w:val="00416CD5"/>
    <w:rsid w:val="00417FE5"/>
    <w:rsid w:val="00422023"/>
    <w:rsid w:val="0042253F"/>
    <w:rsid w:val="00423313"/>
    <w:rsid w:val="00424216"/>
    <w:rsid w:val="00424A8E"/>
    <w:rsid w:val="00426024"/>
    <w:rsid w:val="00431891"/>
    <w:rsid w:val="00432DCB"/>
    <w:rsid w:val="0043366B"/>
    <w:rsid w:val="00433B2F"/>
    <w:rsid w:val="00434222"/>
    <w:rsid w:val="00435B81"/>
    <w:rsid w:val="00435B99"/>
    <w:rsid w:val="0044005E"/>
    <w:rsid w:val="00443BBE"/>
    <w:rsid w:val="00444CBD"/>
    <w:rsid w:val="00446889"/>
    <w:rsid w:val="00446A1D"/>
    <w:rsid w:val="00447DB7"/>
    <w:rsid w:val="0045048E"/>
    <w:rsid w:val="00450580"/>
    <w:rsid w:val="00452879"/>
    <w:rsid w:val="00452DE4"/>
    <w:rsid w:val="00454E9F"/>
    <w:rsid w:val="00456C9A"/>
    <w:rsid w:val="00457CF5"/>
    <w:rsid w:val="00460710"/>
    <w:rsid w:val="004616F0"/>
    <w:rsid w:val="00461800"/>
    <w:rsid w:val="00461EAD"/>
    <w:rsid w:val="00462371"/>
    <w:rsid w:val="00465DD5"/>
    <w:rsid w:val="004667B4"/>
    <w:rsid w:val="0046701F"/>
    <w:rsid w:val="00467184"/>
    <w:rsid w:val="004731FE"/>
    <w:rsid w:val="0047348C"/>
    <w:rsid w:val="004755AB"/>
    <w:rsid w:val="004760F2"/>
    <w:rsid w:val="0047630A"/>
    <w:rsid w:val="00476508"/>
    <w:rsid w:val="004779AE"/>
    <w:rsid w:val="00480750"/>
    <w:rsid w:val="00481B43"/>
    <w:rsid w:val="0048238A"/>
    <w:rsid w:val="004825B1"/>
    <w:rsid w:val="00482983"/>
    <w:rsid w:val="0048497C"/>
    <w:rsid w:val="0048587E"/>
    <w:rsid w:val="00485CE3"/>
    <w:rsid w:val="00486F3B"/>
    <w:rsid w:val="00487173"/>
    <w:rsid w:val="004912CD"/>
    <w:rsid w:val="0049174F"/>
    <w:rsid w:val="0049210C"/>
    <w:rsid w:val="0049251A"/>
    <w:rsid w:val="00494474"/>
    <w:rsid w:val="00495974"/>
    <w:rsid w:val="0049657F"/>
    <w:rsid w:val="00496936"/>
    <w:rsid w:val="00496CE0"/>
    <w:rsid w:val="00497391"/>
    <w:rsid w:val="00497A3A"/>
    <w:rsid w:val="004A0E44"/>
    <w:rsid w:val="004A56E6"/>
    <w:rsid w:val="004A6E84"/>
    <w:rsid w:val="004B4294"/>
    <w:rsid w:val="004B58A3"/>
    <w:rsid w:val="004B6611"/>
    <w:rsid w:val="004B72E4"/>
    <w:rsid w:val="004B7734"/>
    <w:rsid w:val="004C12EF"/>
    <w:rsid w:val="004C175A"/>
    <w:rsid w:val="004C2DC6"/>
    <w:rsid w:val="004C2F3D"/>
    <w:rsid w:val="004C5BB6"/>
    <w:rsid w:val="004C6549"/>
    <w:rsid w:val="004C6C24"/>
    <w:rsid w:val="004C6CD0"/>
    <w:rsid w:val="004C71D4"/>
    <w:rsid w:val="004C7355"/>
    <w:rsid w:val="004D1483"/>
    <w:rsid w:val="004D2286"/>
    <w:rsid w:val="004D2C7A"/>
    <w:rsid w:val="004D4124"/>
    <w:rsid w:val="004D5510"/>
    <w:rsid w:val="004D5CC1"/>
    <w:rsid w:val="004D6623"/>
    <w:rsid w:val="004D675F"/>
    <w:rsid w:val="004E1DC9"/>
    <w:rsid w:val="004E1F59"/>
    <w:rsid w:val="004E3C57"/>
    <w:rsid w:val="004E522A"/>
    <w:rsid w:val="004E76F0"/>
    <w:rsid w:val="004F046F"/>
    <w:rsid w:val="004F0A81"/>
    <w:rsid w:val="004F1D44"/>
    <w:rsid w:val="004F4568"/>
    <w:rsid w:val="004F478F"/>
    <w:rsid w:val="004F6231"/>
    <w:rsid w:val="004F7689"/>
    <w:rsid w:val="004F787C"/>
    <w:rsid w:val="0050034D"/>
    <w:rsid w:val="00500455"/>
    <w:rsid w:val="00500654"/>
    <w:rsid w:val="00502F62"/>
    <w:rsid w:val="00507D0E"/>
    <w:rsid w:val="005106A1"/>
    <w:rsid w:val="005118CD"/>
    <w:rsid w:val="005161F7"/>
    <w:rsid w:val="0051664A"/>
    <w:rsid w:val="00516A35"/>
    <w:rsid w:val="00520A46"/>
    <w:rsid w:val="00522FB2"/>
    <w:rsid w:val="00524DC1"/>
    <w:rsid w:val="00525363"/>
    <w:rsid w:val="00527BC9"/>
    <w:rsid w:val="00530684"/>
    <w:rsid w:val="00531D72"/>
    <w:rsid w:val="005332A4"/>
    <w:rsid w:val="00533C1B"/>
    <w:rsid w:val="00535111"/>
    <w:rsid w:val="00535F18"/>
    <w:rsid w:val="00536079"/>
    <w:rsid w:val="0054042B"/>
    <w:rsid w:val="0054527D"/>
    <w:rsid w:val="00545FF9"/>
    <w:rsid w:val="00546E2E"/>
    <w:rsid w:val="00547777"/>
    <w:rsid w:val="00551BA4"/>
    <w:rsid w:val="00552989"/>
    <w:rsid w:val="00552D3A"/>
    <w:rsid w:val="00553269"/>
    <w:rsid w:val="00553490"/>
    <w:rsid w:val="005537FC"/>
    <w:rsid w:val="005550B8"/>
    <w:rsid w:val="005552C1"/>
    <w:rsid w:val="00556AF1"/>
    <w:rsid w:val="00557D09"/>
    <w:rsid w:val="00557FE3"/>
    <w:rsid w:val="00560DAC"/>
    <w:rsid w:val="00562D3F"/>
    <w:rsid w:val="005632E9"/>
    <w:rsid w:val="0056450B"/>
    <w:rsid w:val="005654EF"/>
    <w:rsid w:val="00567732"/>
    <w:rsid w:val="00572B2D"/>
    <w:rsid w:val="00573970"/>
    <w:rsid w:val="00573C9C"/>
    <w:rsid w:val="00574B59"/>
    <w:rsid w:val="00575B31"/>
    <w:rsid w:val="00575C96"/>
    <w:rsid w:val="005762A4"/>
    <w:rsid w:val="00581C3A"/>
    <w:rsid w:val="00582D8C"/>
    <w:rsid w:val="00583A52"/>
    <w:rsid w:val="00586015"/>
    <w:rsid w:val="00586640"/>
    <w:rsid w:val="005866D8"/>
    <w:rsid w:val="00590394"/>
    <w:rsid w:val="005907EA"/>
    <w:rsid w:val="00590B6B"/>
    <w:rsid w:val="00592E78"/>
    <w:rsid w:val="005942F7"/>
    <w:rsid w:val="00594354"/>
    <w:rsid w:val="00595087"/>
    <w:rsid w:val="00596EFE"/>
    <w:rsid w:val="00597503"/>
    <w:rsid w:val="005977AD"/>
    <w:rsid w:val="005A06A8"/>
    <w:rsid w:val="005A2015"/>
    <w:rsid w:val="005A28A2"/>
    <w:rsid w:val="005A3742"/>
    <w:rsid w:val="005A3903"/>
    <w:rsid w:val="005A4067"/>
    <w:rsid w:val="005A6563"/>
    <w:rsid w:val="005A6871"/>
    <w:rsid w:val="005B2190"/>
    <w:rsid w:val="005B2344"/>
    <w:rsid w:val="005B26C6"/>
    <w:rsid w:val="005B35C5"/>
    <w:rsid w:val="005B4A8D"/>
    <w:rsid w:val="005B4ABA"/>
    <w:rsid w:val="005B5B4A"/>
    <w:rsid w:val="005B7BE4"/>
    <w:rsid w:val="005C0823"/>
    <w:rsid w:val="005C0E69"/>
    <w:rsid w:val="005C2590"/>
    <w:rsid w:val="005C276A"/>
    <w:rsid w:val="005C3D1C"/>
    <w:rsid w:val="005C5086"/>
    <w:rsid w:val="005C50C6"/>
    <w:rsid w:val="005C5657"/>
    <w:rsid w:val="005C6A45"/>
    <w:rsid w:val="005D01FA"/>
    <w:rsid w:val="005D0FDD"/>
    <w:rsid w:val="005D114F"/>
    <w:rsid w:val="005D1951"/>
    <w:rsid w:val="005D260F"/>
    <w:rsid w:val="005D2682"/>
    <w:rsid w:val="005D2B98"/>
    <w:rsid w:val="005D4D3E"/>
    <w:rsid w:val="005D5894"/>
    <w:rsid w:val="005D6B38"/>
    <w:rsid w:val="005D7EBF"/>
    <w:rsid w:val="005E0CE6"/>
    <w:rsid w:val="005E31C1"/>
    <w:rsid w:val="005E3416"/>
    <w:rsid w:val="005E3600"/>
    <w:rsid w:val="005E44F0"/>
    <w:rsid w:val="005E678B"/>
    <w:rsid w:val="005E6E42"/>
    <w:rsid w:val="005E7931"/>
    <w:rsid w:val="005E7996"/>
    <w:rsid w:val="005F10DC"/>
    <w:rsid w:val="005F32C6"/>
    <w:rsid w:val="005F3A5D"/>
    <w:rsid w:val="005F3FCA"/>
    <w:rsid w:val="005F78F6"/>
    <w:rsid w:val="006029FE"/>
    <w:rsid w:val="00603788"/>
    <w:rsid w:val="006041E9"/>
    <w:rsid w:val="00606FF1"/>
    <w:rsid w:val="006103DD"/>
    <w:rsid w:val="0061275E"/>
    <w:rsid w:val="00612CCC"/>
    <w:rsid w:val="00613D34"/>
    <w:rsid w:val="00615157"/>
    <w:rsid w:val="0061521F"/>
    <w:rsid w:val="00615266"/>
    <w:rsid w:val="00615657"/>
    <w:rsid w:val="00615E74"/>
    <w:rsid w:val="006160BE"/>
    <w:rsid w:val="00617364"/>
    <w:rsid w:val="006214BE"/>
    <w:rsid w:val="00621839"/>
    <w:rsid w:val="00621F58"/>
    <w:rsid w:val="006262A7"/>
    <w:rsid w:val="00627CCF"/>
    <w:rsid w:val="00627FDA"/>
    <w:rsid w:val="00631D0E"/>
    <w:rsid w:val="00632A37"/>
    <w:rsid w:val="0063396F"/>
    <w:rsid w:val="006379BD"/>
    <w:rsid w:val="00640782"/>
    <w:rsid w:val="00640AD2"/>
    <w:rsid w:val="00643185"/>
    <w:rsid w:val="006451FF"/>
    <w:rsid w:val="0064692D"/>
    <w:rsid w:val="00651D08"/>
    <w:rsid w:val="0065206A"/>
    <w:rsid w:val="0065367B"/>
    <w:rsid w:val="00655A81"/>
    <w:rsid w:val="00655B59"/>
    <w:rsid w:val="00657B37"/>
    <w:rsid w:val="00665700"/>
    <w:rsid w:val="006670C7"/>
    <w:rsid w:val="006700DE"/>
    <w:rsid w:val="00670318"/>
    <w:rsid w:val="0067097F"/>
    <w:rsid w:val="00670C75"/>
    <w:rsid w:val="006711CF"/>
    <w:rsid w:val="00671762"/>
    <w:rsid w:val="0067198E"/>
    <w:rsid w:val="006748E1"/>
    <w:rsid w:val="0067513C"/>
    <w:rsid w:val="00676049"/>
    <w:rsid w:val="00677070"/>
    <w:rsid w:val="0068024D"/>
    <w:rsid w:val="0068027C"/>
    <w:rsid w:val="006820DE"/>
    <w:rsid w:val="006820DF"/>
    <w:rsid w:val="00684803"/>
    <w:rsid w:val="00684845"/>
    <w:rsid w:val="00687B28"/>
    <w:rsid w:val="006948FB"/>
    <w:rsid w:val="00696E24"/>
    <w:rsid w:val="006A0153"/>
    <w:rsid w:val="006A029C"/>
    <w:rsid w:val="006A0305"/>
    <w:rsid w:val="006A0665"/>
    <w:rsid w:val="006A0794"/>
    <w:rsid w:val="006A0B13"/>
    <w:rsid w:val="006A0F95"/>
    <w:rsid w:val="006A4F9F"/>
    <w:rsid w:val="006A64D0"/>
    <w:rsid w:val="006A6570"/>
    <w:rsid w:val="006A69F3"/>
    <w:rsid w:val="006A7794"/>
    <w:rsid w:val="006B05B0"/>
    <w:rsid w:val="006B061A"/>
    <w:rsid w:val="006B0B04"/>
    <w:rsid w:val="006B0B31"/>
    <w:rsid w:val="006B18C2"/>
    <w:rsid w:val="006B37BA"/>
    <w:rsid w:val="006B37BD"/>
    <w:rsid w:val="006B3C35"/>
    <w:rsid w:val="006B53A6"/>
    <w:rsid w:val="006B6299"/>
    <w:rsid w:val="006B62D5"/>
    <w:rsid w:val="006B6C4C"/>
    <w:rsid w:val="006B71BB"/>
    <w:rsid w:val="006B72BD"/>
    <w:rsid w:val="006B740F"/>
    <w:rsid w:val="006B7C98"/>
    <w:rsid w:val="006C0A36"/>
    <w:rsid w:val="006C1374"/>
    <w:rsid w:val="006C1C9A"/>
    <w:rsid w:val="006C2E71"/>
    <w:rsid w:val="006C4D3C"/>
    <w:rsid w:val="006C4EC0"/>
    <w:rsid w:val="006C5B72"/>
    <w:rsid w:val="006D2AA3"/>
    <w:rsid w:val="006D2D69"/>
    <w:rsid w:val="006D5360"/>
    <w:rsid w:val="006D54F2"/>
    <w:rsid w:val="006D60D1"/>
    <w:rsid w:val="006D786D"/>
    <w:rsid w:val="006E145D"/>
    <w:rsid w:val="006E417A"/>
    <w:rsid w:val="006E461C"/>
    <w:rsid w:val="006E572A"/>
    <w:rsid w:val="006E6BCA"/>
    <w:rsid w:val="006E7F49"/>
    <w:rsid w:val="006F01B7"/>
    <w:rsid w:val="006F1594"/>
    <w:rsid w:val="006F2EF6"/>
    <w:rsid w:val="006F41F0"/>
    <w:rsid w:val="006F49E8"/>
    <w:rsid w:val="006F5B47"/>
    <w:rsid w:val="006F76FC"/>
    <w:rsid w:val="00700A61"/>
    <w:rsid w:val="00701679"/>
    <w:rsid w:val="007058EE"/>
    <w:rsid w:val="00706238"/>
    <w:rsid w:val="00706C8C"/>
    <w:rsid w:val="00707E16"/>
    <w:rsid w:val="007100A3"/>
    <w:rsid w:val="00711800"/>
    <w:rsid w:val="00711A8C"/>
    <w:rsid w:val="00712AC9"/>
    <w:rsid w:val="00712D1D"/>
    <w:rsid w:val="007135DB"/>
    <w:rsid w:val="00715175"/>
    <w:rsid w:val="007168CF"/>
    <w:rsid w:val="00716AAD"/>
    <w:rsid w:val="007205B8"/>
    <w:rsid w:val="00721B34"/>
    <w:rsid w:val="00724ACC"/>
    <w:rsid w:val="00726F3F"/>
    <w:rsid w:val="00730431"/>
    <w:rsid w:val="00730E90"/>
    <w:rsid w:val="00730FF6"/>
    <w:rsid w:val="007322F8"/>
    <w:rsid w:val="00733172"/>
    <w:rsid w:val="00734A6B"/>
    <w:rsid w:val="00734C81"/>
    <w:rsid w:val="00735987"/>
    <w:rsid w:val="00735F56"/>
    <w:rsid w:val="00736115"/>
    <w:rsid w:val="00736D1C"/>
    <w:rsid w:val="007406AE"/>
    <w:rsid w:val="00742BC2"/>
    <w:rsid w:val="00742F99"/>
    <w:rsid w:val="007432B9"/>
    <w:rsid w:val="00743D8E"/>
    <w:rsid w:val="00750203"/>
    <w:rsid w:val="007510AE"/>
    <w:rsid w:val="007543A6"/>
    <w:rsid w:val="00754505"/>
    <w:rsid w:val="00755239"/>
    <w:rsid w:val="00761B82"/>
    <w:rsid w:val="00761E71"/>
    <w:rsid w:val="007649FA"/>
    <w:rsid w:val="0076527E"/>
    <w:rsid w:val="00765B07"/>
    <w:rsid w:val="00765F1B"/>
    <w:rsid w:val="0076630E"/>
    <w:rsid w:val="007668A0"/>
    <w:rsid w:val="00774521"/>
    <w:rsid w:val="0077527C"/>
    <w:rsid w:val="0077541B"/>
    <w:rsid w:val="00775AC8"/>
    <w:rsid w:val="0077669A"/>
    <w:rsid w:val="0077740F"/>
    <w:rsid w:val="00780F71"/>
    <w:rsid w:val="0078397E"/>
    <w:rsid w:val="007842B0"/>
    <w:rsid w:val="00784400"/>
    <w:rsid w:val="00787F66"/>
    <w:rsid w:val="0079167A"/>
    <w:rsid w:val="007922ED"/>
    <w:rsid w:val="0079403B"/>
    <w:rsid w:val="00797789"/>
    <w:rsid w:val="0079780B"/>
    <w:rsid w:val="007A01A7"/>
    <w:rsid w:val="007A7362"/>
    <w:rsid w:val="007B2DAA"/>
    <w:rsid w:val="007B6696"/>
    <w:rsid w:val="007C1C4A"/>
    <w:rsid w:val="007C306A"/>
    <w:rsid w:val="007C4716"/>
    <w:rsid w:val="007C4EBD"/>
    <w:rsid w:val="007C522B"/>
    <w:rsid w:val="007C52DB"/>
    <w:rsid w:val="007C6D6E"/>
    <w:rsid w:val="007C6E2A"/>
    <w:rsid w:val="007D191D"/>
    <w:rsid w:val="007D1D4F"/>
    <w:rsid w:val="007D3142"/>
    <w:rsid w:val="007D3E8D"/>
    <w:rsid w:val="007E0FC3"/>
    <w:rsid w:val="007E1199"/>
    <w:rsid w:val="007E20ED"/>
    <w:rsid w:val="007E3A48"/>
    <w:rsid w:val="007E5FCF"/>
    <w:rsid w:val="007E7518"/>
    <w:rsid w:val="007E792C"/>
    <w:rsid w:val="007E7CB3"/>
    <w:rsid w:val="007F19DF"/>
    <w:rsid w:val="007F2F01"/>
    <w:rsid w:val="007F53B1"/>
    <w:rsid w:val="007F5C00"/>
    <w:rsid w:val="007F5D65"/>
    <w:rsid w:val="0080018B"/>
    <w:rsid w:val="0080182B"/>
    <w:rsid w:val="0080182E"/>
    <w:rsid w:val="00801BD3"/>
    <w:rsid w:val="00803C87"/>
    <w:rsid w:val="0081076B"/>
    <w:rsid w:val="00811392"/>
    <w:rsid w:val="00811BF7"/>
    <w:rsid w:val="008131AC"/>
    <w:rsid w:val="008145BE"/>
    <w:rsid w:val="00816B1E"/>
    <w:rsid w:val="00817550"/>
    <w:rsid w:val="008229CA"/>
    <w:rsid w:val="00822E9C"/>
    <w:rsid w:val="00823F57"/>
    <w:rsid w:val="008246D1"/>
    <w:rsid w:val="00825B5E"/>
    <w:rsid w:val="00825FA8"/>
    <w:rsid w:val="00826DB7"/>
    <w:rsid w:val="0083084D"/>
    <w:rsid w:val="0083246D"/>
    <w:rsid w:val="0083323F"/>
    <w:rsid w:val="0083339D"/>
    <w:rsid w:val="00833455"/>
    <w:rsid w:val="00835229"/>
    <w:rsid w:val="00835248"/>
    <w:rsid w:val="008355FB"/>
    <w:rsid w:val="00835C97"/>
    <w:rsid w:val="0083710B"/>
    <w:rsid w:val="00841BEF"/>
    <w:rsid w:val="008427C0"/>
    <w:rsid w:val="008438AB"/>
    <w:rsid w:val="00844AF4"/>
    <w:rsid w:val="00846887"/>
    <w:rsid w:val="00847C71"/>
    <w:rsid w:val="0085006E"/>
    <w:rsid w:val="008502E5"/>
    <w:rsid w:val="00850FD7"/>
    <w:rsid w:val="0085109D"/>
    <w:rsid w:val="00854A71"/>
    <w:rsid w:val="0085539C"/>
    <w:rsid w:val="008554D8"/>
    <w:rsid w:val="008560FD"/>
    <w:rsid w:val="008563DA"/>
    <w:rsid w:val="008574FD"/>
    <w:rsid w:val="00860AB4"/>
    <w:rsid w:val="00863E46"/>
    <w:rsid w:val="00864CEC"/>
    <w:rsid w:val="00864EB4"/>
    <w:rsid w:val="00867DA3"/>
    <w:rsid w:val="00867DFD"/>
    <w:rsid w:val="00870271"/>
    <w:rsid w:val="008722FD"/>
    <w:rsid w:val="008726BA"/>
    <w:rsid w:val="00872934"/>
    <w:rsid w:val="008760A1"/>
    <w:rsid w:val="00877B3F"/>
    <w:rsid w:val="00880F1C"/>
    <w:rsid w:val="00882AF8"/>
    <w:rsid w:val="00882FCF"/>
    <w:rsid w:val="00886935"/>
    <w:rsid w:val="00886EE7"/>
    <w:rsid w:val="008875A7"/>
    <w:rsid w:val="00890088"/>
    <w:rsid w:val="0089020F"/>
    <w:rsid w:val="00890E3B"/>
    <w:rsid w:val="008929A7"/>
    <w:rsid w:val="00893AE9"/>
    <w:rsid w:val="008945C7"/>
    <w:rsid w:val="00896C7F"/>
    <w:rsid w:val="008A01E9"/>
    <w:rsid w:val="008A0261"/>
    <w:rsid w:val="008A12DB"/>
    <w:rsid w:val="008A240B"/>
    <w:rsid w:val="008A3A14"/>
    <w:rsid w:val="008A3B28"/>
    <w:rsid w:val="008A506E"/>
    <w:rsid w:val="008B27BC"/>
    <w:rsid w:val="008B5369"/>
    <w:rsid w:val="008B5A26"/>
    <w:rsid w:val="008B685D"/>
    <w:rsid w:val="008B6EAA"/>
    <w:rsid w:val="008C063C"/>
    <w:rsid w:val="008C101E"/>
    <w:rsid w:val="008C4254"/>
    <w:rsid w:val="008C499E"/>
    <w:rsid w:val="008C6330"/>
    <w:rsid w:val="008C6A23"/>
    <w:rsid w:val="008C72B2"/>
    <w:rsid w:val="008D116F"/>
    <w:rsid w:val="008D37FE"/>
    <w:rsid w:val="008D399C"/>
    <w:rsid w:val="008D40E0"/>
    <w:rsid w:val="008D6FD3"/>
    <w:rsid w:val="008E0BD2"/>
    <w:rsid w:val="008E0C1A"/>
    <w:rsid w:val="008E1815"/>
    <w:rsid w:val="008E469C"/>
    <w:rsid w:val="008E4A86"/>
    <w:rsid w:val="008E5E22"/>
    <w:rsid w:val="008E6410"/>
    <w:rsid w:val="008E6916"/>
    <w:rsid w:val="008E7314"/>
    <w:rsid w:val="008E74DE"/>
    <w:rsid w:val="008F0E78"/>
    <w:rsid w:val="008F20C7"/>
    <w:rsid w:val="008F3692"/>
    <w:rsid w:val="008F4408"/>
    <w:rsid w:val="008F6106"/>
    <w:rsid w:val="008F74B9"/>
    <w:rsid w:val="008F75F6"/>
    <w:rsid w:val="008F7B0B"/>
    <w:rsid w:val="008F7BAD"/>
    <w:rsid w:val="00902A8B"/>
    <w:rsid w:val="009039BE"/>
    <w:rsid w:val="009049E7"/>
    <w:rsid w:val="00905491"/>
    <w:rsid w:val="00906F12"/>
    <w:rsid w:val="00907FB1"/>
    <w:rsid w:val="00911490"/>
    <w:rsid w:val="00911C31"/>
    <w:rsid w:val="009125ED"/>
    <w:rsid w:val="009129B6"/>
    <w:rsid w:val="00913AA2"/>
    <w:rsid w:val="00916D24"/>
    <w:rsid w:val="009175E9"/>
    <w:rsid w:val="009178A6"/>
    <w:rsid w:val="0092336E"/>
    <w:rsid w:val="00931397"/>
    <w:rsid w:val="009343E4"/>
    <w:rsid w:val="00934EC0"/>
    <w:rsid w:val="00935C80"/>
    <w:rsid w:val="00936986"/>
    <w:rsid w:val="00936E72"/>
    <w:rsid w:val="00937414"/>
    <w:rsid w:val="00944FB8"/>
    <w:rsid w:val="00945AA9"/>
    <w:rsid w:val="0094757B"/>
    <w:rsid w:val="00950140"/>
    <w:rsid w:val="00950A09"/>
    <w:rsid w:val="00951814"/>
    <w:rsid w:val="009533B2"/>
    <w:rsid w:val="00954DF3"/>
    <w:rsid w:val="00955426"/>
    <w:rsid w:val="00956785"/>
    <w:rsid w:val="009578D4"/>
    <w:rsid w:val="00957FDD"/>
    <w:rsid w:val="009602D4"/>
    <w:rsid w:val="00962475"/>
    <w:rsid w:val="0096302D"/>
    <w:rsid w:val="00964810"/>
    <w:rsid w:val="00964C81"/>
    <w:rsid w:val="00967976"/>
    <w:rsid w:val="00971243"/>
    <w:rsid w:val="0097205D"/>
    <w:rsid w:val="00974B67"/>
    <w:rsid w:val="009771A2"/>
    <w:rsid w:val="00977CAA"/>
    <w:rsid w:val="00980ACF"/>
    <w:rsid w:val="00981154"/>
    <w:rsid w:val="00981319"/>
    <w:rsid w:val="00981AAB"/>
    <w:rsid w:val="0098270F"/>
    <w:rsid w:val="00983684"/>
    <w:rsid w:val="00984242"/>
    <w:rsid w:val="00984EE0"/>
    <w:rsid w:val="00985B31"/>
    <w:rsid w:val="00986934"/>
    <w:rsid w:val="00987B18"/>
    <w:rsid w:val="0099116C"/>
    <w:rsid w:val="00991CBA"/>
    <w:rsid w:val="00992036"/>
    <w:rsid w:val="0099281E"/>
    <w:rsid w:val="00995538"/>
    <w:rsid w:val="009A0F2F"/>
    <w:rsid w:val="009A2052"/>
    <w:rsid w:val="009A29EA"/>
    <w:rsid w:val="009A2C15"/>
    <w:rsid w:val="009A2F9D"/>
    <w:rsid w:val="009A355A"/>
    <w:rsid w:val="009A45FF"/>
    <w:rsid w:val="009A623A"/>
    <w:rsid w:val="009A6844"/>
    <w:rsid w:val="009A6F59"/>
    <w:rsid w:val="009A7CA3"/>
    <w:rsid w:val="009A7ED8"/>
    <w:rsid w:val="009B049B"/>
    <w:rsid w:val="009B7DF4"/>
    <w:rsid w:val="009C0CCC"/>
    <w:rsid w:val="009C2768"/>
    <w:rsid w:val="009C2912"/>
    <w:rsid w:val="009C36F9"/>
    <w:rsid w:val="009C63B9"/>
    <w:rsid w:val="009C7411"/>
    <w:rsid w:val="009D01E7"/>
    <w:rsid w:val="009D0A86"/>
    <w:rsid w:val="009D2E10"/>
    <w:rsid w:val="009D300E"/>
    <w:rsid w:val="009D32F1"/>
    <w:rsid w:val="009D35F0"/>
    <w:rsid w:val="009D3F68"/>
    <w:rsid w:val="009D6D7B"/>
    <w:rsid w:val="009D6F85"/>
    <w:rsid w:val="009D7234"/>
    <w:rsid w:val="009E3B9A"/>
    <w:rsid w:val="009F690B"/>
    <w:rsid w:val="00A03FD8"/>
    <w:rsid w:val="00A05866"/>
    <w:rsid w:val="00A061AB"/>
    <w:rsid w:val="00A07079"/>
    <w:rsid w:val="00A128D9"/>
    <w:rsid w:val="00A1314C"/>
    <w:rsid w:val="00A14172"/>
    <w:rsid w:val="00A1491B"/>
    <w:rsid w:val="00A14EFE"/>
    <w:rsid w:val="00A14F53"/>
    <w:rsid w:val="00A150EB"/>
    <w:rsid w:val="00A1553E"/>
    <w:rsid w:val="00A15ED8"/>
    <w:rsid w:val="00A17885"/>
    <w:rsid w:val="00A17A36"/>
    <w:rsid w:val="00A20A0F"/>
    <w:rsid w:val="00A20CCE"/>
    <w:rsid w:val="00A20E98"/>
    <w:rsid w:val="00A21020"/>
    <w:rsid w:val="00A2210A"/>
    <w:rsid w:val="00A23A2E"/>
    <w:rsid w:val="00A23A3F"/>
    <w:rsid w:val="00A24752"/>
    <w:rsid w:val="00A257AD"/>
    <w:rsid w:val="00A25A16"/>
    <w:rsid w:val="00A265CC"/>
    <w:rsid w:val="00A316BA"/>
    <w:rsid w:val="00A31D5E"/>
    <w:rsid w:val="00A31F53"/>
    <w:rsid w:val="00A323C8"/>
    <w:rsid w:val="00A32625"/>
    <w:rsid w:val="00A32B8D"/>
    <w:rsid w:val="00A330D1"/>
    <w:rsid w:val="00A366C1"/>
    <w:rsid w:val="00A37B01"/>
    <w:rsid w:val="00A41659"/>
    <w:rsid w:val="00A4199E"/>
    <w:rsid w:val="00A43DE3"/>
    <w:rsid w:val="00A448F8"/>
    <w:rsid w:val="00A44C74"/>
    <w:rsid w:val="00A45C1B"/>
    <w:rsid w:val="00A45DB2"/>
    <w:rsid w:val="00A4635F"/>
    <w:rsid w:val="00A47634"/>
    <w:rsid w:val="00A5018D"/>
    <w:rsid w:val="00A504AC"/>
    <w:rsid w:val="00A50A03"/>
    <w:rsid w:val="00A523D4"/>
    <w:rsid w:val="00A524F3"/>
    <w:rsid w:val="00A5403B"/>
    <w:rsid w:val="00A5542E"/>
    <w:rsid w:val="00A56993"/>
    <w:rsid w:val="00A60E44"/>
    <w:rsid w:val="00A61267"/>
    <w:rsid w:val="00A62D37"/>
    <w:rsid w:val="00A63AF4"/>
    <w:rsid w:val="00A63E92"/>
    <w:rsid w:val="00A65A1A"/>
    <w:rsid w:val="00A666D6"/>
    <w:rsid w:val="00A7029D"/>
    <w:rsid w:val="00A70C76"/>
    <w:rsid w:val="00A710A1"/>
    <w:rsid w:val="00A732CB"/>
    <w:rsid w:val="00A74786"/>
    <w:rsid w:val="00A7611C"/>
    <w:rsid w:val="00A77AB0"/>
    <w:rsid w:val="00A77E50"/>
    <w:rsid w:val="00A83921"/>
    <w:rsid w:val="00A8706F"/>
    <w:rsid w:val="00A90662"/>
    <w:rsid w:val="00A906BD"/>
    <w:rsid w:val="00A90CAF"/>
    <w:rsid w:val="00A911CD"/>
    <w:rsid w:val="00A940DD"/>
    <w:rsid w:val="00A9465D"/>
    <w:rsid w:val="00A94B75"/>
    <w:rsid w:val="00A94CA9"/>
    <w:rsid w:val="00A960E5"/>
    <w:rsid w:val="00A96780"/>
    <w:rsid w:val="00AA2073"/>
    <w:rsid w:val="00AA22A0"/>
    <w:rsid w:val="00AA32CF"/>
    <w:rsid w:val="00AA512F"/>
    <w:rsid w:val="00AA635B"/>
    <w:rsid w:val="00AA64AA"/>
    <w:rsid w:val="00AA7CA5"/>
    <w:rsid w:val="00AB0CE4"/>
    <w:rsid w:val="00AB2D4D"/>
    <w:rsid w:val="00AB2EBD"/>
    <w:rsid w:val="00AB2F45"/>
    <w:rsid w:val="00AB3DC1"/>
    <w:rsid w:val="00AB618A"/>
    <w:rsid w:val="00AB65E9"/>
    <w:rsid w:val="00AC1248"/>
    <w:rsid w:val="00AC184C"/>
    <w:rsid w:val="00AC1F91"/>
    <w:rsid w:val="00AC2D7F"/>
    <w:rsid w:val="00AC3488"/>
    <w:rsid w:val="00AC3BCF"/>
    <w:rsid w:val="00AC424D"/>
    <w:rsid w:val="00AC4C81"/>
    <w:rsid w:val="00AC69C8"/>
    <w:rsid w:val="00AC69FB"/>
    <w:rsid w:val="00AC6E3C"/>
    <w:rsid w:val="00AC7779"/>
    <w:rsid w:val="00AD022F"/>
    <w:rsid w:val="00AD22A5"/>
    <w:rsid w:val="00AD2DD5"/>
    <w:rsid w:val="00AD3F57"/>
    <w:rsid w:val="00AD5249"/>
    <w:rsid w:val="00AD5CE7"/>
    <w:rsid w:val="00AD68DE"/>
    <w:rsid w:val="00AD6F9F"/>
    <w:rsid w:val="00AD7A66"/>
    <w:rsid w:val="00AE00D4"/>
    <w:rsid w:val="00AE0253"/>
    <w:rsid w:val="00AE0304"/>
    <w:rsid w:val="00AE0D16"/>
    <w:rsid w:val="00AE19A7"/>
    <w:rsid w:val="00AE2BE1"/>
    <w:rsid w:val="00AE3209"/>
    <w:rsid w:val="00AE3E4F"/>
    <w:rsid w:val="00AE6678"/>
    <w:rsid w:val="00AE68DE"/>
    <w:rsid w:val="00AF1805"/>
    <w:rsid w:val="00AF2C45"/>
    <w:rsid w:val="00AF311A"/>
    <w:rsid w:val="00AF476D"/>
    <w:rsid w:val="00AF4B25"/>
    <w:rsid w:val="00AF4E72"/>
    <w:rsid w:val="00AF5AD9"/>
    <w:rsid w:val="00AF6019"/>
    <w:rsid w:val="00B013DC"/>
    <w:rsid w:val="00B02481"/>
    <w:rsid w:val="00B02B68"/>
    <w:rsid w:val="00B04A31"/>
    <w:rsid w:val="00B055B4"/>
    <w:rsid w:val="00B0627A"/>
    <w:rsid w:val="00B0681C"/>
    <w:rsid w:val="00B07B18"/>
    <w:rsid w:val="00B10579"/>
    <w:rsid w:val="00B11463"/>
    <w:rsid w:val="00B1148A"/>
    <w:rsid w:val="00B12106"/>
    <w:rsid w:val="00B158AC"/>
    <w:rsid w:val="00B163A3"/>
    <w:rsid w:val="00B17838"/>
    <w:rsid w:val="00B22292"/>
    <w:rsid w:val="00B23147"/>
    <w:rsid w:val="00B23EB0"/>
    <w:rsid w:val="00B24942"/>
    <w:rsid w:val="00B254E4"/>
    <w:rsid w:val="00B25538"/>
    <w:rsid w:val="00B25D78"/>
    <w:rsid w:val="00B26504"/>
    <w:rsid w:val="00B27E6B"/>
    <w:rsid w:val="00B27F13"/>
    <w:rsid w:val="00B30890"/>
    <w:rsid w:val="00B30E2D"/>
    <w:rsid w:val="00B3242A"/>
    <w:rsid w:val="00B329B7"/>
    <w:rsid w:val="00B33B45"/>
    <w:rsid w:val="00B3489F"/>
    <w:rsid w:val="00B34DD2"/>
    <w:rsid w:val="00B350AE"/>
    <w:rsid w:val="00B3521D"/>
    <w:rsid w:val="00B37669"/>
    <w:rsid w:val="00B40DEC"/>
    <w:rsid w:val="00B42543"/>
    <w:rsid w:val="00B425F1"/>
    <w:rsid w:val="00B42641"/>
    <w:rsid w:val="00B42DC7"/>
    <w:rsid w:val="00B43BBE"/>
    <w:rsid w:val="00B43E9D"/>
    <w:rsid w:val="00B4402A"/>
    <w:rsid w:val="00B448CA"/>
    <w:rsid w:val="00B478F1"/>
    <w:rsid w:val="00B50A27"/>
    <w:rsid w:val="00B52BD3"/>
    <w:rsid w:val="00B53989"/>
    <w:rsid w:val="00B557DE"/>
    <w:rsid w:val="00B604CA"/>
    <w:rsid w:val="00B62811"/>
    <w:rsid w:val="00B6305D"/>
    <w:rsid w:val="00B63C58"/>
    <w:rsid w:val="00B67C49"/>
    <w:rsid w:val="00B727DA"/>
    <w:rsid w:val="00B73343"/>
    <w:rsid w:val="00B741D4"/>
    <w:rsid w:val="00B77847"/>
    <w:rsid w:val="00B82696"/>
    <w:rsid w:val="00B82BD2"/>
    <w:rsid w:val="00B83005"/>
    <w:rsid w:val="00B8345C"/>
    <w:rsid w:val="00B83A84"/>
    <w:rsid w:val="00B83BA2"/>
    <w:rsid w:val="00B83C37"/>
    <w:rsid w:val="00B83CCF"/>
    <w:rsid w:val="00B86559"/>
    <w:rsid w:val="00B86D9D"/>
    <w:rsid w:val="00B9210F"/>
    <w:rsid w:val="00B92BD1"/>
    <w:rsid w:val="00B92E12"/>
    <w:rsid w:val="00B973CF"/>
    <w:rsid w:val="00B97EBC"/>
    <w:rsid w:val="00BA7275"/>
    <w:rsid w:val="00BB0ADE"/>
    <w:rsid w:val="00BB2ED3"/>
    <w:rsid w:val="00BB410B"/>
    <w:rsid w:val="00BB58E6"/>
    <w:rsid w:val="00BB5D58"/>
    <w:rsid w:val="00BB7BD9"/>
    <w:rsid w:val="00BC0C59"/>
    <w:rsid w:val="00BC15B0"/>
    <w:rsid w:val="00BC2B55"/>
    <w:rsid w:val="00BC2EF2"/>
    <w:rsid w:val="00BC30E7"/>
    <w:rsid w:val="00BC49B7"/>
    <w:rsid w:val="00BC4CA5"/>
    <w:rsid w:val="00BC67A5"/>
    <w:rsid w:val="00BC7CF0"/>
    <w:rsid w:val="00BD0696"/>
    <w:rsid w:val="00BD0E86"/>
    <w:rsid w:val="00BD2675"/>
    <w:rsid w:val="00BD3004"/>
    <w:rsid w:val="00BD5290"/>
    <w:rsid w:val="00BD693E"/>
    <w:rsid w:val="00BD76F6"/>
    <w:rsid w:val="00BD7F43"/>
    <w:rsid w:val="00BE05A7"/>
    <w:rsid w:val="00BE1B7B"/>
    <w:rsid w:val="00BE2183"/>
    <w:rsid w:val="00BE28BF"/>
    <w:rsid w:val="00BE3C41"/>
    <w:rsid w:val="00BE4EB4"/>
    <w:rsid w:val="00BE608F"/>
    <w:rsid w:val="00BF026D"/>
    <w:rsid w:val="00BF04FB"/>
    <w:rsid w:val="00BF13E7"/>
    <w:rsid w:val="00BF2E38"/>
    <w:rsid w:val="00BF4322"/>
    <w:rsid w:val="00BF5772"/>
    <w:rsid w:val="00BF7AB3"/>
    <w:rsid w:val="00C0069D"/>
    <w:rsid w:val="00C007F9"/>
    <w:rsid w:val="00C00BBC"/>
    <w:rsid w:val="00C00C13"/>
    <w:rsid w:val="00C00E05"/>
    <w:rsid w:val="00C01B1F"/>
    <w:rsid w:val="00C01D1F"/>
    <w:rsid w:val="00C022F4"/>
    <w:rsid w:val="00C02C0C"/>
    <w:rsid w:val="00C02CDC"/>
    <w:rsid w:val="00C03615"/>
    <w:rsid w:val="00C070E8"/>
    <w:rsid w:val="00C07D48"/>
    <w:rsid w:val="00C144F9"/>
    <w:rsid w:val="00C1546B"/>
    <w:rsid w:val="00C173FE"/>
    <w:rsid w:val="00C17EDC"/>
    <w:rsid w:val="00C203C9"/>
    <w:rsid w:val="00C20E90"/>
    <w:rsid w:val="00C211E1"/>
    <w:rsid w:val="00C21DB7"/>
    <w:rsid w:val="00C2299E"/>
    <w:rsid w:val="00C22B5A"/>
    <w:rsid w:val="00C25031"/>
    <w:rsid w:val="00C25226"/>
    <w:rsid w:val="00C260F4"/>
    <w:rsid w:val="00C2723F"/>
    <w:rsid w:val="00C2743B"/>
    <w:rsid w:val="00C303BB"/>
    <w:rsid w:val="00C3150B"/>
    <w:rsid w:val="00C34139"/>
    <w:rsid w:val="00C34597"/>
    <w:rsid w:val="00C34630"/>
    <w:rsid w:val="00C40D9E"/>
    <w:rsid w:val="00C41263"/>
    <w:rsid w:val="00C42B40"/>
    <w:rsid w:val="00C432D9"/>
    <w:rsid w:val="00C439B7"/>
    <w:rsid w:val="00C43EE1"/>
    <w:rsid w:val="00C46377"/>
    <w:rsid w:val="00C479D3"/>
    <w:rsid w:val="00C52505"/>
    <w:rsid w:val="00C53450"/>
    <w:rsid w:val="00C56F8D"/>
    <w:rsid w:val="00C57C08"/>
    <w:rsid w:val="00C62423"/>
    <w:rsid w:val="00C6365F"/>
    <w:rsid w:val="00C63665"/>
    <w:rsid w:val="00C6451A"/>
    <w:rsid w:val="00C64697"/>
    <w:rsid w:val="00C653D6"/>
    <w:rsid w:val="00C659F7"/>
    <w:rsid w:val="00C66218"/>
    <w:rsid w:val="00C66B96"/>
    <w:rsid w:val="00C6714F"/>
    <w:rsid w:val="00C67203"/>
    <w:rsid w:val="00C673B3"/>
    <w:rsid w:val="00C74D6E"/>
    <w:rsid w:val="00C767ED"/>
    <w:rsid w:val="00C77097"/>
    <w:rsid w:val="00C77F04"/>
    <w:rsid w:val="00C805BD"/>
    <w:rsid w:val="00C81E82"/>
    <w:rsid w:val="00C853D6"/>
    <w:rsid w:val="00C86D98"/>
    <w:rsid w:val="00C86F27"/>
    <w:rsid w:val="00C9020A"/>
    <w:rsid w:val="00C90ED8"/>
    <w:rsid w:val="00C912D9"/>
    <w:rsid w:val="00C9476C"/>
    <w:rsid w:val="00C953BD"/>
    <w:rsid w:val="00C96A66"/>
    <w:rsid w:val="00C975BA"/>
    <w:rsid w:val="00CA01AA"/>
    <w:rsid w:val="00CA1B17"/>
    <w:rsid w:val="00CA1D1B"/>
    <w:rsid w:val="00CA22C4"/>
    <w:rsid w:val="00CA503A"/>
    <w:rsid w:val="00CA5AA0"/>
    <w:rsid w:val="00CA5E3F"/>
    <w:rsid w:val="00CA5F06"/>
    <w:rsid w:val="00CA619C"/>
    <w:rsid w:val="00CA6EE9"/>
    <w:rsid w:val="00CB0245"/>
    <w:rsid w:val="00CB089C"/>
    <w:rsid w:val="00CB1EE6"/>
    <w:rsid w:val="00CB2F93"/>
    <w:rsid w:val="00CB59C6"/>
    <w:rsid w:val="00CC0876"/>
    <w:rsid w:val="00CC25E2"/>
    <w:rsid w:val="00CC2957"/>
    <w:rsid w:val="00CC318C"/>
    <w:rsid w:val="00CC3FB0"/>
    <w:rsid w:val="00CC54B1"/>
    <w:rsid w:val="00CC6C1E"/>
    <w:rsid w:val="00CC6FB1"/>
    <w:rsid w:val="00CC72EC"/>
    <w:rsid w:val="00CD02C8"/>
    <w:rsid w:val="00CD0DE6"/>
    <w:rsid w:val="00CD1248"/>
    <w:rsid w:val="00CD317C"/>
    <w:rsid w:val="00CD4712"/>
    <w:rsid w:val="00CD4A58"/>
    <w:rsid w:val="00CD5128"/>
    <w:rsid w:val="00CD5208"/>
    <w:rsid w:val="00CE138C"/>
    <w:rsid w:val="00CE2496"/>
    <w:rsid w:val="00CE2E77"/>
    <w:rsid w:val="00CE409B"/>
    <w:rsid w:val="00CE5060"/>
    <w:rsid w:val="00CE731E"/>
    <w:rsid w:val="00CF0343"/>
    <w:rsid w:val="00CF072C"/>
    <w:rsid w:val="00CF0B70"/>
    <w:rsid w:val="00CF3B20"/>
    <w:rsid w:val="00CF5EC7"/>
    <w:rsid w:val="00CF5FC4"/>
    <w:rsid w:val="00CF61B3"/>
    <w:rsid w:val="00CF62B0"/>
    <w:rsid w:val="00D0038B"/>
    <w:rsid w:val="00D0225F"/>
    <w:rsid w:val="00D02486"/>
    <w:rsid w:val="00D02A1A"/>
    <w:rsid w:val="00D0307C"/>
    <w:rsid w:val="00D04223"/>
    <w:rsid w:val="00D060AD"/>
    <w:rsid w:val="00D070E4"/>
    <w:rsid w:val="00D07292"/>
    <w:rsid w:val="00D120ED"/>
    <w:rsid w:val="00D130AA"/>
    <w:rsid w:val="00D17978"/>
    <w:rsid w:val="00D2084E"/>
    <w:rsid w:val="00D22DF4"/>
    <w:rsid w:val="00D23614"/>
    <w:rsid w:val="00D23CCB"/>
    <w:rsid w:val="00D23F25"/>
    <w:rsid w:val="00D24D98"/>
    <w:rsid w:val="00D25BA5"/>
    <w:rsid w:val="00D25E26"/>
    <w:rsid w:val="00D26499"/>
    <w:rsid w:val="00D2737F"/>
    <w:rsid w:val="00D2746C"/>
    <w:rsid w:val="00D27A60"/>
    <w:rsid w:val="00D27ADF"/>
    <w:rsid w:val="00D27CBB"/>
    <w:rsid w:val="00D30F41"/>
    <w:rsid w:val="00D31C46"/>
    <w:rsid w:val="00D333F3"/>
    <w:rsid w:val="00D33534"/>
    <w:rsid w:val="00D347A7"/>
    <w:rsid w:val="00D355C4"/>
    <w:rsid w:val="00D35A40"/>
    <w:rsid w:val="00D3687F"/>
    <w:rsid w:val="00D3696F"/>
    <w:rsid w:val="00D3721D"/>
    <w:rsid w:val="00D40F86"/>
    <w:rsid w:val="00D40FA5"/>
    <w:rsid w:val="00D41E33"/>
    <w:rsid w:val="00D4273F"/>
    <w:rsid w:val="00D44396"/>
    <w:rsid w:val="00D44DA8"/>
    <w:rsid w:val="00D4533F"/>
    <w:rsid w:val="00D455FF"/>
    <w:rsid w:val="00D45691"/>
    <w:rsid w:val="00D45F92"/>
    <w:rsid w:val="00D47F51"/>
    <w:rsid w:val="00D50F5A"/>
    <w:rsid w:val="00D52447"/>
    <w:rsid w:val="00D5481B"/>
    <w:rsid w:val="00D560A1"/>
    <w:rsid w:val="00D577A8"/>
    <w:rsid w:val="00D57B59"/>
    <w:rsid w:val="00D621B0"/>
    <w:rsid w:val="00D63287"/>
    <w:rsid w:val="00D634B8"/>
    <w:rsid w:val="00D63753"/>
    <w:rsid w:val="00D63AA5"/>
    <w:rsid w:val="00D65826"/>
    <w:rsid w:val="00D66133"/>
    <w:rsid w:val="00D70723"/>
    <w:rsid w:val="00D71297"/>
    <w:rsid w:val="00D72988"/>
    <w:rsid w:val="00D73E09"/>
    <w:rsid w:val="00D74532"/>
    <w:rsid w:val="00D7773D"/>
    <w:rsid w:val="00D800B2"/>
    <w:rsid w:val="00D804FB"/>
    <w:rsid w:val="00D811E9"/>
    <w:rsid w:val="00D8149D"/>
    <w:rsid w:val="00D814E0"/>
    <w:rsid w:val="00D8677A"/>
    <w:rsid w:val="00D86826"/>
    <w:rsid w:val="00D9077C"/>
    <w:rsid w:val="00D90EBD"/>
    <w:rsid w:val="00D9414B"/>
    <w:rsid w:val="00D9566C"/>
    <w:rsid w:val="00D957B3"/>
    <w:rsid w:val="00D970BB"/>
    <w:rsid w:val="00D97E7E"/>
    <w:rsid w:val="00DA12CA"/>
    <w:rsid w:val="00DA20EA"/>
    <w:rsid w:val="00DA5023"/>
    <w:rsid w:val="00DA5761"/>
    <w:rsid w:val="00DA58D5"/>
    <w:rsid w:val="00DA6AB7"/>
    <w:rsid w:val="00DA6FA4"/>
    <w:rsid w:val="00DB1F5F"/>
    <w:rsid w:val="00DB3B61"/>
    <w:rsid w:val="00DB4608"/>
    <w:rsid w:val="00DC089D"/>
    <w:rsid w:val="00DC116F"/>
    <w:rsid w:val="00DC2429"/>
    <w:rsid w:val="00DC40A3"/>
    <w:rsid w:val="00DD077C"/>
    <w:rsid w:val="00DD0F2D"/>
    <w:rsid w:val="00DD2EC2"/>
    <w:rsid w:val="00DD34BC"/>
    <w:rsid w:val="00DD58EA"/>
    <w:rsid w:val="00DD5F08"/>
    <w:rsid w:val="00DE12A1"/>
    <w:rsid w:val="00DE1A11"/>
    <w:rsid w:val="00DE2848"/>
    <w:rsid w:val="00DE31C6"/>
    <w:rsid w:val="00DE3F9B"/>
    <w:rsid w:val="00DE4EE6"/>
    <w:rsid w:val="00DE5F13"/>
    <w:rsid w:val="00DE7936"/>
    <w:rsid w:val="00DF4902"/>
    <w:rsid w:val="00DF4E62"/>
    <w:rsid w:val="00DF502D"/>
    <w:rsid w:val="00DF5559"/>
    <w:rsid w:val="00DF76D8"/>
    <w:rsid w:val="00E0148C"/>
    <w:rsid w:val="00E04F1C"/>
    <w:rsid w:val="00E05BAD"/>
    <w:rsid w:val="00E12E78"/>
    <w:rsid w:val="00E14417"/>
    <w:rsid w:val="00E15AB5"/>
    <w:rsid w:val="00E15F5B"/>
    <w:rsid w:val="00E16343"/>
    <w:rsid w:val="00E1637E"/>
    <w:rsid w:val="00E17639"/>
    <w:rsid w:val="00E208D9"/>
    <w:rsid w:val="00E2150D"/>
    <w:rsid w:val="00E22338"/>
    <w:rsid w:val="00E24661"/>
    <w:rsid w:val="00E24839"/>
    <w:rsid w:val="00E250E7"/>
    <w:rsid w:val="00E25F94"/>
    <w:rsid w:val="00E26D36"/>
    <w:rsid w:val="00E311AF"/>
    <w:rsid w:val="00E3136A"/>
    <w:rsid w:val="00E31838"/>
    <w:rsid w:val="00E32BCB"/>
    <w:rsid w:val="00E33CC2"/>
    <w:rsid w:val="00E35BC8"/>
    <w:rsid w:val="00E36180"/>
    <w:rsid w:val="00E41094"/>
    <w:rsid w:val="00E42523"/>
    <w:rsid w:val="00E43F41"/>
    <w:rsid w:val="00E45801"/>
    <w:rsid w:val="00E458C7"/>
    <w:rsid w:val="00E4664F"/>
    <w:rsid w:val="00E46D6A"/>
    <w:rsid w:val="00E46FB0"/>
    <w:rsid w:val="00E47D30"/>
    <w:rsid w:val="00E52A95"/>
    <w:rsid w:val="00E52CCC"/>
    <w:rsid w:val="00E53E6A"/>
    <w:rsid w:val="00E5435C"/>
    <w:rsid w:val="00E55398"/>
    <w:rsid w:val="00E55CFB"/>
    <w:rsid w:val="00E5754C"/>
    <w:rsid w:val="00E60F11"/>
    <w:rsid w:val="00E652D9"/>
    <w:rsid w:val="00E6532C"/>
    <w:rsid w:val="00E6570C"/>
    <w:rsid w:val="00E65C51"/>
    <w:rsid w:val="00E6709C"/>
    <w:rsid w:val="00E73959"/>
    <w:rsid w:val="00E73BFF"/>
    <w:rsid w:val="00E74088"/>
    <w:rsid w:val="00E75338"/>
    <w:rsid w:val="00E762FD"/>
    <w:rsid w:val="00E76737"/>
    <w:rsid w:val="00E7688F"/>
    <w:rsid w:val="00E80913"/>
    <w:rsid w:val="00E81802"/>
    <w:rsid w:val="00E82BD7"/>
    <w:rsid w:val="00E861DA"/>
    <w:rsid w:val="00E86584"/>
    <w:rsid w:val="00E869BB"/>
    <w:rsid w:val="00E8717D"/>
    <w:rsid w:val="00E87D19"/>
    <w:rsid w:val="00E906BB"/>
    <w:rsid w:val="00E908FC"/>
    <w:rsid w:val="00E912C9"/>
    <w:rsid w:val="00E91AB1"/>
    <w:rsid w:val="00E92859"/>
    <w:rsid w:val="00E92C0E"/>
    <w:rsid w:val="00E94070"/>
    <w:rsid w:val="00E9544E"/>
    <w:rsid w:val="00E96F96"/>
    <w:rsid w:val="00EA0195"/>
    <w:rsid w:val="00EA0621"/>
    <w:rsid w:val="00EA14CE"/>
    <w:rsid w:val="00EA2372"/>
    <w:rsid w:val="00EA24F0"/>
    <w:rsid w:val="00EA4559"/>
    <w:rsid w:val="00EA5F2E"/>
    <w:rsid w:val="00EA6CFF"/>
    <w:rsid w:val="00EA75E0"/>
    <w:rsid w:val="00EB0D73"/>
    <w:rsid w:val="00EB18AD"/>
    <w:rsid w:val="00EB3382"/>
    <w:rsid w:val="00EB357B"/>
    <w:rsid w:val="00EB3B6E"/>
    <w:rsid w:val="00EB4B0F"/>
    <w:rsid w:val="00EB4E87"/>
    <w:rsid w:val="00EB4EF5"/>
    <w:rsid w:val="00EB5D04"/>
    <w:rsid w:val="00EB60D5"/>
    <w:rsid w:val="00EB6403"/>
    <w:rsid w:val="00EB7082"/>
    <w:rsid w:val="00EC0989"/>
    <w:rsid w:val="00EC1F7C"/>
    <w:rsid w:val="00EC2A42"/>
    <w:rsid w:val="00EC485C"/>
    <w:rsid w:val="00EC50E0"/>
    <w:rsid w:val="00EC52B3"/>
    <w:rsid w:val="00EC54D6"/>
    <w:rsid w:val="00EC6C49"/>
    <w:rsid w:val="00ED08AB"/>
    <w:rsid w:val="00ED2769"/>
    <w:rsid w:val="00ED2D71"/>
    <w:rsid w:val="00ED4FFA"/>
    <w:rsid w:val="00ED5E18"/>
    <w:rsid w:val="00ED644E"/>
    <w:rsid w:val="00ED66ED"/>
    <w:rsid w:val="00ED6C78"/>
    <w:rsid w:val="00EE0058"/>
    <w:rsid w:val="00EE0E1B"/>
    <w:rsid w:val="00EE18E6"/>
    <w:rsid w:val="00EE4AE7"/>
    <w:rsid w:val="00EE4B2C"/>
    <w:rsid w:val="00EF02FE"/>
    <w:rsid w:val="00EF1F23"/>
    <w:rsid w:val="00EF316C"/>
    <w:rsid w:val="00EF37A6"/>
    <w:rsid w:val="00EF4E9F"/>
    <w:rsid w:val="00EF5834"/>
    <w:rsid w:val="00F012FD"/>
    <w:rsid w:val="00F049EC"/>
    <w:rsid w:val="00F05D0B"/>
    <w:rsid w:val="00F06952"/>
    <w:rsid w:val="00F11B00"/>
    <w:rsid w:val="00F1410D"/>
    <w:rsid w:val="00F145C3"/>
    <w:rsid w:val="00F14731"/>
    <w:rsid w:val="00F14AB1"/>
    <w:rsid w:val="00F1507A"/>
    <w:rsid w:val="00F20C2F"/>
    <w:rsid w:val="00F21CCF"/>
    <w:rsid w:val="00F2432A"/>
    <w:rsid w:val="00F2521E"/>
    <w:rsid w:val="00F25A93"/>
    <w:rsid w:val="00F27D45"/>
    <w:rsid w:val="00F3125F"/>
    <w:rsid w:val="00F31B31"/>
    <w:rsid w:val="00F32AB7"/>
    <w:rsid w:val="00F32C98"/>
    <w:rsid w:val="00F343CF"/>
    <w:rsid w:val="00F34AC6"/>
    <w:rsid w:val="00F3665D"/>
    <w:rsid w:val="00F37139"/>
    <w:rsid w:val="00F37E8A"/>
    <w:rsid w:val="00F4037F"/>
    <w:rsid w:val="00F4056F"/>
    <w:rsid w:val="00F410AC"/>
    <w:rsid w:val="00F416AE"/>
    <w:rsid w:val="00F41B2D"/>
    <w:rsid w:val="00F4531E"/>
    <w:rsid w:val="00F45D66"/>
    <w:rsid w:val="00F53FD1"/>
    <w:rsid w:val="00F55768"/>
    <w:rsid w:val="00F62408"/>
    <w:rsid w:val="00F62747"/>
    <w:rsid w:val="00F62A34"/>
    <w:rsid w:val="00F6667E"/>
    <w:rsid w:val="00F66686"/>
    <w:rsid w:val="00F6668D"/>
    <w:rsid w:val="00F67455"/>
    <w:rsid w:val="00F71800"/>
    <w:rsid w:val="00F71926"/>
    <w:rsid w:val="00F7237E"/>
    <w:rsid w:val="00F7272A"/>
    <w:rsid w:val="00F750AC"/>
    <w:rsid w:val="00F7660F"/>
    <w:rsid w:val="00F77774"/>
    <w:rsid w:val="00F80A68"/>
    <w:rsid w:val="00F81530"/>
    <w:rsid w:val="00F818EA"/>
    <w:rsid w:val="00F84721"/>
    <w:rsid w:val="00F84D80"/>
    <w:rsid w:val="00F87F47"/>
    <w:rsid w:val="00F94BFF"/>
    <w:rsid w:val="00F958A5"/>
    <w:rsid w:val="00F95F52"/>
    <w:rsid w:val="00F96531"/>
    <w:rsid w:val="00FA49FD"/>
    <w:rsid w:val="00FA4D59"/>
    <w:rsid w:val="00FA4D76"/>
    <w:rsid w:val="00FA4FDB"/>
    <w:rsid w:val="00FA7DAA"/>
    <w:rsid w:val="00FB132A"/>
    <w:rsid w:val="00FB2D5E"/>
    <w:rsid w:val="00FB3682"/>
    <w:rsid w:val="00FB511F"/>
    <w:rsid w:val="00FB58F5"/>
    <w:rsid w:val="00FB5DE6"/>
    <w:rsid w:val="00FC09EA"/>
    <w:rsid w:val="00FC20CF"/>
    <w:rsid w:val="00FC42DE"/>
    <w:rsid w:val="00FD1152"/>
    <w:rsid w:val="00FD363D"/>
    <w:rsid w:val="00FD3CD3"/>
    <w:rsid w:val="00FD477C"/>
    <w:rsid w:val="00FD582E"/>
    <w:rsid w:val="00FD682B"/>
    <w:rsid w:val="00FD7A6E"/>
    <w:rsid w:val="00FD7D5F"/>
    <w:rsid w:val="00FE0FD8"/>
    <w:rsid w:val="00FE5696"/>
    <w:rsid w:val="00FE647A"/>
    <w:rsid w:val="00FF0C12"/>
    <w:rsid w:val="00FF0C1D"/>
    <w:rsid w:val="00FF0EFC"/>
    <w:rsid w:val="00FF23E5"/>
    <w:rsid w:val="00FF2954"/>
    <w:rsid w:val="00FF2F44"/>
    <w:rsid w:val="00FF30AF"/>
    <w:rsid w:val="00FF3882"/>
    <w:rsid w:val="00FF5337"/>
    <w:rsid w:val="00FF5830"/>
    <w:rsid w:val="00FF6B9C"/>
    <w:rsid w:val="00FF6CC0"/>
    <w:rsid w:val="00FF72D9"/>
    <w:rsid w:val="00FF76DF"/>
    <w:rsid w:val="00FF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557FF9"/>
  <w15:docId w15:val="{C8BA26CF-50AD-4F13-9449-76E0C35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3C1E"/>
    <w:rPr>
      <w:rFonts w:ascii="Arial" w:hAnsi="Arial"/>
      <w:sz w:val="24"/>
      <w:szCs w:val="24"/>
    </w:rPr>
  </w:style>
  <w:style w:type="paragraph" w:styleId="Heading1">
    <w:name w:val="heading 1"/>
    <w:basedOn w:val="Normal"/>
    <w:next w:val="Normal"/>
    <w:qFormat/>
    <w:rsid w:val="003C3C1E"/>
    <w:pPr>
      <w:keepNext/>
      <w:jc w:val="right"/>
      <w:outlineLvl w:val="0"/>
    </w:pPr>
    <w:rPr>
      <w:b/>
    </w:rPr>
  </w:style>
  <w:style w:type="paragraph" w:styleId="Heading2">
    <w:name w:val="heading 2"/>
    <w:basedOn w:val="Normal"/>
    <w:next w:val="Normal"/>
    <w:qFormat/>
    <w:rsid w:val="003C3C1E"/>
    <w:pPr>
      <w:keepNext/>
      <w:jc w:val="center"/>
      <w:outlineLvl w:val="1"/>
    </w:pPr>
    <w:rPr>
      <w:b/>
      <w:u w:val="single"/>
    </w:rPr>
  </w:style>
  <w:style w:type="paragraph" w:styleId="Heading3">
    <w:name w:val="heading 3"/>
    <w:basedOn w:val="Normal"/>
    <w:next w:val="Normal"/>
    <w:qFormat/>
    <w:rsid w:val="003C3C1E"/>
    <w:pPr>
      <w:keepNext/>
      <w:outlineLvl w:val="2"/>
    </w:pPr>
    <w:rPr>
      <w:b/>
    </w:rPr>
  </w:style>
  <w:style w:type="paragraph" w:styleId="Heading4">
    <w:name w:val="heading 4"/>
    <w:basedOn w:val="Normal"/>
    <w:next w:val="Normal"/>
    <w:qFormat/>
    <w:rsid w:val="003C3C1E"/>
    <w:pPr>
      <w:keepNext/>
      <w:outlineLvl w:val="3"/>
    </w:pPr>
    <w:rPr>
      <w:b/>
      <w:u w:val="single"/>
    </w:rPr>
  </w:style>
  <w:style w:type="paragraph" w:styleId="Heading5">
    <w:name w:val="heading 5"/>
    <w:basedOn w:val="Normal"/>
    <w:next w:val="Normal"/>
    <w:qFormat/>
    <w:rsid w:val="003C3C1E"/>
    <w:pPr>
      <w:keepNext/>
      <w:ind w:firstLine="709"/>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3C1E"/>
    <w:pPr>
      <w:jc w:val="both"/>
    </w:pPr>
  </w:style>
  <w:style w:type="paragraph" w:styleId="BodyTextIndent">
    <w:name w:val="Body Text Indent"/>
    <w:basedOn w:val="Normal"/>
    <w:rsid w:val="003C3C1E"/>
    <w:pPr>
      <w:ind w:left="720"/>
      <w:jc w:val="both"/>
    </w:pPr>
  </w:style>
  <w:style w:type="paragraph" w:styleId="BodyTextIndent2">
    <w:name w:val="Body Text Indent 2"/>
    <w:basedOn w:val="Normal"/>
    <w:rsid w:val="003C3C1E"/>
    <w:pPr>
      <w:ind w:left="720" w:hanging="720"/>
      <w:jc w:val="both"/>
    </w:pPr>
  </w:style>
  <w:style w:type="paragraph" w:styleId="BodyTextIndent3">
    <w:name w:val="Body Text Indent 3"/>
    <w:basedOn w:val="Normal"/>
    <w:rsid w:val="003C3C1E"/>
    <w:pPr>
      <w:ind w:left="426" w:hanging="426"/>
      <w:jc w:val="both"/>
    </w:pPr>
  </w:style>
  <w:style w:type="paragraph" w:styleId="CommentText">
    <w:name w:val="annotation text"/>
    <w:basedOn w:val="Normal"/>
    <w:semiHidden/>
    <w:rsid w:val="003C3C1E"/>
    <w:rPr>
      <w:sz w:val="20"/>
    </w:rPr>
  </w:style>
  <w:style w:type="paragraph" w:styleId="BodyText2">
    <w:name w:val="Body Text 2"/>
    <w:basedOn w:val="Normal"/>
    <w:rsid w:val="003C3C1E"/>
    <w:pPr>
      <w:jc w:val="both"/>
    </w:pPr>
    <w:rPr>
      <w:sz w:val="22"/>
    </w:rPr>
  </w:style>
  <w:style w:type="paragraph" w:styleId="BodyText3">
    <w:name w:val="Body Text 3"/>
    <w:basedOn w:val="Normal"/>
    <w:rsid w:val="003C3C1E"/>
    <w:rPr>
      <w:sz w:val="22"/>
    </w:rPr>
  </w:style>
  <w:style w:type="paragraph" w:customStyle="1" w:styleId="DfESBullets">
    <w:name w:val="DfESBullets"/>
    <w:basedOn w:val="Normal"/>
    <w:rsid w:val="003C3C1E"/>
    <w:pPr>
      <w:widowControl w:val="0"/>
      <w:numPr>
        <w:numId w:val="1"/>
      </w:numPr>
      <w:overflowPunct w:val="0"/>
      <w:autoSpaceDE w:val="0"/>
      <w:autoSpaceDN w:val="0"/>
      <w:adjustRightInd w:val="0"/>
      <w:spacing w:after="240"/>
      <w:textAlignment w:val="baseline"/>
    </w:pPr>
    <w:rPr>
      <w:sz w:val="22"/>
    </w:rPr>
  </w:style>
  <w:style w:type="character" w:styleId="Hyperlink">
    <w:name w:val="Hyperlink"/>
    <w:basedOn w:val="DefaultParagraphFont"/>
    <w:uiPriority w:val="99"/>
    <w:rsid w:val="003C3C1E"/>
    <w:rPr>
      <w:color w:val="0000FF"/>
      <w:u w:val="single"/>
    </w:rPr>
  </w:style>
  <w:style w:type="paragraph" w:styleId="Header">
    <w:name w:val="header"/>
    <w:basedOn w:val="Normal"/>
    <w:rsid w:val="003C3C1E"/>
    <w:pPr>
      <w:tabs>
        <w:tab w:val="center" w:pos="4320"/>
        <w:tab w:val="right" w:pos="8640"/>
      </w:tabs>
    </w:pPr>
  </w:style>
  <w:style w:type="paragraph" w:styleId="Footer">
    <w:name w:val="footer"/>
    <w:basedOn w:val="Normal"/>
    <w:link w:val="FooterChar"/>
    <w:uiPriority w:val="99"/>
    <w:rsid w:val="003C3C1E"/>
    <w:pPr>
      <w:tabs>
        <w:tab w:val="center" w:pos="4320"/>
        <w:tab w:val="right" w:pos="8640"/>
      </w:tabs>
    </w:pPr>
  </w:style>
  <w:style w:type="character" w:styleId="CommentReference">
    <w:name w:val="annotation reference"/>
    <w:basedOn w:val="DefaultParagraphFont"/>
    <w:semiHidden/>
    <w:rsid w:val="003C3C1E"/>
    <w:rPr>
      <w:sz w:val="16"/>
      <w:szCs w:val="16"/>
    </w:rPr>
  </w:style>
  <w:style w:type="paragraph" w:styleId="Title">
    <w:name w:val="Title"/>
    <w:basedOn w:val="Normal"/>
    <w:qFormat/>
    <w:rsid w:val="003C3C1E"/>
    <w:pPr>
      <w:jc w:val="center"/>
    </w:pPr>
    <w:rPr>
      <w:b/>
      <w:lang w:eastAsia="en-US"/>
    </w:rPr>
  </w:style>
  <w:style w:type="paragraph" w:styleId="BalloonText">
    <w:name w:val="Balloon Text"/>
    <w:basedOn w:val="Normal"/>
    <w:semiHidden/>
    <w:rsid w:val="003C3C1E"/>
    <w:rPr>
      <w:rFonts w:ascii="Tahoma" w:hAnsi="Tahoma" w:cs="Tahoma"/>
      <w:sz w:val="16"/>
      <w:szCs w:val="16"/>
    </w:rPr>
  </w:style>
  <w:style w:type="paragraph" w:styleId="CommentSubject">
    <w:name w:val="annotation subject"/>
    <w:basedOn w:val="CommentText"/>
    <w:next w:val="CommentText"/>
    <w:semiHidden/>
    <w:rsid w:val="003C3C1E"/>
    <w:rPr>
      <w:b/>
      <w:bCs/>
    </w:rPr>
  </w:style>
  <w:style w:type="table" w:styleId="TableGrid">
    <w:name w:val="Table Grid"/>
    <w:basedOn w:val="TableNormal"/>
    <w:rsid w:val="001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43EE1"/>
    <w:rPr>
      <w:color w:val="800080"/>
      <w:u w:val="single"/>
    </w:rPr>
  </w:style>
  <w:style w:type="paragraph" w:styleId="ListParagraph">
    <w:name w:val="List Paragraph"/>
    <w:basedOn w:val="Normal"/>
    <w:uiPriority w:val="34"/>
    <w:qFormat/>
    <w:rsid w:val="00BF04FB"/>
    <w:pPr>
      <w:ind w:left="720"/>
    </w:pPr>
  </w:style>
  <w:style w:type="character" w:customStyle="1" w:styleId="FooterChar">
    <w:name w:val="Footer Char"/>
    <w:basedOn w:val="DefaultParagraphFont"/>
    <w:link w:val="Footer"/>
    <w:uiPriority w:val="99"/>
    <w:rsid w:val="00A15ED8"/>
    <w:rPr>
      <w:rFonts w:ascii="Arial" w:hAnsi="Arial"/>
      <w:sz w:val="24"/>
      <w:szCs w:val="24"/>
    </w:rPr>
  </w:style>
  <w:style w:type="paragraph" w:styleId="EndnoteText">
    <w:name w:val="endnote text"/>
    <w:basedOn w:val="Normal"/>
    <w:link w:val="EndnoteTextChar"/>
    <w:rsid w:val="00F3125F"/>
    <w:rPr>
      <w:sz w:val="20"/>
      <w:szCs w:val="20"/>
    </w:rPr>
  </w:style>
  <w:style w:type="character" w:customStyle="1" w:styleId="EndnoteTextChar">
    <w:name w:val="Endnote Text Char"/>
    <w:basedOn w:val="DefaultParagraphFont"/>
    <w:link w:val="EndnoteText"/>
    <w:rsid w:val="00F3125F"/>
    <w:rPr>
      <w:rFonts w:ascii="Arial" w:hAnsi="Arial"/>
    </w:rPr>
  </w:style>
  <w:style w:type="character" w:styleId="EndnoteReference">
    <w:name w:val="endnote reference"/>
    <w:basedOn w:val="DefaultParagraphFont"/>
    <w:rsid w:val="00F3125F"/>
    <w:rPr>
      <w:vertAlign w:val="superscript"/>
    </w:rPr>
  </w:style>
  <w:style w:type="paragraph" w:styleId="FootnoteText">
    <w:name w:val="footnote text"/>
    <w:basedOn w:val="Normal"/>
    <w:link w:val="FootnoteTextChar"/>
    <w:rsid w:val="00D23F25"/>
    <w:rPr>
      <w:sz w:val="20"/>
      <w:szCs w:val="20"/>
    </w:rPr>
  </w:style>
  <w:style w:type="character" w:customStyle="1" w:styleId="FootnoteTextChar">
    <w:name w:val="Footnote Text Char"/>
    <w:basedOn w:val="DefaultParagraphFont"/>
    <w:link w:val="FootnoteText"/>
    <w:rsid w:val="00D23F25"/>
    <w:rPr>
      <w:rFonts w:ascii="Arial" w:hAnsi="Arial"/>
    </w:rPr>
  </w:style>
  <w:style w:type="character" w:styleId="FootnoteReference">
    <w:name w:val="footnote reference"/>
    <w:basedOn w:val="DefaultParagraphFont"/>
    <w:rsid w:val="00D23F25"/>
    <w:rPr>
      <w:vertAlign w:val="superscript"/>
    </w:rPr>
  </w:style>
  <w:style w:type="paragraph" w:customStyle="1" w:styleId="Default">
    <w:name w:val="Default"/>
    <w:rsid w:val="004C5BB6"/>
    <w:pPr>
      <w:autoSpaceDE w:val="0"/>
      <w:autoSpaceDN w:val="0"/>
      <w:adjustRightInd w:val="0"/>
    </w:pPr>
    <w:rPr>
      <w:rFonts w:ascii="Arial" w:hAnsi="Arial" w:cs="Arial"/>
      <w:color w:val="000000"/>
      <w:sz w:val="24"/>
      <w:szCs w:val="24"/>
    </w:rPr>
  </w:style>
  <w:style w:type="paragraph" w:customStyle="1" w:styleId="Level2">
    <w:name w:val="Level 2"/>
    <w:basedOn w:val="Heading2"/>
    <w:rsid w:val="00743D8E"/>
    <w:pPr>
      <w:numPr>
        <w:ilvl w:val="1"/>
        <w:numId w:val="5"/>
      </w:numPr>
      <w:spacing w:before="200" w:after="200" w:line="300" w:lineRule="exact"/>
      <w:jc w:val="left"/>
    </w:pPr>
    <w:rPr>
      <w:b w:val="0"/>
      <w:color w:val="323232"/>
      <w:sz w:val="22"/>
      <w:szCs w:val="28"/>
      <w:u w:val="none"/>
      <w:lang w:eastAsia="en-US"/>
    </w:rPr>
  </w:style>
  <w:style w:type="paragraph" w:customStyle="1" w:styleId="Level1">
    <w:name w:val="Level 1"/>
    <w:basedOn w:val="Heading1"/>
    <w:next w:val="Level2"/>
    <w:rsid w:val="00743D8E"/>
    <w:pPr>
      <w:numPr>
        <w:numId w:val="5"/>
      </w:numPr>
      <w:tabs>
        <w:tab w:val="left" w:pos="1425"/>
      </w:tabs>
      <w:suppressAutoHyphens/>
      <w:spacing w:before="400" w:line="300" w:lineRule="exact"/>
      <w:jc w:val="left"/>
    </w:pPr>
    <w:rPr>
      <w:b w:val="0"/>
      <w:color w:val="0074E1"/>
      <w:kern w:val="32"/>
      <w:sz w:val="30"/>
      <w:szCs w:val="32"/>
      <w:lang w:eastAsia="en-US"/>
    </w:rPr>
  </w:style>
  <w:style w:type="paragraph" w:customStyle="1" w:styleId="aaaaa">
    <w:name w:val="aaaaa"/>
    <w:basedOn w:val="Level2"/>
    <w:link w:val="aaaaaChar"/>
    <w:qFormat/>
    <w:rsid w:val="00743D8E"/>
  </w:style>
  <w:style w:type="character" w:customStyle="1" w:styleId="aaaaaChar">
    <w:name w:val="aaaaa Char"/>
    <w:link w:val="aaaaa"/>
    <w:rsid w:val="00743D8E"/>
    <w:rPr>
      <w:rFonts w:ascii="Arial" w:hAnsi="Arial"/>
      <w:color w:val="323232"/>
      <w:sz w:val="22"/>
      <w:szCs w:val="28"/>
      <w:lang w:eastAsia="en-US"/>
    </w:rPr>
  </w:style>
  <w:style w:type="paragraph" w:styleId="Revision">
    <w:name w:val="Revision"/>
    <w:hidden/>
    <w:uiPriority w:val="99"/>
    <w:semiHidden/>
    <w:rsid w:val="00147B39"/>
    <w:rPr>
      <w:rFonts w:ascii="Arial" w:hAnsi="Arial"/>
      <w:sz w:val="24"/>
      <w:szCs w:val="24"/>
    </w:rPr>
  </w:style>
  <w:style w:type="paragraph" w:customStyle="1" w:styleId="BodyText1">
    <w:name w:val="Body Text1"/>
    <w:qFormat/>
    <w:rsid w:val="00825B5E"/>
    <w:pPr>
      <w:numPr>
        <w:ilvl w:val="1"/>
        <w:numId w:val="25"/>
      </w:numPr>
      <w:spacing w:before="240" w:after="120"/>
    </w:pPr>
    <w:rPr>
      <w:rFonts w:ascii="Arial" w:eastAsiaTheme="minorHAnsi" w:hAnsi="Arial"/>
      <w:sz w:val="24"/>
      <w:szCs w:val="24"/>
      <w:lang w:eastAsia="en-US"/>
    </w:rPr>
  </w:style>
  <w:style w:type="character" w:customStyle="1" w:styleId="MainHeadingChar">
    <w:name w:val="Main Heading Char"/>
    <w:basedOn w:val="DefaultParagraphFont"/>
    <w:link w:val="MainHeading"/>
    <w:locked/>
    <w:rsid w:val="00825B5E"/>
    <w:rPr>
      <w:rFonts w:ascii="Arial" w:hAnsi="Arial" w:cs="Arial"/>
      <w:b/>
      <w:sz w:val="28"/>
      <w:szCs w:val="24"/>
    </w:rPr>
  </w:style>
  <w:style w:type="paragraph" w:customStyle="1" w:styleId="MainHeading">
    <w:name w:val="Main Heading"/>
    <w:basedOn w:val="Normal"/>
    <w:link w:val="MainHeadingChar"/>
    <w:qFormat/>
    <w:rsid w:val="00825B5E"/>
    <w:pPr>
      <w:numPr>
        <w:numId w:val="25"/>
      </w:numPr>
      <w:tabs>
        <w:tab w:val="left" w:pos="720"/>
      </w:tabs>
      <w:spacing w:before="360" w:after="120"/>
    </w:pPr>
    <w:rPr>
      <w:rFonts w:cs="Arial"/>
      <w:b/>
      <w:sz w:val="28"/>
    </w:rPr>
  </w:style>
  <w:style w:type="character" w:styleId="UnresolvedMention">
    <w:name w:val="Unresolved Mention"/>
    <w:basedOn w:val="DefaultParagraphFont"/>
    <w:uiPriority w:val="99"/>
    <w:semiHidden/>
    <w:unhideWhenUsed/>
    <w:rsid w:val="008D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12">
      <w:bodyDiv w:val="1"/>
      <w:marLeft w:val="0"/>
      <w:marRight w:val="0"/>
      <w:marTop w:val="0"/>
      <w:marBottom w:val="0"/>
      <w:divBdr>
        <w:top w:val="none" w:sz="0" w:space="0" w:color="auto"/>
        <w:left w:val="none" w:sz="0" w:space="0" w:color="auto"/>
        <w:bottom w:val="none" w:sz="0" w:space="0" w:color="auto"/>
        <w:right w:val="none" w:sz="0" w:space="0" w:color="auto"/>
      </w:divBdr>
    </w:div>
    <w:div w:id="9725403">
      <w:bodyDiv w:val="1"/>
      <w:marLeft w:val="0"/>
      <w:marRight w:val="0"/>
      <w:marTop w:val="0"/>
      <w:marBottom w:val="0"/>
      <w:divBdr>
        <w:top w:val="none" w:sz="0" w:space="0" w:color="auto"/>
        <w:left w:val="none" w:sz="0" w:space="0" w:color="auto"/>
        <w:bottom w:val="none" w:sz="0" w:space="0" w:color="auto"/>
        <w:right w:val="none" w:sz="0" w:space="0" w:color="auto"/>
      </w:divBdr>
    </w:div>
    <w:div w:id="11226636">
      <w:bodyDiv w:val="1"/>
      <w:marLeft w:val="0"/>
      <w:marRight w:val="0"/>
      <w:marTop w:val="0"/>
      <w:marBottom w:val="0"/>
      <w:divBdr>
        <w:top w:val="none" w:sz="0" w:space="0" w:color="auto"/>
        <w:left w:val="none" w:sz="0" w:space="0" w:color="auto"/>
        <w:bottom w:val="none" w:sz="0" w:space="0" w:color="auto"/>
        <w:right w:val="none" w:sz="0" w:space="0" w:color="auto"/>
      </w:divBdr>
    </w:div>
    <w:div w:id="43601109">
      <w:bodyDiv w:val="1"/>
      <w:marLeft w:val="0"/>
      <w:marRight w:val="0"/>
      <w:marTop w:val="0"/>
      <w:marBottom w:val="0"/>
      <w:divBdr>
        <w:top w:val="none" w:sz="0" w:space="0" w:color="auto"/>
        <w:left w:val="none" w:sz="0" w:space="0" w:color="auto"/>
        <w:bottom w:val="none" w:sz="0" w:space="0" w:color="auto"/>
        <w:right w:val="none" w:sz="0" w:space="0" w:color="auto"/>
      </w:divBdr>
    </w:div>
    <w:div w:id="51855136">
      <w:bodyDiv w:val="1"/>
      <w:marLeft w:val="0"/>
      <w:marRight w:val="0"/>
      <w:marTop w:val="0"/>
      <w:marBottom w:val="0"/>
      <w:divBdr>
        <w:top w:val="none" w:sz="0" w:space="0" w:color="auto"/>
        <w:left w:val="none" w:sz="0" w:space="0" w:color="auto"/>
        <w:bottom w:val="none" w:sz="0" w:space="0" w:color="auto"/>
        <w:right w:val="none" w:sz="0" w:space="0" w:color="auto"/>
      </w:divBdr>
    </w:div>
    <w:div w:id="84960870">
      <w:bodyDiv w:val="1"/>
      <w:marLeft w:val="0"/>
      <w:marRight w:val="0"/>
      <w:marTop w:val="0"/>
      <w:marBottom w:val="0"/>
      <w:divBdr>
        <w:top w:val="none" w:sz="0" w:space="0" w:color="auto"/>
        <w:left w:val="none" w:sz="0" w:space="0" w:color="auto"/>
        <w:bottom w:val="none" w:sz="0" w:space="0" w:color="auto"/>
        <w:right w:val="none" w:sz="0" w:space="0" w:color="auto"/>
      </w:divBdr>
    </w:div>
    <w:div w:id="85882665">
      <w:bodyDiv w:val="1"/>
      <w:marLeft w:val="0"/>
      <w:marRight w:val="0"/>
      <w:marTop w:val="0"/>
      <w:marBottom w:val="0"/>
      <w:divBdr>
        <w:top w:val="none" w:sz="0" w:space="0" w:color="auto"/>
        <w:left w:val="none" w:sz="0" w:space="0" w:color="auto"/>
        <w:bottom w:val="none" w:sz="0" w:space="0" w:color="auto"/>
        <w:right w:val="none" w:sz="0" w:space="0" w:color="auto"/>
      </w:divBdr>
    </w:div>
    <w:div w:id="121578989">
      <w:bodyDiv w:val="1"/>
      <w:marLeft w:val="0"/>
      <w:marRight w:val="0"/>
      <w:marTop w:val="0"/>
      <w:marBottom w:val="0"/>
      <w:divBdr>
        <w:top w:val="none" w:sz="0" w:space="0" w:color="auto"/>
        <w:left w:val="none" w:sz="0" w:space="0" w:color="auto"/>
        <w:bottom w:val="none" w:sz="0" w:space="0" w:color="auto"/>
        <w:right w:val="none" w:sz="0" w:space="0" w:color="auto"/>
      </w:divBdr>
    </w:div>
    <w:div w:id="140849570">
      <w:bodyDiv w:val="1"/>
      <w:marLeft w:val="0"/>
      <w:marRight w:val="0"/>
      <w:marTop w:val="0"/>
      <w:marBottom w:val="0"/>
      <w:divBdr>
        <w:top w:val="none" w:sz="0" w:space="0" w:color="auto"/>
        <w:left w:val="none" w:sz="0" w:space="0" w:color="auto"/>
        <w:bottom w:val="none" w:sz="0" w:space="0" w:color="auto"/>
        <w:right w:val="none" w:sz="0" w:space="0" w:color="auto"/>
      </w:divBdr>
    </w:div>
    <w:div w:id="188302069">
      <w:bodyDiv w:val="1"/>
      <w:marLeft w:val="0"/>
      <w:marRight w:val="0"/>
      <w:marTop w:val="0"/>
      <w:marBottom w:val="0"/>
      <w:divBdr>
        <w:top w:val="none" w:sz="0" w:space="0" w:color="auto"/>
        <w:left w:val="none" w:sz="0" w:space="0" w:color="auto"/>
        <w:bottom w:val="none" w:sz="0" w:space="0" w:color="auto"/>
        <w:right w:val="none" w:sz="0" w:space="0" w:color="auto"/>
      </w:divBdr>
    </w:div>
    <w:div w:id="213780887">
      <w:bodyDiv w:val="1"/>
      <w:marLeft w:val="0"/>
      <w:marRight w:val="0"/>
      <w:marTop w:val="0"/>
      <w:marBottom w:val="0"/>
      <w:divBdr>
        <w:top w:val="none" w:sz="0" w:space="0" w:color="auto"/>
        <w:left w:val="none" w:sz="0" w:space="0" w:color="auto"/>
        <w:bottom w:val="none" w:sz="0" w:space="0" w:color="auto"/>
        <w:right w:val="none" w:sz="0" w:space="0" w:color="auto"/>
      </w:divBdr>
    </w:div>
    <w:div w:id="220211890">
      <w:bodyDiv w:val="1"/>
      <w:marLeft w:val="0"/>
      <w:marRight w:val="0"/>
      <w:marTop w:val="0"/>
      <w:marBottom w:val="0"/>
      <w:divBdr>
        <w:top w:val="none" w:sz="0" w:space="0" w:color="auto"/>
        <w:left w:val="none" w:sz="0" w:space="0" w:color="auto"/>
        <w:bottom w:val="none" w:sz="0" w:space="0" w:color="auto"/>
        <w:right w:val="none" w:sz="0" w:space="0" w:color="auto"/>
      </w:divBdr>
    </w:div>
    <w:div w:id="240679892">
      <w:bodyDiv w:val="1"/>
      <w:marLeft w:val="0"/>
      <w:marRight w:val="0"/>
      <w:marTop w:val="0"/>
      <w:marBottom w:val="0"/>
      <w:divBdr>
        <w:top w:val="none" w:sz="0" w:space="0" w:color="auto"/>
        <w:left w:val="none" w:sz="0" w:space="0" w:color="auto"/>
        <w:bottom w:val="none" w:sz="0" w:space="0" w:color="auto"/>
        <w:right w:val="none" w:sz="0" w:space="0" w:color="auto"/>
      </w:divBdr>
    </w:div>
    <w:div w:id="244726388">
      <w:bodyDiv w:val="1"/>
      <w:marLeft w:val="0"/>
      <w:marRight w:val="0"/>
      <w:marTop w:val="0"/>
      <w:marBottom w:val="0"/>
      <w:divBdr>
        <w:top w:val="none" w:sz="0" w:space="0" w:color="auto"/>
        <w:left w:val="none" w:sz="0" w:space="0" w:color="auto"/>
        <w:bottom w:val="none" w:sz="0" w:space="0" w:color="auto"/>
        <w:right w:val="none" w:sz="0" w:space="0" w:color="auto"/>
      </w:divBdr>
    </w:div>
    <w:div w:id="315494063">
      <w:bodyDiv w:val="1"/>
      <w:marLeft w:val="0"/>
      <w:marRight w:val="0"/>
      <w:marTop w:val="0"/>
      <w:marBottom w:val="0"/>
      <w:divBdr>
        <w:top w:val="none" w:sz="0" w:space="0" w:color="auto"/>
        <w:left w:val="none" w:sz="0" w:space="0" w:color="auto"/>
        <w:bottom w:val="none" w:sz="0" w:space="0" w:color="auto"/>
        <w:right w:val="none" w:sz="0" w:space="0" w:color="auto"/>
      </w:divBdr>
    </w:div>
    <w:div w:id="320545323">
      <w:bodyDiv w:val="1"/>
      <w:marLeft w:val="0"/>
      <w:marRight w:val="0"/>
      <w:marTop w:val="0"/>
      <w:marBottom w:val="0"/>
      <w:divBdr>
        <w:top w:val="none" w:sz="0" w:space="0" w:color="auto"/>
        <w:left w:val="none" w:sz="0" w:space="0" w:color="auto"/>
        <w:bottom w:val="none" w:sz="0" w:space="0" w:color="auto"/>
        <w:right w:val="none" w:sz="0" w:space="0" w:color="auto"/>
      </w:divBdr>
    </w:div>
    <w:div w:id="378555903">
      <w:bodyDiv w:val="1"/>
      <w:marLeft w:val="0"/>
      <w:marRight w:val="0"/>
      <w:marTop w:val="0"/>
      <w:marBottom w:val="0"/>
      <w:divBdr>
        <w:top w:val="none" w:sz="0" w:space="0" w:color="auto"/>
        <w:left w:val="none" w:sz="0" w:space="0" w:color="auto"/>
        <w:bottom w:val="none" w:sz="0" w:space="0" w:color="auto"/>
        <w:right w:val="none" w:sz="0" w:space="0" w:color="auto"/>
      </w:divBdr>
    </w:div>
    <w:div w:id="402920466">
      <w:bodyDiv w:val="1"/>
      <w:marLeft w:val="0"/>
      <w:marRight w:val="0"/>
      <w:marTop w:val="0"/>
      <w:marBottom w:val="0"/>
      <w:divBdr>
        <w:top w:val="none" w:sz="0" w:space="0" w:color="auto"/>
        <w:left w:val="none" w:sz="0" w:space="0" w:color="auto"/>
        <w:bottom w:val="none" w:sz="0" w:space="0" w:color="auto"/>
        <w:right w:val="none" w:sz="0" w:space="0" w:color="auto"/>
      </w:divBdr>
    </w:div>
    <w:div w:id="450133090">
      <w:bodyDiv w:val="1"/>
      <w:marLeft w:val="0"/>
      <w:marRight w:val="0"/>
      <w:marTop w:val="0"/>
      <w:marBottom w:val="0"/>
      <w:divBdr>
        <w:top w:val="none" w:sz="0" w:space="0" w:color="auto"/>
        <w:left w:val="none" w:sz="0" w:space="0" w:color="auto"/>
        <w:bottom w:val="none" w:sz="0" w:space="0" w:color="auto"/>
        <w:right w:val="none" w:sz="0" w:space="0" w:color="auto"/>
      </w:divBdr>
    </w:div>
    <w:div w:id="481702077">
      <w:bodyDiv w:val="1"/>
      <w:marLeft w:val="0"/>
      <w:marRight w:val="0"/>
      <w:marTop w:val="0"/>
      <w:marBottom w:val="0"/>
      <w:divBdr>
        <w:top w:val="none" w:sz="0" w:space="0" w:color="auto"/>
        <w:left w:val="none" w:sz="0" w:space="0" w:color="auto"/>
        <w:bottom w:val="none" w:sz="0" w:space="0" w:color="auto"/>
        <w:right w:val="none" w:sz="0" w:space="0" w:color="auto"/>
      </w:divBdr>
    </w:div>
    <w:div w:id="484512986">
      <w:bodyDiv w:val="1"/>
      <w:marLeft w:val="0"/>
      <w:marRight w:val="0"/>
      <w:marTop w:val="0"/>
      <w:marBottom w:val="0"/>
      <w:divBdr>
        <w:top w:val="none" w:sz="0" w:space="0" w:color="auto"/>
        <w:left w:val="none" w:sz="0" w:space="0" w:color="auto"/>
        <w:bottom w:val="none" w:sz="0" w:space="0" w:color="auto"/>
        <w:right w:val="none" w:sz="0" w:space="0" w:color="auto"/>
      </w:divBdr>
    </w:div>
    <w:div w:id="496964672">
      <w:bodyDiv w:val="1"/>
      <w:marLeft w:val="0"/>
      <w:marRight w:val="0"/>
      <w:marTop w:val="0"/>
      <w:marBottom w:val="0"/>
      <w:divBdr>
        <w:top w:val="none" w:sz="0" w:space="0" w:color="auto"/>
        <w:left w:val="none" w:sz="0" w:space="0" w:color="auto"/>
        <w:bottom w:val="none" w:sz="0" w:space="0" w:color="auto"/>
        <w:right w:val="none" w:sz="0" w:space="0" w:color="auto"/>
      </w:divBdr>
    </w:div>
    <w:div w:id="542867324">
      <w:bodyDiv w:val="1"/>
      <w:marLeft w:val="0"/>
      <w:marRight w:val="0"/>
      <w:marTop w:val="0"/>
      <w:marBottom w:val="0"/>
      <w:divBdr>
        <w:top w:val="none" w:sz="0" w:space="0" w:color="auto"/>
        <w:left w:val="none" w:sz="0" w:space="0" w:color="auto"/>
        <w:bottom w:val="none" w:sz="0" w:space="0" w:color="auto"/>
        <w:right w:val="none" w:sz="0" w:space="0" w:color="auto"/>
      </w:divBdr>
    </w:div>
    <w:div w:id="556205747">
      <w:bodyDiv w:val="1"/>
      <w:marLeft w:val="0"/>
      <w:marRight w:val="0"/>
      <w:marTop w:val="0"/>
      <w:marBottom w:val="0"/>
      <w:divBdr>
        <w:top w:val="none" w:sz="0" w:space="0" w:color="auto"/>
        <w:left w:val="none" w:sz="0" w:space="0" w:color="auto"/>
        <w:bottom w:val="none" w:sz="0" w:space="0" w:color="auto"/>
        <w:right w:val="none" w:sz="0" w:space="0" w:color="auto"/>
      </w:divBdr>
    </w:div>
    <w:div w:id="591402208">
      <w:bodyDiv w:val="1"/>
      <w:marLeft w:val="0"/>
      <w:marRight w:val="0"/>
      <w:marTop w:val="0"/>
      <w:marBottom w:val="0"/>
      <w:divBdr>
        <w:top w:val="none" w:sz="0" w:space="0" w:color="auto"/>
        <w:left w:val="none" w:sz="0" w:space="0" w:color="auto"/>
        <w:bottom w:val="none" w:sz="0" w:space="0" w:color="auto"/>
        <w:right w:val="none" w:sz="0" w:space="0" w:color="auto"/>
      </w:divBdr>
    </w:div>
    <w:div w:id="607278178">
      <w:bodyDiv w:val="1"/>
      <w:marLeft w:val="0"/>
      <w:marRight w:val="0"/>
      <w:marTop w:val="0"/>
      <w:marBottom w:val="0"/>
      <w:divBdr>
        <w:top w:val="none" w:sz="0" w:space="0" w:color="auto"/>
        <w:left w:val="none" w:sz="0" w:space="0" w:color="auto"/>
        <w:bottom w:val="none" w:sz="0" w:space="0" w:color="auto"/>
        <w:right w:val="none" w:sz="0" w:space="0" w:color="auto"/>
      </w:divBdr>
    </w:div>
    <w:div w:id="617563916">
      <w:bodyDiv w:val="1"/>
      <w:marLeft w:val="0"/>
      <w:marRight w:val="0"/>
      <w:marTop w:val="0"/>
      <w:marBottom w:val="0"/>
      <w:divBdr>
        <w:top w:val="none" w:sz="0" w:space="0" w:color="auto"/>
        <w:left w:val="none" w:sz="0" w:space="0" w:color="auto"/>
        <w:bottom w:val="none" w:sz="0" w:space="0" w:color="auto"/>
        <w:right w:val="none" w:sz="0" w:space="0" w:color="auto"/>
      </w:divBdr>
    </w:div>
    <w:div w:id="625890100">
      <w:bodyDiv w:val="1"/>
      <w:marLeft w:val="0"/>
      <w:marRight w:val="0"/>
      <w:marTop w:val="0"/>
      <w:marBottom w:val="0"/>
      <w:divBdr>
        <w:top w:val="none" w:sz="0" w:space="0" w:color="auto"/>
        <w:left w:val="none" w:sz="0" w:space="0" w:color="auto"/>
        <w:bottom w:val="none" w:sz="0" w:space="0" w:color="auto"/>
        <w:right w:val="none" w:sz="0" w:space="0" w:color="auto"/>
      </w:divBdr>
    </w:div>
    <w:div w:id="631518466">
      <w:bodyDiv w:val="1"/>
      <w:marLeft w:val="0"/>
      <w:marRight w:val="0"/>
      <w:marTop w:val="0"/>
      <w:marBottom w:val="0"/>
      <w:divBdr>
        <w:top w:val="none" w:sz="0" w:space="0" w:color="auto"/>
        <w:left w:val="none" w:sz="0" w:space="0" w:color="auto"/>
        <w:bottom w:val="none" w:sz="0" w:space="0" w:color="auto"/>
        <w:right w:val="none" w:sz="0" w:space="0" w:color="auto"/>
      </w:divBdr>
    </w:div>
    <w:div w:id="654182644">
      <w:bodyDiv w:val="1"/>
      <w:marLeft w:val="0"/>
      <w:marRight w:val="0"/>
      <w:marTop w:val="0"/>
      <w:marBottom w:val="0"/>
      <w:divBdr>
        <w:top w:val="none" w:sz="0" w:space="0" w:color="auto"/>
        <w:left w:val="none" w:sz="0" w:space="0" w:color="auto"/>
        <w:bottom w:val="none" w:sz="0" w:space="0" w:color="auto"/>
        <w:right w:val="none" w:sz="0" w:space="0" w:color="auto"/>
      </w:divBdr>
    </w:div>
    <w:div w:id="689181184">
      <w:bodyDiv w:val="1"/>
      <w:marLeft w:val="0"/>
      <w:marRight w:val="0"/>
      <w:marTop w:val="0"/>
      <w:marBottom w:val="0"/>
      <w:divBdr>
        <w:top w:val="none" w:sz="0" w:space="0" w:color="auto"/>
        <w:left w:val="none" w:sz="0" w:space="0" w:color="auto"/>
        <w:bottom w:val="none" w:sz="0" w:space="0" w:color="auto"/>
        <w:right w:val="none" w:sz="0" w:space="0" w:color="auto"/>
      </w:divBdr>
    </w:div>
    <w:div w:id="711685618">
      <w:bodyDiv w:val="1"/>
      <w:marLeft w:val="0"/>
      <w:marRight w:val="0"/>
      <w:marTop w:val="0"/>
      <w:marBottom w:val="0"/>
      <w:divBdr>
        <w:top w:val="none" w:sz="0" w:space="0" w:color="auto"/>
        <w:left w:val="none" w:sz="0" w:space="0" w:color="auto"/>
        <w:bottom w:val="none" w:sz="0" w:space="0" w:color="auto"/>
        <w:right w:val="none" w:sz="0" w:space="0" w:color="auto"/>
      </w:divBdr>
    </w:div>
    <w:div w:id="717826829">
      <w:bodyDiv w:val="1"/>
      <w:marLeft w:val="0"/>
      <w:marRight w:val="0"/>
      <w:marTop w:val="0"/>
      <w:marBottom w:val="0"/>
      <w:divBdr>
        <w:top w:val="none" w:sz="0" w:space="0" w:color="auto"/>
        <w:left w:val="none" w:sz="0" w:space="0" w:color="auto"/>
        <w:bottom w:val="none" w:sz="0" w:space="0" w:color="auto"/>
        <w:right w:val="none" w:sz="0" w:space="0" w:color="auto"/>
      </w:divBdr>
    </w:div>
    <w:div w:id="768739606">
      <w:bodyDiv w:val="1"/>
      <w:marLeft w:val="0"/>
      <w:marRight w:val="0"/>
      <w:marTop w:val="0"/>
      <w:marBottom w:val="0"/>
      <w:divBdr>
        <w:top w:val="none" w:sz="0" w:space="0" w:color="auto"/>
        <w:left w:val="none" w:sz="0" w:space="0" w:color="auto"/>
        <w:bottom w:val="none" w:sz="0" w:space="0" w:color="auto"/>
        <w:right w:val="none" w:sz="0" w:space="0" w:color="auto"/>
      </w:divBdr>
    </w:div>
    <w:div w:id="832919277">
      <w:bodyDiv w:val="1"/>
      <w:marLeft w:val="0"/>
      <w:marRight w:val="0"/>
      <w:marTop w:val="0"/>
      <w:marBottom w:val="0"/>
      <w:divBdr>
        <w:top w:val="none" w:sz="0" w:space="0" w:color="auto"/>
        <w:left w:val="none" w:sz="0" w:space="0" w:color="auto"/>
        <w:bottom w:val="none" w:sz="0" w:space="0" w:color="auto"/>
        <w:right w:val="none" w:sz="0" w:space="0" w:color="auto"/>
      </w:divBdr>
    </w:div>
    <w:div w:id="838887323">
      <w:bodyDiv w:val="1"/>
      <w:marLeft w:val="0"/>
      <w:marRight w:val="0"/>
      <w:marTop w:val="0"/>
      <w:marBottom w:val="0"/>
      <w:divBdr>
        <w:top w:val="none" w:sz="0" w:space="0" w:color="auto"/>
        <w:left w:val="none" w:sz="0" w:space="0" w:color="auto"/>
        <w:bottom w:val="none" w:sz="0" w:space="0" w:color="auto"/>
        <w:right w:val="none" w:sz="0" w:space="0" w:color="auto"/>
      </w:divBdr>
    </w:div>
    <w:div w:id="850026715">
      <w:bodyDiv w:val="1"/>
      <w:marLeft w:val="0"/>
      <w:marRight w:val="0"/>
      <w:marTop w:val="0"/>
      <w:marBottom w:val="0"/>
      <w:divBdr>
        <w:top w:val="none" w:sz="0" w:space="0" w:color="auto"/>
        <w:left w:val="none" w:sz="0" w:space="0" w:color="auto"/>
        <w:bottom w:val="none" w:sz="0" w:space="0" w:color="auto"/>
        <w:right w:val="none" w:sz="0" w:space="0" w:color="auto"/>
      </w:divBdr>
    </w:div>
    <w:div w:id="877737198">
      <w:bodyDiv w:val="1"/>
      <w:marLeft w:val="0"/>
      <w:marRight w:val="0"/>
      <w:marTop w:val="0"/>
      <w:marBottom w:val="0"/>
      <w:divBdr>
        <w:top w:val="none" w:sz="0" w:space="0" w:color="auto"/>
        <w:left w:val="none" w:sz="0" w:space="0" w:color="auto"/>
        <w:bottom w:val="none" w:sz="0" w:space="0" w:color="auto"/>
        <w:right w:val="none" w:sz="0" w:space="0" w:color="auto"/>
      </w:divBdr>
    </w:div>
    <w:div w:id="883760836">
      <w:bodyDiv w:val="1"/>
      <w:marLeft w:val="0"/>
      <w:marRight w:val="0"/>
      <w:marTop w:val="0"/>
      <w:marBottom w:val="0"/>
      <w:divBdr>
        <w:top w:val="none" w:sz="0" w:space="0" w:color="auto"/>
        <w:left w:val="none" w:sz="0" w:space="0" w:color="auto"/>
        <w:bottom w:val="none" w:sz="0" w:space="0" w:color="auto"/>
        <w:right w:val="none" w:sz="0" w:space="0" w:color="auto"/>
      </w:divBdr>
    </w:div>
    <w:div w:id="935940909">
      <w:bodyDiv w:val="1"/>
      <w:marLeft w:val="0"/>
      <w:marRight w:val="0"/>
      <w:marTop w:val="0"/>
      <w:marBottom w:val="0"/>
      <w:divBdr>
        <w:top w:val="none" w:sz="0" w:space="0" w:color="auto"/>
        <w:left w:val="none" w:sz="0" w:space="0" w:color="auto"/>
        <w:bottom w:val="none" w:sz="0" w:space="0" w:color="auto"/>
        <w:right w:val="none" w:sz="0" w:space="0" w:color="auto"/>
      </w:divBdr>
    </w:div>
    <w:div w:id="951013790">
      <w:bodyDiv w:val="1"/>
      <w:marLeft w:val="0"/>
      <w:marRight w:val="0"/>
      <w:marTop w:val="0"/>
      <w:marBottom w:val="0"/>
      <w:divBdr>
        <w:top w:val="none" w:sz="0" w:space="0" w:color="auto"/>
        <w:left w:val="none" w:sz="0" w:space="0" w:color="auto"/>
        <w:bottom w:val="none" w:sz="0" w:space="0" w:color="auto"/>
        <w:right w:val="none" w:sz="0" w:space="0" w:color="auto"/>
      </w:divBdr>
    </w:div>
    <w:div w:id="971405461">
      <w:bodyDiv w:val="1"/>
      <w:marLeft w:val="0"/>
      <w:marRight w:val="0"/>
      <w:marTop w:val="0"/>
      <w:marBottom w:val="0"/>
      <w:divBdr>
        <w:top w:val="none" w:sz="0" w:space="0" w:color="auto"/>
        <w:left w:val="none" w:sz="0" w:space="0" w:color="auto"/>
        <w:bottom w:val="none" w:sz="0" w:space="0" w:color="auto"/>
        <w:right w:val="none" w:sz="0" w:space="0" w:color="auto"/>
      </w:divBdr>
    </w:div>
    <w:div w:id="990135875">
      <w:bodyDiv w:val="1"/>
      <w:marLeft w:val="0"/>
      <w:marRight w:val="0"/>
      <w:marTop w:val="0"/>
      <w:marBottom w:val="0"/>
      <w:divBdr>
        <w:top w:val="none" w:sz="0" w:space="0" w:color="auto"/>
        <w:left w:val="none" w:sz="0" w:space="0" w:color="auto"/>
        <w:bottom w:val="none" w:sz="0" w:space="0" w:color="auto"/>
        <w:right w:val="none" w:sz="0" w:space="0" w:color="auto"/>
      </w:divBdr>
    </w:div>
    <w:div w:id="1034161847">
      <w:bodyDiv w:val="1"/>
      <w:marLeft w:val="0"/>
      <w:marRight w:val="0"/>
      <w:marTop w:val="0"/>
      <w:marBottom w:val="0"/>
      <w:divBdr>
        <w:top w:val="none" w:sz="0" w:space="0" w:color="auto"/>
        <w:left w:val="none" w:sz="0" w:space="0" w:color="auto"/>
        <w:bottom w:val="none" w:sz="0" w:space="0" w:color="auto"/>
        <w:right w:val="none" w:sz="0" w:space="0" w:color="auto"/>
      </w:divBdr>
    </w:div>
    <w:div w:id="1050302154">
      <w:bodyDiv w:val="1"/>
      <w:marLeft w:val="0"/>
      <w:marRight w:val="0"/>
      <w:marTop w:val="0"/>
      <w:marBottom w:val="0"/>
      <w:divBdr>
        <w:top w:val="none" w:sz="0" w:space="0" w:color="auto"/>
        <w:left w:val="none" w:sz="0" w:space="0" w:color="auto"/>
        <w:bottom w:val="none" w:sz="0" w:space="0" w:color="auto"/>
        <w:right w:val="none" w:sz="0" w:space="0" w:color="auto"/>
      </w:divBdr>
    </w:div>
    <w:div w:id="1088186430">
      <w:bodyDiv w:val="1"/>
      <w:marLeft w:val="0"/>
      <w:marRight w:val="0"/>
      <w:marTop w:val="0"/>
      <w:marBottom w:val="0"/>
      <w:divBdr>
        <w:top w:val="none" w:sz="0" w:space="0" w:color="auto"/>
        <w:left w:val="none" w:sz="0" w:space="0" w:color="auto"/>
        <w:bottom w:val="none" w:sz="0" w:space="0" w:color="auto"/>
        <w:right w:val="none" w:sz="0" w:space="0" w:color="auto"/>
      </w:divBdr>
    </w:div>
    <w:div w:id="1103379070">
      <w:bodyDiv w:val="1"/>
      <w:marLeft w:val="0"/>
      <w:marRight w:val="0"/>
      <w:marTop w:val="0"/>
      <w:marBottom w:val="0"/>
      <w:divBdr>
        <w:top w:val="none" w:sz="0" w:space="0" w:color="auto"/>
        <w:left w:val="none" w:sz="0" w:space="0" w:color="auto"/>
        <w:bottom w:val="none" w:sz="0" w:space="0" w:color="auto"/>
        <w:right w:val="none" w:sz="0" w:space="0" w:color="auto"/>
      </w:divBdr>
    </w:div>
    <w:div w:id="1235164133">
      <w:bodyDiv w:val="1"/>
      <w:marLeft w:val="0"/>
      <w:marRight w:val="0"/>
      <w:marTop w:val="0"/>
      <w:marBottom w:val="0"/>
      <w:divBdr>
        <w:top w:val="none" w:sz="0" w:space="0" w:color="auto"/>
        <w:left w:val="none" w:sz="0" w:space="0" w:color="auto"/>
        <w:bottom w:val="none" w:sz="0" w:space="0" w:color="auto"/>
        <w:right w:val="none" w:sz="0" w:space="0" w:color="auto"/>
      </w:divBdr>
    </w:div>
    <w:div w:id="1249730983">
      <w:bodyDiv w:val="1"/>
      <w:marLeft w:val="0"/>
      <w:marRight w:val="0"/>
      <w:marTop w:val="0"/>
      <w:marBottom w:val="0"/>
      <w:divBdr>
        <w:top w:val="none" w:sz="0" w:space="0" w:color="auto"/>
        <w:left w:val="none" w:sz="0" w:space="0" w:color="auto"/>
        <w:bottom w:val="none" w:sz="0" w:space="0" w:color="auto"/>
        <w:right w:val="none" w:sz="0" w:space="0" w:color="auto"/>
      </w:divBdr>
    </w:div>
    <w:div w:id="1253705108">
      <w:bodyDiv w:val="1"/>
      <w:marLeft w:val="0"/>
      <w:marRight w:val="0"/>
      <w:marTop w:val="0"/>
      <w:marBottom w:val="0"/>
      <w:divBdr>
        <w:top w:val="none" w:sz="0" w:space="0" w:color="auto"/>
        <w:left w:val="none" w:sz="0" w:space="0" w:color="auto"/>
        <w:bottom w:val="none" w:sz="0" w:space="0" w:color="auto"/>
        <w:right w:val="none" w:sz="0" w:space="0" w:color="auto"/>
      </w:divBdr>
    </w:div>
    <w:div w:id="12564784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612">
          <w:marLeft w:val="0"/>
          <w:marRight w:val="0"/>
          <w:marTop w:val="0"/>
          <w:marBottom w:val="0"/>
          <w:divBdr>
            <w:top w:val="none" w:sz="0" w:space="0" w:color="auto"/>
            <w:left w:val="none" w:sz="0" w:space="0" w:color="auto"/>
            <w:bottom w:val="none" w:sz="0" w:space="0" w:color="auto"/>
            <w:right w:val="none" w:sz="0" w:space="0" w:color="auto"/>
          </w:divBdr>
          <w:divsChild>
            <w:div w:id="979455607">
              <w:marLeft w:val="0"/>
              <w:marRight w:val="0"/>
              <w:marTop w:val="0"/>
              <w:marBottom w:val="0"/>
              <w:divBdr>
                <w:top w:val="none" w:sz="0" w:space="0" w:color="auto"/>
                <w:left w:val="none" w:sz="0" w:space="0" w:color="auto"/>
                <w:bottom w:val="none" w:sz="0" w:space="0" w:color="auto"/>
                <w:right w:val="none" w:sz="0" w:space="0" w:color="auto"/>
              </w:divBdr>
              <w:divsChild>
                <w:div w:id="130828084">
                  <w:marLeft w:val="0"/>
                  <w:marRight w:val="0"/>
                  <w:marTop w:val="0"/>
                  <w:marBottom w:val="0"/>
                  <w:divBdr>
                    <w:top w:val="none" w:sz="0" w:space="0" w:color="auto"/>
                    <w:left w:val="none" w:sz="0" w:space="0" w:color="auto"/>
                    <w:bottom w:val="none" w:sz="0" w:space="0" w:color="auto"/>
                    <w:right w:val="none" w:sz="0" w:space="0" w:color="auto"/>
                  </w:divBdr>
                  <w:divsChild>
                    <w:div w:id="1077440533">
                      <w:marLeft w:val="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0137">
      <w:bodyDiv w:val="1"/>
      <w:marLeft w:val="0"/>
      <w:marRight w:val="0"/>
      <w:marTop w:val="0"/>
      <w:marBottom w:val="0"/>
      <w:divBdr>
        <w:top w:val="none" w:sz="0" w:space="0" w:color="auto"/>
        <w:left w:val="none" w:sz="0" w:space="0" w:color="auto"/>
        <w:bottom w:val="none" w:sz="0" w:space="0" w:color="auto"/>
        <w:right w:val="none" w:sz="0" w:space="0" w:color="auto"/>
      </w:divBdr>
    </w:div>
    <w:div w:id="1294870068">
      <w:bodyDiv w:val="1"/>
      <w:marLeft w:val="0"/>
      <w:marRight w:val="0"/>
      <w:marTop w:val="0"/>
      <w:marBottom w:val="0"/>
      <w:divBdr>
        <w:top w:val="none" w:sz="0" w:space="0" w:color="auto"/>
        <w:left w:val="none" w:sz="0" w:space="0" w:color="auto"/>
        <w:bottom w:val="none" w:sz="0" w:space="0" w:color="auto"/>
        <w:right w:val="none" w:sz="0" w:space="0" w:color="auto"/>
      </w:divBdr>
    </w:div>
    <w:div w:id="1296452724">
      <w:bodyDiv w:val="1"/>
      <w:marLeft w:val="0"/>
      <w:marRight w:val="0"/>
      <w:marTop w:val="0"/>
      <w:marBottom w:val="0"/>
      <w:divBdr>
        <w:top w:val="none" w:sz="0" w:space="0" w:color="auto"/>
        <w:left w:val="none" w:sz="0" w:space="0" w:color="auto"/>
        <w:bottom w:val="none" w:sz="0" w:space="0" w:color="auto"/>
        <w:right w:val="none" w:sz="0" w:space="0" w:color="auto"/>
      </w:divBdr>
    </w:div>
    <w:div w:id="1306351044">
      <w:bodyDiv w:val="1"/>
      <w:marLeft w:val="0"/>
      <w:marRight w:val="0"/>
      <w:marTop w:val="0"/>
      <w:marBottom w:val="0"/>
      <w:divBdr>
        <w:top w:val="none" w:sz="0" w:space="0" w:color="auto"/>
        <w:left w:val="none" w:sz="0" w:space="0" w:color="auto"/>
        <w:bottom w:val="none" w:sz="0" w:space="0" w:color="auto"/>
        <w:right w:val="none" w:sz="0" w:space="0" w:color="auto"/>
      </w:divBdr>
    </w:div>
    <w:div w:id="1322544912">
      <w:bodyDiv w:val="1"/>
      <w:marLeft w:val="0"/>
      <w:marRight w:val="0"/>
      <w:marTop w:val="0"/>
      <w:marBottom w:val="0"/>
      <w:divBdr>
        <w:top w:val="none" w:sz="0" w:space="0" w:color="auto"/>
        <w:left w:val="none" w:sz="0" w:space="0" w:color="auto"/>
        <w:bottom w:val="none" w:sz="0" w:space="0" w:color="auto"/>
        <w:right w:val="none" w:sz="0" w:space="0" w:color="auto"/>
      </w:divBdr>
    </w:div>
    <w:div w:id="1326670102">
      <w:bodyDiv w:val="1"/>
      <w:marLeft w:val="0"/>
      <w:marRight w:val="0"/>
      <w:marTop w:val="0"/>
      <w:marBottom w:val="0"/>
      <w:divBdr>
        <w:top w:val="none" w:sz="0" w:space="0" w:color="auto"/>
        <w:left w:val="none" w:sz="0" w:space="0" w:color="auto"/>
        <w:bottom w:val="none" w:sz="0" w:space="0" w:color="auto"/>
        <w:right w:val="none" w:sz="0" w:space="0" w:color="auto"/>
      </w:divBdr>
    </w:div>
    <w:div w:id="1338119880">
      <w:bodyDiv w:val="1"/>
      <w:marLeft w:val="0"/>
      <w:marRight w:val="0"/>
      <w:marTop w:val="0"/>
      <w:marBottom w:val="0"/>
      <w:divBdr>
        <w:top w:val="none" w:sz="0" w:space="0" w:color="auto"/>
        <w:left w:val="none" w:sz="0" w:space="0" w:color="auto"/>
        <w:bottom w:val="none" w:sz="0" w:space="0" w:color="auto"/>
        <w:right w:val="none" w:sz="0" w:space="0" w:color="auto"/>
      </w:divBdr>
    </w:div>
    <w:div w:id="1354919951">
      <w:bodyDiv w:val="1"/>
      <w:marLeft w:val="0"/>
      <w:marRight w:val="0"/>
      <w:marTop w:val="0"/>
      <w:marBottom w:val="0"/>
      <w:divBdr>
        <w:top w:val="none" w:sz="0" w:space="0" w:color="auto"/>
        <w:left w:val="none" w:sz="0" w:space="0" w:color="auto"/>
        <w:bottom w:val="none" w:sz="0" w:space="0" w:color="auto"/>
        <w:right w:val="none" w:sz="0" w:space="0" w:color="auto"/>
      </w:divBdr>
    </w:div>
    <w:div w:id="1358237463">
      <w:bodyDiv w:val="1"/>
      <w:marLeft w:val="0"/>
      <w:marRight w:val="0"/>
      <w:marTop w:val="0"/>
      <w:marBottom w:val="0"/>
      <w:divBdr>
        <w:top w:val="none" w:sz="0" w:space="0" w:color="auto"/>
        <w:left w:val="none" w:sz="0" w:space="0" w:color="auto"/>
        <w:bottom w:val="none" w:sz="0" w:space="0" w:color="auto"/>
        <w:right w:val="none" w:sz="0" w:space="0" w:color="auto"/>
      </w:divBdr>
    </w:div>
    <w:div w:id="1366448186">
      <w:bodyDiv w:val="1"/>
      <w:marLeft w:val="0"/>
      <w:marRight w:val="0"/>
      <w:marTop w:val="0"/>
      <w:marBottom w:val="0"/>
      <w:divBdr>
        <w:top w:val="none" w:sz="0" w:space="0" w:color="auto"/>
        <w:left w:val="none" w:sz="0" w:space="0" w:color="auto"/>
        <w:bottom w:val="none" w:sz="0" w:space="0" w:color="auto"/>
        <w:right w:val="none" w:sz="0" w:space="0" w:color="auto"/>
      </w:divBdr>
    </w:div>
    <w:div w:id="1379819211">
      <w:bodyDiv w:val="1"/>
      <w:marLeft w:val="0"/>
      <w:marRight w:val="0"/>
      <w:marTop w:val="0"/>
      <w:marBottom w:val="0"/>
      <w:divBdr>
        <w:top w:val="none" w:sz="0" w:space="0" w:color="auto"/>
        <w:left w:val="none" w:sz="0" w:space="0" w:color="auto"/>
        <w:bottom w:val="none" w:sz="0" w:space="0" w:color="auto"/>
        <w:right w:val="none" w:sz="0" w:space="0" w:color="auto"/>
      </w:divBdr>
    </w:div>
    <w:div w:id="1424760396">
      <w:bodyDiv w:val="1"/>
      <w:marLeft w:val="0"/>
      <w:marRight w:val="0"/>
      <w:marTop w:val="0"/>
      <w:marBottom w:val="0"/>
      <w:divBdr>
        <w:top w:val="none" w:sz="0" w:space="0" w:color="auto"/>
        <w:left w:val="none" w:sz="0" w:space="0" w:color="auto"/>
        <w:bottom w:val="none" w:sz="0" w:space="0" w:color="auto"/>
        <w:right w:val="none" w:sz="0" w:space="0" w:color="auto"/>
      </w:divBdr>
    </w:div>
    <w:div w:id="1434125750">
      <w:bodyDiv w:val="1"/>
      <w:marLeft w:val="0"/>
      <w:marRight w:val="0"/>
      <w:marTop w:val="0"/>
      <w:marBottom w:val="0"/>
      <w:divBdr>
        <w:top w:val="none" w:sz="0" w:space="0" w:color="auto"/>
        <w:left w:val="none" w:sz="0" w:space="0" w:color="auto"/>
        <w:bottom w:val="none" w:sz="0" w:space="0" w:color="auto"/>
        <w:right w:val="none" w:sz="0" w:space="0" w:color="auto"/>
      </w:divBdr>
    </w:div>
    <w:div w:id="1475872428">
      <w:bodyDiv w:val="1"/>
      <w:marLeft w:val="0"/>
      <w:marRight w:val="0"/>
      <w:marTop w:val="0"/>
      <w:marBottom w:val="0"/>
      <w:divBdr>
        <w:top w:val="none" w:sz="0" w:space="0" w:color="auto"/>
        <w:left w:val="none" w:sz="0" w:space="0" w:color="auto"/>
        <w:bottom w:val="none" w:sz="0" w:space="0" w:color="auto"/>
        <w:right w:val="none" w:sz="0" w:space="0" w:color="auto"/>
      </w:divBdr>
    </w:div>
    <w:div w:id="1494712198">
      <w:bodyDiv w:val="1"/>
      <w:marLeft w:val="0"/>
      <w:marRight w:val="0"/>
      <w:marTop w:val="0"/>
      <w:marBottom w:val="0"/>
      <w:divBdr>
        <w:top w:val="none" w:sz="0" w:space="0" w:color="auto"/>
        <w:left w:val="none" w:sz="0" w:space="0" w:color="auto"/>
        <w:bottom w:val="none" w:sz="0" w:space="0" w:color="auto"/>
        <w:right w:val="none" w:sz="0" w:space="0" w:color="auto"/>
      </w:divBdr>
    </w:div>
    <w:div w:id="1527329314">
      <w:bodyDiv w:val="1"/>
      <w:marLeft w:val="0"/>
      <w:marRight w:val="0"/>
      <w:marTop w:val="0"/>
      <w:marBottom w:val="0"/>
      <w:divBdr>
        <w:top w:val="none" w:sz="0" w:space="0" w:color="auto"/>
        <w:left w:val="none" w:sz="0" w:space="0" w:color="auto"/>
        <w:bottom w:val="none" w:sz="0" w:space="0" w:color="auto"/>
        <w:right w:val="none" w:sz="0" w:space="0" w:color="auto"/>
      </w:divBdr>
    </w:div>
    <w:div w:id="1552304278">
      <w:bodyDiv w:val="1"/>
      <w:marLeft w:val="0"/>
      <w:marRight w:val="0"/>
      <w:marTop w:val="0"/>
      <w:marBottom w:val="0"/>
      <w:divBdr>
        <w:top w:val="none" w:sz="0" w:space="0" w:color="auto"/>
        <w:left w:val="none" w:sz="0" w:space="0" w:color="auto"/>
        <w:bottom w:val="none" w:sz="0" w:space="0" w:color="auto"/>
        <w:right w:val="none" w:sz="0" w:space="0" w:color="auto"/>
      </w:divBdr>
    </w:div>
    <w:div w:id="1555236984">
      <w:bodyDiv w:val="1"/>
      <w:marLeft w:val="0"/>
      <w:marRight w:val="0"/>
      <w:marTop w:val="0"/>
      <w:marBottom w:val="0"/>
      <w:divBdr>
        <w:top w:val="none" w:sz="0" w:space="0" w:color="auto"/>
        <w:left w:val="none" w:sz="0" w:space="0" w:color="auto"/>
        <w:bottom w:val="none" w:sz="0" w:space="0" w:color="auto"/>
        <w:right w:val="none" w:sz="0" w:space="0" w:color="auto"/>
      </w:divBdr>
    </w:div>
    <w:div w:id="1561090239">
      <w:bodyDiv w:val="1"/>
      <w:marLeft w:val="0"/>
      <w:marRight w:val="0"/>
      <w:marTop w:val="0"/>
      <w:marBottom w:val="0"/>
      <w:divBdr>
        <w:top w:val="none" w:sz="0" w:space="0" w:color="auto"/>
        <w:left w:val="none" w:sz="0" w:space="0" w:color="auto"/>
        <w:bottom w:val="none" w:sz="0" w:space="0" w:color="auto"/>
        <w:right w:val="none" w:sz="0" w:space="0" w:color="auto"/>
      </w:divBdr>
    </w:div>
    <w:div w:id="1571774162">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86105950">
      <w:bodyDiv w:val="1"/>
      <w:marLeft w:val="0"/>
      <w:marRight w:val="0"/>
      <w:marTop w:val="0"/>
      <w:marBottom w:val="0"/>
      <w:divBdr>
        <w:top w:val="none" w:sz="0" w:space="0" w:color="auto"/>
        <w:left w:val="none" w:sz="0" w:space="0" w:color="auto"/>
        <w:bottom w:val="none" w:sz="0" w:space="0" w:color="auto"/>
        <w:right w:val="none" w:sz="0" w:space="0" w:color="auto"/>
      </w:divBdr>
    </w:div>
    <w:div w:id="1592087035">
      <w:bodyDiv w:val="1"/>
      <w:marLeft w:val="0"/>
      <w:marRight w:val="0"/>
      <w:marTop w:val="0"/>
      <w:marBottom w:val="0"/>
      <w:divBdr>
        <w:top w:val="none" w:sz="0" w:space="0" w:color="auto"/>
        <w:left w:val="none" w:sz="0" w:space="0" w:color="auto"/>
        <w:bottom w:val="none" w:sz="0" w:space="0" w:color="auto"/>
        <w:right w:val="none" w:sz="0" w:space="0" w:color="auto"/>
      </w:divBdr>
    </w:div>
    <w:div w:id="1615289786">
      <w:bodyDiv w:val="1"/>
      <w:marLeft w:val="0"/>
      <w:marRight w:val="0"/>
      <w:marTop w:val="0"/>
      <w:marBottom w:val="0"/>
      <w:divBdr>
        <w:top w:val="none" w:sz="0" w:space="0" w:color="auto"/>
        <w:left w:val="none" w:sz="0" w:space="0" w:color="auto"/>
        <w:bottom w:val="none" w:sz="0" w:space="0" w:color="auto"/>
        <w:right w:val="none" w:sz="0" w:space="0" w:color="auto"/>
      </w:divBdr>
    </w:div>
    <w:div w:id="1646735903">
      <w:bodyDiv w:val="1"/>
      <w:marLeft w:val="0"/>
      <w:marRight w:val="0"/>
      <w:marTop w:val="0"/>
      <w:marBottom w:val="0"/>
      <w:divBdr>
        <w:top w:val="none" w:sz="0" w:space="0" w:color="auto"/>
        <w:left w:val="none" w:sz="0" w:space="0" w:color="auto"/>
        <w:bottom w:val="none" w:sz="0" w:space="0" w:color="auto"/>
        <w:right w:val="none" w:sz="0" w:space="0" w:color="auto"/>
      </w:divBdr>
    </w:div>
    <w:div w:id="1653943035">
      <w:bodyDiv w:val="1"/>
      <w:marLeft w:val="0"/>
      <w:marRight w:val="0"/>
      <w:marTop w:val="0"/>
      <w:marBottom w:val="0"/>
      <w:divBdr>
        <w:top w:val="none" w:sz="0" w:space="0" w:color="auto"/>
        <w:left w:val="none" w:sz="0" w:space="0" w:color="auto"/>
        <w:bottom w:val="none" w:sz="0" w:space="0" w:color="auto"/>
        <w:right w:val="none" w:sz="0" w:space="0" w:color="auto"/>
      </w:divBdr>
    </w:div>
    <w:div w:id="1683124626">
      <w:bodyDiv w:val="1"/>
      <w:marLeft w:val="0"/>
      <w:marRight w:val="0"/>
      <w:marTop w:val="0"/>
      <w:marBottom w:val="0"/>
      <w:divBdr>
        <w:top w:val="none" w:sz="0" w:space="0" w:color="auto"/>
        <w:left w:val="none" w:sz="0" w:space="0" w:color="auto"/>
        <w:bottom w:val="none" w:sz="0" w:space="0" w:color="auto"/>
        <w:right w:val="none" w:sz="0" w:space="0" w:color="auto"/>
      </w:divBdr>
    </w:div>
    <w:div w:id="1708020820">
      <w:bodyDiv w:val="1"/>
      <w:marLeft w:val="0"/>
      <w:marRight w:val="0"/>
      <w:marTop w:val="0"/>
      <w:marBottom w:val="0"/>
      <w:divBdr>
        <w:top w:val="none" w:sz="0" w:space="0" w:color="auto"/>
        <w:left w:val="none" w:sz="0" w:space="0" w:color="auto"/>
        <w:bottom w:val="none" w:sz="0" w:space="0" w:color="auto"/>
        <w:right w:val="none" w:sz="0" w:space="0" w:color="auto"/>
      </w:divBdr>
    </w:div>
    <w:div w:id="1708488346">
      <w:bodyDiv w:val="1"/>
      <w:marLeft w:val="0"/>
      <w:marRight w:val="0"/>
      <w:marTop w:val="0"/>
      <w:marBottom w:val="0"/>
      <w:divBdr>
        <w:top w:val="none" w:sz="0" w:space="0" w:color="auto"/>
        <w:left w:val="none" w:sz="0" w:space="0" w:color="auto"/>
        <w:bottom w:val="none" w:sz="0" w:space="0" w:color="auto"/>
        <w:right w:val="none" w:sz="0" w:space="0" w:color="auto"/>
      </w:divBdr>
    </w:div>
    <w:div w:id="1755083532">
      <w:bodyDiv w:val="1"/>
      <w:marLeft w:val="0"/>
      <w:marRight w:val="0"/>
      <w:marTop w:val="0"/>
      <w:marBottom w:val="0"/>
      <w:divBdr>
        <w:top w:val="none" w:sz="0" w:space="0" w:color="auto"/>
        <w:left w:val="none" w:sz="0" w:space="0" w:color="auto"/>
        <w:bottom w:val="none" w:sz="0" w:space="0" w:color="auto"/>
        <w:right w:val="none" w:sz="0" w:space="0" w:color="auto"/>
      </w:divBdr>
    </w:div>
    <w:div w:id="1794327369">
      <w:bodyDiv w:val="1"/>
      <w:marLeft w:val="0"/>
      <w:marRight w:val="0"/>
      <w:marTop w:val="0"/>
      <w:marBottom w:val="0"/>
      <w:divBdr>
        <w:top w:val="none" w:sz="0" w:space="0" w:color="auto"/>
        <w:left w:val="none" w:sz="0" w:space="0" w:color="auto"/>
        <w:bottom w:val="none" w:sz="0" w:space="0" w:color="auto"/>
        <w:right w:val="none" w:sz="0" w:space="0" w:color="auto"/>
      </w:divBdr>
    </w:div>
    <w:div w:id="1807897069">
      <w:bodyDiv w:val="1"/>
      <w:marLeft w:val="0"/>
      <w:marRight w:val="0"/>
      <w:marTop w:val="0"/>
      <w:marBottom w:val="0"/>
      <w:divBdr>
        <w:top w:val="none" w:sz="0" w:space="0" w:color="auto"/>
        <w:left w:val="none" w:sz="0" w:space="0" w:color="auto"/>
        <w:bottom w:val="none" w:sz="0" w:space="0" w:color="auto"/>
        <w:right w:val="none" w:sz="0" w:space="0" w:color="auto"/>
      </w:divBdr>
    </w:div>
    <w:div w:id="1824882202">
      <w:bodyDiv w:val="1"/>
      <w:marLeft w:val="0"/>
      <w:marRight w:val="0"/>
      <w:marTop w:val="0"/>
      <w:marBottom w:val="0"/>
      <w:divBdr>
        <w:top w:val="none" w:sz="0" w:space="0" w:color="auto"/>
        <w:left w:val="none" w:sz="0" w:space="0" w:color="auto"/>
        <w:bottom w:val="none" w:sz="0" w:space="0" w:color="auto"/>
        <w:right w:val="none" w:sz="0" w:space="0" w:color="auto"/>
      </w:divBdr>
    </w:div>
    <w:div w:id="1892962477">
      <w:bodyDiv w:val="1"/>
      <w:marLeft w:val="0"/>
      <w:marRight w:val="0"/>
      <w:marTop w:val="0"/>
      <w:marBottom w:val="0"/>
      <w:divBdr>
        <w:top w:val="none" w:sz="0" w:space="0" w:color="auto"/>
        <w:left w:val="none" w:sz="0" w:space="0" w:color="auto"/>
        <w:bottom w:val="none" w:sz="0" w:space="0" w:color="auto"/>
        <w:right w:val="none" w:sz="0" w:space="0" w:color="auto"/>
      </w:divBdr>
    </w:div>
    <w:div w:id="1896969441">
      <w:bodyDiv w:val="1"/>
      <w:marLeft w:val="0"/>
      <w:marRight w:val="0"/>
      <w:marTop w:val="0"/>
      <w:marBottom w:val="0"/>
      <w:divBdr>
        <w:top w:val="none" w:sz="0" w:space="0" w:color="auto"/>
        <w:left w:val="none" w:sz="0" w:space="0" w:color="auto"/>
        <w:bottom w:val="none" w:sz="0" w:space="0" w:color="auto"/>
        <w:right w:val="none" w:sz="0" w:space="0" w:color="auto"/>
      </w:divBdr>
    </w:div>
    <w:div w:id="1919901489">
      <w:bodyDiv w:val="1"/>
      <w:marLeft w:val="0"/>
      <w:marRight w:val="0"/>
      <w:marTop w:val="0"/>
      <w:marBottom w:val="0"/>
      <w:divBdr>
        <w:top w:val="none" w:sz="0" w:space="0" w:color="auto"/>
        <w:left w:val="none" w:sz="0" w:space="0" w:color="auto"/>
        <w:bottom w:val="none" w:sz="0" w:space="0" w:color="auto"/>
        <w:right w:val="none" w:sz="0" w:space="0" w:color="auto"/>
      </w:divBdr>
    </w:div>
    <w:div w:id="1941529385">
      <w:bodyDiv w:val="1"/>
      <w:marLeft w:val="0"/>
      <w:marRight w:val="0"/>
      <w:marTop w:val="0"/>
      <w:marBottom w:val="0"/>
      <w:divBdr>
        <w:top w:val="none" w:sz="0" w:space="0" w:color="auto"/>
        <w:left w:val="none" w:sz="0" w:space="0" w:color="auto"/>
        <w:bottom w:val="none" w:sz="0" w:space="0" w:color="auto"/>
        <w:right w:val="none" w:sz="0" w:space="0" w:color="auto"/>
      </w:divBdr>
    </w:div>
    <w:div w:id="1997607600">
      <w:bodyDiv w:val="1"/>
      <w:marLeft w:val="0"/>
      <w:marRight w:val="0"/>
      <w:marTop w:val="0"/>
      <w:marBottom w:val="0"/>
      <w:divBdr>
        <w:top w:val="none" w:sz="0" w:space="0" w:color="auto"/>
        <w:left w:val="none" w:sz="0" w:space="0" w:color="auto"/>
        <w:bottom w:val="none" w:sz="0" w:space="0" w:color="auto"/>
        <w:right w:val="none" w:sz="0" w:space="0" w:color="auto"/>
      </w:divBdr>
    </w:div>
    <w:div w:id="2014138582">
      <w:bodyDiv w:val="1"/>
      <w:marLeft w:val="0"/>
      <w:marRight w:val="0"/>
      <w:marTop w:val="0"/>
      <w:marBottom w:val="0"/>
      <w:divBdr>
        <w:top w:val="none" w:sz="0" w:space="0" w:color="auto"/>
        <w:left w:val="none" w:sz="0" w:space="0" w:color="auto"/>
        <w:bottom w:val="none" w:sz="0" w:space="0" w:color="auto"/>
        <w:right w:val="none" w:sz="0" w:space="0" w:color="auto"/>
      </w:divBdr>
    </w:div>
    <w:div w:id="2026247161">
      <w:bodyDiv w:val="1"/>
      <w:marLeft w:val="0"/>
      <w:marRight w:val="0"/>
      <w:marTop w:val="0"/>
      <w:marBottom w:val="0"/>
      <w:divBdr>
        <w:top w:val="none" w:sz="0" w:space="0" w:color="auto"/>
        <w:left w:val="none" w:sz="0" w:space="0" w:color="auto"/>
        <w:bottom w:val="none" w:sz="0" w:space="0" w:color="auto"/>
        <w:right w:val="none" w:sz="0" w:space="0" w:color="auto"/>
      </w:divBdr>
    </w:div>
    <w:div w:id="2026395195">
      <w:bodyDiv w:val="1"/>
      <w:marLeft w:val="0"/>
      <w:marRight w:val="0"/>
      <w:marTop w:val="0"/>
      <w:marBottom w:val="0"/>
      <w:divBdr>
        <w:top w:val="none" w:sz="0" w:space="0" w:color="auto"/>
        <w:left w:val="none" w:sz="0" w:space="0" w:color="auto"/>
        <w:bottom w:val="none" w:sz="0" w:space="0" w:color="auto"/>
        <w:right w:val="none" w:sz="0" w:space="0" w:color="auto"/>
      </w:divBdr>
    </w:div>
    <w:div w:id="2041472158">
      <w:bodyDiv w:val="1"/>
      <w:marLeft w:val="0"/>
      <w:marRight w:val="0"/>
      <w:marTop w:val="0"/>
      <w:marBottom w:val="0"/>
      <w:divBdr>
        <w:top w:val="none" w:sz="0" w:space="0" w:color="auto"/>
        <w:left w:val="none" w:sz="0" w:space="0" w:color="auto"/>
        <w:bottom w:val="none" w:sz="0" w:space="0" w:color="auto"/>
        <w:right w:val="none" w:sz="0" w:space="0" w:color="auto"/>
      </w:divBdr>
    </w:div>
    <w:div w:id="2092239811">
      <w:bodyDiv w:val="1"/>
      <w:marLeft w:val="0"/>
      <w:marRight w:val="0"/>
      <w:marTop w:val="0"/>
      <w:marBottom w:val="0"/>
      <w:divBdr>
        <w:top w:val="none" w:sz="0" w:space="0" w:color="auto"/>
        <w:left w:val="none" w:sz="0" w:space="0" w:color="auto"/>
        <w:bottom w:val="none" w:sz="0" w:space="0" w:color="auto"/>
        <w:right w:val="none" w:sz="0" w:space="0" w:color="auto"/>
      </w:divBdr>
    </w:div>
    <w:div w:id="21389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y.freeman@lbb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72DF-870A-451C-A67C-D539522C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4014</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Appendix A - New Report Layout including Sign Off Sheet</vt:lpstr>
    </vt:vector>
  </TitlesOfParts>
  <Company>LBBD</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New Report Layout including Sign Off Sheet</dc:title>
  <dc:subject>Report Writing</dc:subject>
  <dc:creator>Barry Ray</dc:creator>
  <cp:lastModifiedBy>Young Nichola</cp:lastModifiedBy>
  <cp:revision>3</cp:revision>
  <cp:lastPrinted>2018-10-11T14:31:00Z</cp:lastPrinted>
  <dcterms:created xsi:type="dcterms:W3CDTF">2018-10-12T09:55:00Z</dcterms:created>
  <dcterms:modified xsi:type="dcterms:W3CDTF">2018-10-12T09:56:00Z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endixCharacter">
    <vt:lpwstr> </vt:lpwstr>
  </property>
</Properties>
</file>