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76D3C" w14:textId="77777777" w:rsidR="003568BF" w:rsidRPr="004F787C" w:rsidRDefault="003568BF" w:rsidP="003568BF">
      <w:pPr>
        <w:jc w:val="center"/>
        <w:rPr>
          <w:rFonts w:cs="Arial"/>
          <w:b/>
          <w:color w:val="000000"/>
        </w:rPr>
      </w:pPr>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14:paraId="6B2686BD" w14:textId="77777777" w:rsidR="009A0F2F" w:rsidRPr="00F62747" w:rsidRDefault="009A0F2F" w:rsidP="00242399">
      <w:pPr>
        <w:jc w:val="center"/>
        <w:rPr>
          <w:rFonts w:cs="Arial"/>
          <w:b/>
          <w:color w:val="000000"/>
          <w:sz w:val="20"/>
          <w:szCs w:val="20"/>
        </w:rPr>
      </w:pPr>
    </w:p>
    <w:p w14:paraId="400BE8E3" w14:textId="77777777" w:rsidR="009A0F2F" w:rsidRPr="00DD34BC" w:rsidRDefault="00BB7BD9" w:rsidP="00DD34BC">
      <w:pPr>
        <w:jc w:val="center"/>
        <w:rPr>
          <w:rFonts w:cs="Arial"/>
          <w:b/>
          <w:color w:val="000000"/>
        </w:rPr>
      </w:pPr>
      <w:r w:rsidRPr="004F787C">
        <w:rPr>
          <w:rFonts w:cs="Arial"/>
          <w:b/>
          <w:color w:val="000000"/>
        </w:rPr>
        <w:t>(</w:t>
      </w:r>
      <w:r w:rsidR="00C00C13">
        <w:rPr>
          <w:rFonts w:cs="Arial"/>
          <w:b/>
          <w:color w:val="000000"/>
        </w:rPr>
        <w:t>19</w:t>
      </w:r>
      <w:r w:rsidR="0005699A" w:rsidRPr="0005699A">
        <w:rPr>
          <w:rFonts w:cs="Arial"/>
          <w:b/>
          <w:color w:val="000000"/>
          <w:vertAlign w:val="superscript"/>
        </w:rPr>
        <w:t>th</w:t>
      </w:r>
      <w:r w:rsidR="0005699A">
        <w:rPr>
          <w:rFonts w:cs="Arial"/>
          <w:b/>
          <w:color w:val="000000"/>
        </w:rPr>
        <w:t xml:space="preserve"> </w:t>
      </w:r>
      <w:r w:rsidR="00C00C13">
        <w:rPr>
          <w:rFonts w:cs="Arial"/>
          <w:b/>
          <w:color w:val="000000"/>
        </w:rPr>
        <w:t xml:space="preserve">June </w:t>
      </w:r>
      <w:r w:rsidR="0005699A">
        <w:rPr>
          <w:rFonts w:cs="Arial"/>
          <w:b/>
          <w:color w:val="000000"/>
        </w:rPr>
        <w:t>201</w:t>
      </w:r>
      <w:r w:rsidR="00DE2848">
        <w:rPr>
          <w:rFonts w:cs="Arial"/>
          <w:b/>
          <w:color w:val="000000"/>
        </w:rPr>
        <w:t>8</w:t>
      </w:r>
      <w:r w:rsidRPr="004F787C">
        <w:rPr>
          <w:rFonts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3449"/>
      </w:tblGrid>
      <w:tr w:rsidR="00462371" w:rsidRPr="00553269" w14:paraId="581F10EC" w14:textId="77777777" w:rsidTr="00E0148C">
        <w:tc>
          <w:tcPr>
            <w:tcW w:w="9631" w:type="dxa"/>
            <w:gridSpan w:val="2"/>
          </w:tcPr>
          <w:p w14:paraId="23F2196B" w14:textId="77777777" w:rsidR="00462371" w:rsidRPr="00721B34" w:rsidRDefault="00462371" w:rsidP="00385FC8">
            <w:pPr>
              <w:rPr>
                <w:rFonts w:cs="Arial"/>
                <w:color w:val="000000"/>
              </w:rPr>
            </w:pPr>
            <w:r w:rsidRPr="00721B34">
              <w:rPr>
                <w:rFonts w:cs="Arial"/>
                <w:b/>
              </w:rPr>
              <w:t>Title:</w:t>
            </w:r>
            <w:r w:rsidRPr="00721B34">
              <w:rPr>
                <w:rFonts w:cs="Arial"/>
              </w:rPr>
              <w:t xml:space="preserve"> </w:t>
            </w:r>
            <w:r w:rsidR="00E45801" w:rsidRPr="00721B34">
              <w:rPr>
                <w:rFonts w:cs="Arial"/>
                <w:color w:val="000000"/>
              </w:rPr>
              <w:t>School F</w:t>
            </w:r>
            <w:r w:rsidR="00385FC8" w:rsidRPr="00721B34">
              <w:rPr>
                <w:rFonts w:cs="Arial"/>
                <w:color w:val="000000"/>
              </w:rPr>
              <w:t>orum Report</w:t>
            </w:r>
          </w:p>
          <w:p w14:paraId="19C5E641" w14:textId="77777777" w:rsidR="00385FC8" w:rsidRPr="00721B34" w:rsidRDefault="00385FC8" w:rsidP="00385FC8">
            <w:pPr>
              <w:rPr>
                <w:rFonts w:cs="Arial"/>
              </w:rPr>
            </w:pPr>
          </w:p>
        </w:tc>
      </w:tr>
      <w:tr w:rsidR="00461800" w:rsidRPr="00553269" w14:paraId="4A2D0B4C" w14:textId="77777777" w:rsidTr="00E0148C">
        <w:tc>
          <w:tcPr>
            <w:tcW w:w="6182" w:type="dxa"/>
          </w:tcPr>
          <w:p w14:paraId="3AD90840" w14:textId="77777777" w:rsidR="00461800" w:rsidRPr="00721B34" w:rsidRDefault="00461800" w:rsidP="00462371">
            <w:pPr>
              <w:rPr>
                <w:rFonts w:cs="Arial"/>
              </w:rPr>
            </w:pPr>
            <w:r w:rsidRPr="00721B34">
              <w:rPr>
                <w:rFonts w:cs="Arial"/>
                <w:b/>
              </w:rPr>
              <w:t>O</w:t>
            </w:r>
            <w:r w:rsidR="00DC116F" w:rsidRPr="00721B34">
              <w:rPr>
                <w:rFonts w:cs="Arial"/>
                <w:b/>
              </w:rPr>
              <w:t>pen</w:t>
            </w:r>
          </w:p>
          <w:p w14:paraId="331E42E9" w14:textId="77777777" w:rsidR="00461800" w:rsidRPr="00721B34" w:rsidRDefault="00461800" w:rsidP="00462371">
            <w:pPr>
              <w:rPr>
                <w:rFonts w:cs="Arial"/>
                <w:b/>
              </w:rPr>
            </w:pPr>
          </w:p>
        </w:tc>
        <w:tc>
          <w:tcPr>
            <w:tcW w:w="3449" w:type="dxa"/>
          </w:tcPr>
          <w:p w14:paraId="2AF9BF4F" w14:textId="77777777" w:rsidR="00461800" w:rsidRPr="00721B34" w:rsidRDefault="00462371" w:rsidP="00F62747">
            <w:pPr>
              <w:rPr>
                <w:rFonts w:cs="Arial"/>
                <w:b/>
              </w:rPr>
            </w:pPr>
            <w:r w:rsidRPr="00721B34">
              <w:rPr>
                <w:rFonts w:cs="Arial"/>
                <w:b/>
              </w:rPr>
              <w:t>For Decision / For Information</w:t>
            </w:r>
          </w:p>
        </w:tc>
      </w:tr>
      <w:tr w:rsidR="00462371" w:rsidRPr="00553269" w14:paraId="2845F6FE" w14:textId="77777777" w:rsidTr="00E0148C">
        <w:tc>
          <w:tcPr>
            <w:tcW w:w="6182" w:type="dxa"/>
          </w:tcPr>
          <w:p w14:paraId="3D173508" w14:textId="77777777" w:rsidR="00462371" w:rsidRPr="00721B34" w:rsidRDefault="00462371" w:rsidP="00191E9D">
            <w:pPr>
              <w:rPr>
                <w:rFonts w:cs="Arial"/>
                <w:b/>
              </w:rPr>
            </w:pPr>
            <w:r w:rsidRPr="00721B34">
              <w:rPr>
                <w:rFonts w:cs="Arial"/>
                <w:b/>
              </w:rPr>
              <w:t xml:space="preserve">Wards Affected: </w:t>
            </w:r>
            <w:r w:rsidR="004F787C" w:rsidRPr="00721B34">
              <w:rPr>
                <w:rFonts w:cs="Arial"/>
                <w:b/>
              </w:rPr>
              <w:t>All</w:t>
            </w:r>
          </w:p>
        </w:tc>
        <w:tc>
          <w:tcPr>
            <w:tcW w:w="3449" w:type="dxa"/>
          </w:tcPr>
          <w:p w14:paraId="3E5A4641" w14:textId="77777777" w:rsidR="00462371" w:rsidRPr="00721B34" w:rsidRDefault="00462371" w:rsidP="004F787C">
            <w:pPr>
              <w:rPr>
                <w:rFonts w:cs="Arial"/>
                <w:b/>
              </w:rPr>
            </w:pPr>
            <w:r w:rsidRPr="00721B34">
              <w:rPr>
                <w:rFonts w:cs="Arial"/>
                <w:b/>
              </w:rPr>
              <w:t xml:space="preserve">Key Decision: </w:t>
            </w:r>
            <w:r w:rsidR="004F787C" w:rsidRPr="00721B34">
              <w:rPr>
                <w:rFonts w:cs="Arial"/>
                <w:b/>
              </w:rPr>
              <w:t>No</w:t>
            </w:r>
          </w:p>
        </w:tc>
      </w:tr>
      <w:tr w:rsidR="00462371" w:rsidRPr="00553269" w14:paraId="583F3D49" w14:textId="77777777" w:rsidTr="00E0148C">
        <w:tc>
          <w:tcPr>
            <w:tcW w:w="6182" w:type="dxa"/>
          </w:tcPr>
          <w:p w14:paraId="1F213DC6" w14:textId="77777777" w:rsidR="00462371" w:rsidRPr="00721B34" w:rsidRDefault="00462371" w:rsidP="00462371">
            <w:pPr>
              <w:rPr>
                <w:rFonts w:cs="Arial"/>
                <w:b/>
              </w:rPr>
            </w:pPr>
            <w:r w:rsidRPr="00721B34">
              <w:rPr>
                <w:rFonts w:cs="Arial"/>
                <w:b/>
              </w:rPr>
              <w:t xml:space="preserve">Report </w:t>
            </w:r>
            <w:r w:rsidR="006E145D" w:rsidRPr="00721B34">
              <w:rPr>
                <w:rFonts w:cs="Arial"/>
                <w:b/>
              </w:rPr>
              <w:t>Author</w:t>
            </w:r>
            <w:r w:rsidRPr="00721B34">
              <w:rPr>
                <w:rFonts w:cs="Arial"/>
                <w:b/>
              </w:rPr>
              <w:t xml:space="preserve">: </w:t>
            </w:r>
          </w:p>
          <w:p w14:paraId="594BA40E" w14:textId="77777777" w:rsidR="004F787C" w:rsidRPr="00721B34" w:rsidRDefault="00D86826" w:rsidP="00462371">
            <w:pPr>
              <w:rPr>
                <w:rFonts w:cs="Arial"/>
              </w:rPr>
            </w:pPr>
            <w:r w:rsidRPr="00721B34">
              <w:rPr>
                <w:rFonts w:cs="Arial"/>
              </w:rPr>
              <w:t>Daksha Chauhan</w:t>
            </w:r>
            <w:r w:rsidR="004F787C" w:rsidRPr="00721B34">
              <w:rPr>
                <w:rFonts w:cs="Arial"/>
              </w:rPr>
              <w:t xml:space="preserve"> – Group </w:t>
            </w:r>
            <w:r w:rsidR="00E17639" w:rsidRPr="00721B34">
              <w:rPr>
                <w:rFonts w:cs="Arial"/>
              </w:rPr>
              <w:t>Accountant</w:t>
            </w:r>
            <w:r w:rsidR="004F787C" w:rsidRPr="00721B34">
              <w:rPr>
                <w:rFonts w:cs="Arial"/>
              </w:rPr>
              <w:t xml:space="preserve"> (Finance)</w:t>
            </w:r>
          </w:p>
          <w:p w14:paraId="45E17FBB" w14:textId="77777777" w:rsidR="00A710A1" w:rsidRPr="00721B34" w:rsidRDefault="00A710A1" w:rsidP="00462371">
            <w:pPr>
              <w:rPr>
                <w:rFonts w:cs="Arial"/>
                <w:b/>
              </w:rPr>
            </w:pPr>
          </w:p>
          <w:p w14:paraId="76EE102F" w14:textId="77777777" w:rsidR="00462371" w:rsidRPr="00721B34" w:rsidRDefault="00462371" w:rsidP="00462371">
            <w:pPr>
              <w:rPr>
                <w:rFonts w:cs="Arial"/>
                <w:b/>
              </w:rPr>
            </w:pPr>
          </w:p>
        </w:tc>
        <w:tc>
          <w:tcPr>
            <w:tcW w:w="3449" w:type="dxa"/>
          </w:tcPr>
          <w:p w14:paraId="25EFC074" w14:textId="77777777" w:rsidR="00462371" w:rsidRPr="00721B34" w:rsidRDefault="00462371" w:rsidP="00553269">
            <w:pPr>
              <w:pStyle w:val="Header"/>
              <w:tabs>
                <w:tab w:val="clear" w:pos="4320"/>
                <w:tab w:val="clear" w:pos="8640"/>
              </w:tabs>
              <w:rPr>
                <w:rFonts w:cs="Arial"/>
                <w:b/>
              </w:rPr>
            </w:pPr>
            <w:r w:rsidRPr="00721B34">
              <w:rPr>
                <w:rFonts w:cs="Arial"/>
                <w:b/>
              </w:rPr>
              <w:t>Contact Details:</w:t>
            </w:r>
          </w:p>
          <w:p w14:paraId="79B6F2D6" w14:textId="77777777" w:rsidR="00462371" w:rsidRPr="00721B34" w:rsidRDefault="00462371" w:rsidP="00462371">
            <w:pPr>
              <w:rPr>
                <w:rFonts w:cs="Arial"/>
                <w:color w:val="000000"/>
              </w:rPr>
            </w:pPr>
            <w:r w:rsidRPr="00721B34">
              <w:rPr>
                <w:rFonts w:cs="Arial"/>
              </w:rPr>
              <w:t xml:space="preserve">Tel: 020 </w:t>
            </w:r>
            <w:r w:rsidR="004F787C" w:rsidRPr="00721B34">
              <w:rPr>
                <w:rFonts w:cs="Arial"/>
                <w:color w:val="000000"/>
              </w:rPr>
              <w:t xml:space="preserve">8724 </w:t>
            </w:r>
            <w:r w:rsidR="002434F6" w:rsidRPr="00721B34">
              <w:rPr>
                <w:rFonts w:cs="Arial"/>
                <w:color w:val="000000"/>
              </w:rPr>
              <w:t>2250</w:t>
            </w:r>
          </w:p>
          <w:p w14:paraId="7A8EEDA1" w14:textId="77777777" w:rsidR="00462371" w:rsidRPr="00721B34" w:rsidRDefault="00462371" w:rsidP="002434F6">
            <w:pPr>
              <w:rPr>
                <w:rFonts w:cs="Arial"/>
                <w:color w:val="000000"/>
              </w:rPr>
            </w:pPr>
            <w:r w:rsidRPr="00721B34">
              <w:rPr>
                <w:rFonts w:cs="Arial"/>
              </w:rPr>
              <w:t xml:space="preserve">E-mail: </w:t>
            </w:r>
            <w:r w:rsidR="002434F6" w:rsidRPr="00721B34">
              <w:rPr>
                <w:rFonts w:cs="Arial"/>
              </w:rPr>
              <w:t>daksha.chauhan</w:t>
            </w:r>
            <w:r w:rsidR="004F787C" w:rsidRPr="00721B34">
              <w:rPr>
                <w:rFonts w:cs="Arial"/>
                <w:color w:val="000000"/>
              </w:rPr>
              <w:t>@lbbd.gov.uk</w:t>
            </w:r>
          </w:p>
        </w:tc>
      </w:tr>
      <w:tr w:rsidR="00462371" w:rsidRPr="00553269" w14:paraId="7A564077" w14:textId="77777777" w:rsidTr="00E0148C">
        <w:tc>
          <w:tcPr>
            <w:tcW w:w="9631" w:type="dxa"/>
            <w:gridSpan w:val="2"/>
          </w:tcPr>
          <w:p w14:paraId="0D1F06D8" w14:textId="77777777" w:rsidR="00462371" w:rsidRPr="00721B34" w:rsidRDefault="00D17978" w:rsidP="00D17978">
            <w:pPr>
              <w:rPr>
                <w:rFonts w:cs="Arial"/>
              </w:rPr>
            </w:pPr>
            <w:r w:rsidRPr="00721B34">
              <w:rPr>
                <w:rFonts w:cs="Arial"/>
                <w:b/>
              </w:rPr>
              <w:t xml:space="preserve">Accountable </w:t>
            </w:r>
            <w:r w:rsidR="00A45DB2">
              <w:rPr>
                <w:rFonts w:cs="Arial"/>
                <w:b/>
              </w:rPr>
              <w:t>Oper</w:t>
            </w:r>
            <w:r w:rsidR="005A06A8">
              <w:rPr>
                <w:rFonts w:cs="Arial"/>
                <w:b/>
              </w:rPr>
              <w:t>a</w:t>
            </w:r>
            <w:r w:rsidR="00A45DB2">
              <w:rPr>
                <w:rFonts w:cs="Arial"/>
                <w:b/>
              </w:rPr>
              <w:t>tional</w:t>
            </w:r>
            <w:r w:rsidRPr="00721B34">
              <w:rPr>
                <w:rFonts w:cs="Arial"/>
                <w:b/>
              </w:rPr>
              <w:t xml:space="preserve"> Director:</w:t>
            </w:r>
            <w:r w:rsidR="004F787C" w:rsidRPr="00721B34">
              <w:rPr>
                <w:rFonts w:cs="Arial"/>
                <w:b/>
              </w:rPr>
              <w:t xml:space="preserve"> </w:t>
            </w:r>
            <w:r w:rsidR="004F787C" w:rsidRPr="00721B34">
              <w:rPr>
                <w:rFonts w:cs="Arial"/>
              </w:rPr>
              <w:t xml:space="preserve">Jane Hargreaves – </w:t>
            </w:r>
            <w:r w:rsidR="00A45DB2">
              <w:rPr>
                <w:rFonts w:cs="Arial"/>
              </w:rPr>
              <w:t>Commissioning Director for Education Youth and Childcare</w:t>
            </w:r>
          </w:p>
        </w:tc>
      </w:tr>
      <w:tr w:rsidR="00462371" w:rsidRPr="00553269" w14:paraId="043D5132" w14:textId="77777777" w:rsidTr="00E0148C">
        <w:trPr>
          <w:trHeight w:val="347"/>
        </w:trPr>
        <w:tc>
          <w:tcPr>
            <w:tcW w:w="9631" w:type="dxa"/>
            <w:gridSpan w:val="2"/>
          </w:tcPr>
          <w:p w14:paraId="59F417AE" w14:textId="77777777" w:rsidR="00462371" w:rsidRPr="00721B34" w:rsidRDefault="00D17978" w:rsidP="00D17978">
            <w:pPr>
              <w:rPr>
                <w:rFonts w:cs="Arial"/>
              </w:rPr>
            </w:pPr>
            <w:r w:rsidRPr="00721B34">
              <w:rPr>
                <w:rFonts w:cs="Arial"/>
                <w:b/>
              </w:rPr>
              <w:t xml:space="preserve">Accountable </w:t>
            </w:r>
            <w:r w:rsidR="00A45DB2">
              <w:rPr>
                <w:rFonts w:cs="Arial"/>
                <w:b/>
              </w:rPr>
              <w:t xml:space="preserve">Strategic </w:t>
            </w:r>
            <w:r w:rsidRPr="00721B34">
              <w:rPr>
                <w:rFonts w:cs="Arial"/>
                <w:b/>
              </w:rPr>
              <w:t>Director:</w:t>
            </w:r>
            <w:r w:rsidR="004F787C" w:rsidRPr="00721B34">
              <w:rPr>
                <w:rFonts w:cs="Arial"/>
                <w:b/>
              </w:rPr>
              <w:t xml:space="preserve"> </w:t>
            </w:r>
            <w:r w:rsidR="00A45DB2">
              <w:rPr>
                <w:rFonts w:cs="Arial"/>
              </w:rPr>
              <w:t>Anne Bristow</w:t>
            </w:r>
            <w:r w:rsidR="004F787C" w:rsidRPr="00721B34">
              <w:rPr>
                <w:rFonts w:cs="Arial"/>
              </w:rPr>
              <w:t xml:space="preserve"> – </w:t>
            </w:r>
            <w:r w:rsidR="00A45DB2">
              <w:rPr>
                <w:rFonts w:cs="Arial"/>
              </w:rPr>
              <w:t>Strategic Director for Service Development and Integration</w:t>
            </w:r>
          </w:p>
        </w:tc>
      </w:tr>
      <w:tr w:rsidR="00424A8E" w:rsidRPr="00553269" w14:paraId="72EEFEC8" w14:textId="77777777" w:rsidTr="00E0148C">
        <w:tc>
          <w:tcPr>
            <w:tcW w:w="9631" w:type="dxa"/>
            <w:gridSpan w:val="2"/>
            <w:tcBorders>
              <w:bottom w:val="single" w:sz="4" w:space="0" w:color="auto"/>
            </w:tcBorders>
          </w:tcPr>
          <w:p w14:paraId="3F609C9E" w14:textId="77777777" w:rsidR="00E41094" w:rsidRPr="0083246D" w:rsidRDefault="00E41094" w:rsidP="00E41094">
            <w:pPr>
              <w:rPr>
                <w:rFonts w:cs="Arial"/>
              </w:rPr>
            </w:pPr>
            <w:r w:rsidRPr="0083246D">
              <w:rPr>
                <w:rFonts w:cs="Arial"/>
                <w:b/>
              </w:rPr>
              <w:t xml:space="preserve">Summary: </w:t>
            </w:r>
            <w:r w:rsidRPr="0083246D">
              <w:rPr>
                <w:rFonts w:cs="Arial"/>
              </w:rPr>
              <w:t>The purpose of this report is to update the Barking and Dagenham Schools Forum on:</w:t>
            </w:r>
          </w:p>
          <w:p w14:paraId="78652EBD" w14:textId="77777777" w:rsidR="00E41094" w:rsidRPr="00E41094" w:rsidRDefault="00E41094" w:rsidP="00E41094">
            <w:pPr>
              <w:numPr>
                <w:ilvl w:val="0"/>
                <w:numId w:val="4"/>
              </w:numPr>
              <w:ind w:left="993" w:hanging="567"/>
              <w:rPr>
                <w:rFonts w:cs="Arial"/>
              </w:rPr>
            </w:pPr>
            <w:r w:rsidRPr="002B2B7F">
              <w:rPr>
                <w:rFonts w:cs="Arial"/>
              </w:rPr>
              <w:t>(Background)</w:t>
            </w:r>
          </w:p>
          <w:p w14:paraId="5CBF0497" w14:textId="77777777" w:rsidR="00E41094" w:rsidRPr="00D368E9" w:rsidRDefault="00E41094" w:rsidP="00E41094">
            <w:pPr>
              <w:numPr>
                <w:ilvl w:val="0"/>
                <w:numId w:val="4"/>
              </w:numPr>
              <w:ind w:left="993" w:hanging="567"/>
              <w:rPr>
                <w:rFonts w:cs="Arial"/>
              </w:rPr>
            </w:pPr>
            <w:r w:rsidRPr="00D368E9">
              <w:rPr>
                <w:rFonts w:cs="Arial"/>
              </w:rPr>
              <w:t>The Dedic</w:t>
            </w:r>
            <w:r>
              <w:rPr>
                <w:rFonts w:cs="Arial"/>
              </w:rPr>
              <w:t>ated Schools Grant (DSG) 2017-18</w:t>
            </w:r>
            <w:r w:rsidRPr="00D368E9">
              <w:rPr>
                <w:rFonts w:cs="Arial"/>
              </w:rPr>
              <w:t xml:space="preserve"> Outturn</w:t>
            </w:r>
          </w:p>
          <w:p w14:paraId="271FFF7B" w14:textId="77777777" w:rsidR="00E41094" w:rsidRPr="006A0F95" w:rsidRDefault="00E41094" w:rsidP="006A0F95">
            <w:pPr>
              <w:numPr>
                <w:ilvl w:val="0"/>
                <w:numId w:val="4"/>
              </w:numPr>
              <w:ind w:left="993" w:hanging="567"/>
              <w:rPr>
                <w:rFonts w:cs="Arial"/>
              </w:rPr>
            </w:pPr>
            <w:r w:rsidRPr="00D368E9">
              <w:rPr>
                <w:rFonts w:cs="Arial"/>
              </w:rPr>
              <w:t>The DSG Reserv</w:t>
            </w:r>
            <w:r>
              <w:rPr>
                <w:rFonts w:cs="Arial"/>
              </w:rPr>
              <w:t>e Position at the end of 2017-18</w:t>
            </w:r>
          </w:p>
          <w:p w14:paraId="1198D75F" w14:textId="77777777" w:rsidR="00E41094" w:rsidRPr="00D368E9" w:rsidRDefault="00E41094" w:rsidP="00E41094">
            <w:pPr>
              <w:numPr>
                <w:ilvl w:val="0"/>
                <w:numId w:val="4"/>
              </w:numPr>
              <w:ind w:left="993" w:hanging="567"/>
              <w:rPr>
                <w:rFonts w:cs="Arial"/>
              </w:rPr>
            </w:pPr>
            <w:r>
              <w:rPr>
                <w:rFonts w:cs="Arial"/>
              </w:rPr>
              <w:t>Reported School Balances 20</w:t>
            </w:r>
            <w:r w:rsidRPr="00D368E9">
              <w:rPr>
                <w:rFonts w:cs="Arial"/>
              </w:rPr>
              <w:t>1</w:t>
            </w:r>
            <w:r>
              <w:rPr>
                <w:rFonts w:cs="Arial"/>
              </w:rPr>
              <w:t>7-18</w:t>
            </w:r>
          </w:p>
          <w:p w14:paraId="2F8B0824" w14:textId="77777777" w:rsidR="00E41094" w:rsidRDefault="00E41094" w:rsidP="00E41094">
            <w:pPr>
              <w:numPr>
                <w:ilvl w:val="0"/>
                <w:numId w:val="4"/>
              </w:numPr>
              <w:ind w:left="993" w:hanging="567"/>
              <w:rPr>
                <w:rFonts w:cs="Arial"/>
              </w:rPr>
            </w:pPr>
            <w:r>
              <w:rPr>
                <w:rFonts w:cs="Arial"/>
              </w:rPr>
              <w:t>2018-19</w:t>
            </w:r>
            <w:r w:rsidRPr="00D368E9">
              <w:t xml:space="preserve"> Dedicated Schools Grant </w:t>
            </w:r>
            <w:r w:rsidRPr="00D368E9">
              <w:rPr>
                <w:rFonts w:cs="Arial"/>
              </w:rPr>
              <w:t>budget update</w:t>
            </w:r>
          </w:p>
          <w:p w14:paraId="03C42280" w14:textId="77777777" w:rsidR="006B18C2" w:rsidRPr="00D368E9" w:rsidRDefault="006B18C2" w:rsidP="00E41094">
            <w:pPr>
              <w:numPr>
                <w:ilvl w:val="0"/>
                <w:numId w:val="4"/>
              </w:numPr>
              <w:ind w:left="993" w:hanging="567"/>
              <w:rPr>
                <w:rFonts w:cs="Arial"/>
              </w:rPr>
            </w:pPr>
            <w:r>
              <w:rPr>
                <w:rFonts w:cs="Arial"/>
              </w:rPr>
              <w:t>Support for Schools with Falling Rolls</w:t>
            </w:r>
          </w:p>
          <w:p w14:paraId="166C3EAD" w14:textId="77777777" w:rsidR="00E41094" w:rsidRPr="00D368E9" w:rsidRDefault="00E41094" w:rsidP="00E41094">
            <w:pPr>
              <w:numPr>
                <w:ilvl w:val="0"/>
                <w:numId w:val="4"/>
              </w:numPr>
              <w:ind w:left="993" w:hanging="567"/>
              <w:rPr>
                <w:rFonts w:cs="Arial"/>
              </w:rPr>
            </w:pPr>
            <w:r>
              <w:rPr>
                <w:rFonts w:cs="Arial"/>
              </w:rPr>
              <w:t>High Needs Update</w:t>
            </w:r>
          </w:p>
          <w:p w14:paraId="51AD32D6" w14:textId="77777777" w:rsidR="00E41094" w:rsidRPr="00D368E9" w:rsidRDefault="00E41094" w:rsidP="00E41094">
            <w:pPr>
              <w:numPr>
                <w:ilvl w:val="0"/>
                <w:numId w:val="4"/>
              </w:numPr>
              <w:ind w:left="993" w:hanging="567"/>
              <w:rPr>
                <w:rFonts w:cs="Arial"/>
              </w:rPr>
            </w:pPr>
            <w:r>
              <w:rPr>
                <w:rFonts w:cs="Arial"/>
              </w:rPr>
              <w:t>Proposed meeting dates 20</w:t>
            </w:r>
            <w:r w:rsidRPr="00D368E9">
              <w:rPr>
                <w:rFonts w:cs="Arial"/>
              </w:rPr>
              <w:t>1</w:t>
            </w:r>
            <w:r w:rsidR="004002A6">
              <w:rPr>
                <w:rFonts w:cs="Arial"/>
              </w:rPr>
              <w:t>8</w:t>
            </w:r>
            <w:r>
              <w:rPr>
                <w:rFonts w:cs="Arial"/>
              </w:rPr>
              <w:t>-1</w:t>
            </w:r>
            <w:r w:rsidR="004002A6">
              <w:rPr>
                <w:rFonts w:cs="Arial"/>
              </w:rPr>
              <w:t>9</w:t>
            </w:r>
          </w:p>
          <w:p w14:paraId="7C841A39" w14:textId="77777777" w:rsidR="005E3416" w:rsidRPr="00DD34BC" w:rsidRDefault="005E3416" w:rsidP="009C36F9">
            <w:pPr>
              <w:ind w:left="993"/>
              <w:rPr>
                <w:rFonts w:cs="Arial"/>
              </w:rPr>
            </w:pPr>
          </w:p>
        </w:tc>
      </w:tr>
      <w:tr w:rsidR="009771A2" w:rsidRPr="00553269" w14:paraId="7B553DEF" w14:textId="77777777" w:rsidTr="00E0148C">
        <w:tc>
          <w:tcPr>
            <w:tcW w:w="9631" w:type="dxa"/>
            <w:gridSpan w:val="2"/>
            <w:tcBorders>
              <w:top w:val="single" w:sz="4" w:space="0" w:color="auto"/>
              <w:bottom w:val="nil"/>
            </w:tcBorders>
          </w:tcPr>
          <w:p w14:paraId="55B12515" w14:textId="77777777" w:rsidR="00C96A66" w:rsidRPr="00721B34" w:rsidRDefault="009771A2" w:rsidP="00C96A66">
            <w:pPr>
              <w:autoSpaceDE w:val="0"/>
              <w:autoSpaceDN w:val="0"/>
              <w:adjustRightInd w:val="0"/>
              <w:rPr>
                <w:rFonts w:cs="Arial"/>
                <w:b/>
              </w:rPr>
            </w:pPr>
            <w:r w:rsidRPr="00721B34">
              <w:rPr>
                <w:rFonts w:cs="Arial"/>
                <w:b/>
              </w:rPr>
              <w:t>Recommendation(s)</w:t>
            </w:r>
          </w:p>
          <w:p w14:paraId="07E87C29" w14:textId="77777777" w:rsidR="00520A46" w:rsidRDefault="00520A46" w:rsidP="00C96A66">
            <w:pPr>
              <w:autoSpaceDE w:val="0"/>
              <w:autoSpaceDN w:val="0"/>
              <w:adjustRightInd w:val="0"/>
              <w:rPr>
                <w:rFonts w:cs="Arial"/>
              </w:rPr>
            </w:pPr>
            <w:r w:rsidRPr="00721B34">
              <w:rPr>
                <w:rFonts w:cs="Arial"/>
              </w:rPr>
              <w:t>The School</w:t>
            </w:r>
            <w:r w:rsidR="008726BA" w:rsidRPr="00721B34">
              <w:rPr>
                <w:rFonts w:cs="Arial"/>
              </w:rPr>
              <w:t>s</w:t>
            </w:r>
            <w:r w:rsidRPr="00721B34">
              <w:rPr>
                <w:rFonts w:cs="Arial"/>
              </w:rPr>
              <w:t xml:space="preserve"> Forum is asked:</w:t>
            </w:r>
          </w:p>
          <w:p w14:paraId="7CEFE916" w14:textId="77777777" w:rsidR="00E41094" w:rsidRPr="00721B34" w:rsidRDefault="00E41094" w:rsidP="00C96A66">
            <w:pPr>
              <w:autoSpaceDE w:val="0"/>
              <w:autoSpaceDN w:val="0"/>
              <w:adjustRightInd w:val="0"/>
              <w:rPr>
                <w:rFonts w:cs="Arial"/>
              </w:rPr>
            </w:pPr>
          </w:p>
          <w:p w14:paraId="6AFE0DA6" w14:textId="5C995A90" w:rsidR="00E41094" w:rsidRPr="007668A0" w:rsidRDefault="00CE731E" w:rsidP="007668A0">
            <w:pPr>
              <w:numPr>
                <w:ilvl w:val="0"/>
                <w:numId w:val="3"/>
              </w:numPr>
              <w:autoSpaceDE w:val="0"/>
              <w:autoSpaceDN w:val="0"/>
              <w:adjustRightInd w:val="0"/>
              <w:rPr>
                <w:rFonts w:cs="Arial"/>
              </w:rPr>
            </w:pPr>
            <w:bookmarkStart w:id="0" w:name="_GoBack"/>
            <w:r w:rsidRPr="007668A0">
              <w:rPr>
                <w:rFonts w:cs="Arial"/>
              </w:rPr>
              <w:t>To</w:t>
            </w:r>
            <w:bookmarkEnd w:id="0"/>
            <w:r w:rsidRPr="007668A0">
              <w:rPr>
                <w:rFonts w:cs="Arial"/>
              </w:rPr>
              <w:t xml:space="preserve"> </w:t>
            </w:r>
            <w:r w:rsidR="00317452" w:rsidRPr="007668A0">
              <w:rPr>
                <w:rFonts w:cs="Arial"/>
              </w:rPr>
              <w:t xml:space="preserve">note DSG outturn position </w:t>
            </w:r>
            <w:r w:rsidRPr="007668A0">
              <w:rPr>
                <w:rFonts w:cs="Arial"/>
              </w:rPr>
              <w:t>for 201</w:t>
            </w:r>
            <w:r w:rsidR="00064AE1" w:rsidRPr="007668A0">
              <w:rPr>
                <w:rFonts w:cs="Arial"/>
              </w:rPr>
              <w:t>7</w:t>
            </w:r>
            <w:r w:rsidRPr="007668A0">
              <w:rPr>
                <w:rFonts w:cs="Arial"/>
              </w:rPr>
              <w:t>-</w:t>
            </w:r>
            <w:r w:rsidR="002434F6" w:rsidRPr="007668A0">
              <w:rPr>
                <w:rFonts w:cs="Arial"/>
              </w:rPr>
              <w:t>1</w:t>
            </w:r>
            <w:r w:rsidR="00064AE1" w:rsidRPr="007668A0">
              <w:rPr>
                <w:rFonts w:cs="Arial"/>
              </w:rPr>
              <w:t>8</w:t>
            </w:r>
            <w:r w:rsidR="007668A0" w:rsidRPr="007668A0">
              <w:rPr>
                <w:rFonts w:cs="Arial"/>
              </w:rPr>
              <w:t xml:space="preserve"> and the </w:t>
            </w:r>
            <w:r w:rsidR="00E41094" w:rsidRPr="007668A0">
              <w:rPr>
                <w:rFonts w:cs="Arial"/>
              </w:rPr>
              <w:t>DSG Reserve Position at the end of 2017-18</w:t>
            </w:r>
          </w:p>
          <w:p w14:paraId="584B6365" w14:textId="63506F8F" w:rsidR="00E41094" w:rsidRDefault="00E41094" w:rsidP="007668A0">
            <w:pPr>
              <w:numPr>
                <w:ilvl w:val="0"/>
                <w:numId w:val="3"/>
              </w:numPr>
              <w:rPr>
                <w:rFonts w:cs="Arial"/>
              </w:rPr>
            </w:pPr>
            <w:r>
              <w:rPr>
                <w:rFonts w:cs="Arial"/>
              </w:rPr>
              <w:t xml:space="preserve">To note the </w:t>
            </w:r>
            <w:r w:rsidR="007668A0">
              <w:rPr>
                <w:rFonts w:cs="Arial"/>
              </w:rPr>
              <w:t>draft</w:t>
            </w:r>
            <w:r>
              <w:rPr>
                <w:rFonts w:cs="Arial"/>
              </w:rPr>
              <w:t xml:space="preserve"> School Balances </w:t>
            </w:r>
            <w:r w:rsidR="007668A0">
              <w:rPr>
                <w:rFonts w:cs="Arial"/>
              </w:rPr>
              <w:t>at the end of</w:t>
            </w:r>
            <w:r>
              <w:rPr>
                <w:rFonts w:cs="Arial"/>
              </w:rPr>
              <w:t xml:space="preserve"> 20</w:t>
            </w:r>
            <w:r w:rsidRPr="00D368E9">
              <w:rPr>
                <w:rFonts w:cs="Arial"/>
              </w:rPr>
              <w:t>1</w:t>
            </w:r>
            <w:r>
              <w:rPr>
                <w:rFonts w:cs="Arial"/>
              </w:rPr>
              <w:t>7-18</w:t>
            </w:r>
          </w:p>
          <w:p w14:paraId="1FD49E2A" w14:textId="7ADF19C9" w:rsidR="007668A0" w:rsidRDefault="007668A0" w:rsidP="007668A0">
            <w:pPr>
              <w:numPr>
                <w:ilvl w:val="0"/>
                <w:numId w:val="3"/>
              </w:numPr>
              <w:rPr>
                <w:rFonts w:cs="Arial"/>
              </w:rPr>
            </w:pPr>
            <w:r>
              <w:rPr>
                <w:rFonts w:cs="Arial"/>
              </w:rPr>
              <w:t>To give their views on how Schools can be best supported to meet the financial challenges</w:t>
            </w:r>
          </w:p>
          <w:p w14:paraId="5BED3E69" w14:textId="2984D147" w:rsidR="007668A0" w:rsidRDefault="007668A0" w:rsidP="007668A0">
            <w:pPr>
              <w:numPr>
                <w:ilvl w:val="0"/>
                <w:numId w:val="3"/>
              </w:numPr>
              <w:rPr>
                <w:rFonts w:cs="Arial"/>
              </w:rPr>
            </w:pPr>
            <w:r>
              <w:rPr>
                <w:rFonts w:cs="Arial"/>
              </w:rPr>
              <w:t>To note that there may be further requests for assistance from the Schools Facing Financial Difficulty Fund which will be considered by the Financial Monitoring Group on 9</w:t>
            </w:r>
            <w:r w:rsidRPr="007668A0">
              <w:rPr>
                <w:rFonts w:cs="Arial"/>
                <w:vertAlign w:val="superscript"/>
              </w:rPr>
              <w:t>th</w:t>
            </w:r>
            <w:r>
              <w:rPr>
                <w:rFonts w:cs="Arial"/>
              </w:rPr>
              <w:t xml:space="preserve"> July.  </w:t>
            </w:r>
          </w:p>
          <w:p w14:paraId="675D6A8E" w14:textId="62C895D7" w:rsidR="007668A0" w:rsidRDefault="007668A0" w:rsidP="007668A0">
            <w:pPr>
              <w:numPr>
                <w:ilvl w:val="0"/>
                <w:numId w:val="3"/>
              </w:numPr>
              <w:rPr>
                <w:rFonts w:cs="Arial"/>
              </w:rPr>
            </w:pPr>
            <w:r>
              <w:rPr>
                <w:rFonts w:cs="Arial"/>
              </w:rPr>
              <w:t>To approve the establishment of a fund of £300k for Schools With Falling Rolls.</w:t>
            </w:r>
          </w:p>
          <w:p w14:paraId="4429471A" w14:textId="33214F4E" w:rsidR="007668A0" w:rsidRDefault="007668A0" w:rsidP="007668A0">
            <w:pPr>
              <w:numPr>
                <w:ilvl w:val="0"/>
                <w:numId w:val="3"/>
              </w:numPr>
              <w:rPr>
                <w:rFonts w:cs="Arial"/>
              </w:rPr>
            </w:pPr>
            <w:r>
              <w:rPr>
                <w:rFonts w:cs="Arial"/>
              </w:rPr>
              <w:t>To approve the recommended criteria for eligibility for assistance</w:t>
            </w:r>
          </w:p>
          <w:p w14:paraId="1FEC3B14" w14:textId="6E7DB4D9" w:rsidR="007668A0" w:rsidRDefault="007668A0" w:rsidP="007668A0">
            <w:pPr>
              <w:numPr>
                <w:ilvl w:val="0"/>
                <w:numId w:val="3"/>
              </w:numPr>
              <w:rPr>
                <w:rFonts w:cs="Arial"/>
              </w:rPr>
            </w:pPr>
            <w:r>
              <w:rPr>
                <w:rFonts w:cs="Arial"/>
              </w:rPr>
              <w:t xml:space="preserve">To approve the lump sum of £68k </w:t>
            </w:r>
          </w:p>
          <w:p w14:paraId="070DC547" w14:textId="0CED30DB" w:rsidR="007668A0" w:rsidRPr="00D368E9" w:rsidRDefault="007668A0" w:rsidP="007668A0">
            <w:pPr>
              <w:numPr>
                <w:ilvl w:val="0"/>
                <w:numId w:val="3"/>
              </w:numPr>
              <w:rPr>
                <w:rFonts w:cs="Arial"/>
              </w:rPr>
            </w:pPr>
            <w:r>
              <w:rPr>
                <w:rFonts w:cs="Arial"/>
              </w:rPr>
              <w:t>To vote on the preferred definition of “significant fall in roll”.</w:t>
            </w:r>
          </w:p>
          <w:p w14:paraId="73B3FEC6" w14:textId="77777777" w:rsidR="00A1314C" w:rsidRPr="00A1314C" w:rsidRDefault="007668A0" w:rsidP="007668A0">
            <w:pPr>
              <w:numPr>
                <w:ilvl w:val="0"/>
                <w:numId w:val="3"/>
              </w:numPr>
              <w:autoSpaceDE w:val="0"/>
              <w:autoSpaceDN w:val="0"/>
              <w:adjustRightInd w:val="0"/>
              <w:rPr>
                <w:rFonts w:cs="Arial"/>
              </w:rPr>
            </w:pPr>
            <w:r>
              <w:rPr>
                <w:rFonts w:cs="Arial"/>
                <w:bCs/>
              </w:rPr>
              <w:t>To approve either Option 1 or Option 2 proposals from the HNB working group</w:t>
            </w:r>
          </w:p>
          <w:p w14:paraId="70DED938" w14:textId="10B0BBD5" w:rsidR="007668A0" w:rsidRDefault="00A1314C" w:rsidP="00A1314C">
            <w:pPr>
              <w:numPr>
                <w:ilvl w:val="0"/>
                <w:numId w:val="3"/>
              </w:numPr>
              <w:autoSpaceDE w:val="0"/>
              <w:autoSpaceDN w:val="0"/>
              <w:adjustRightInd w:val="0"/>
              <w:rPr>
                <w:rFonts w:cs="Arial"/>
              </w:rPr>
            </w:pPr>
            <w:r>
              <w:rPr>
                <w:rFonts w:cs="Arial"/>
              </w:rPr>
              <w:t>To appoint a Chair of the High Needs Working Group</w:t>
            </w:r>
            <w:r w:rsidR="00575B31" w:rsidRPr="00721B34">
              <w:rPr>
                <w:rFonts w:cs="Arial"/>
              </w:rPr>
              <w:t>.</w:t>
            </w:r>
          </w:p>
          <w:p w14:paraId="672294F9" w14:textId="1B306D99" w:rsidR="00A1314C" w:rsidRPr="00A1314C" w:rsidRDefault="00A1314C" w:rsidP="00A1314C">
            <w:pPr>
              <w:numPr>
                <w:ilvl w:val="0"/>
                <w:numId w:val="3"/>
              </w:numPr>
              <w:autoSpaceDE w:val="0"/>
              <w:autoSpaceDN w:val="0"/>
              <w:adjustRightInd w:val="0"/>
              <w:rPr>
                <w:rFonts w:cs="Arial"/>
              </w:rPr>
            </w:pPr>
            <w:r>
              <w:rPr>
                <w:rFonts w:cs="Arial"/>
              </w:rPr>
              <w:t>To review the draft Constitution and recommend changes before adoption</w:t>
            </w:r>
          </w:p>
          <w:p w14:paraId="4991D996" w14:textId="2BE93830" w:rsidR="00E41094" w:rsidRPr="009C36F9" w:rsidRDefault="00E41094" w:rsidP="00E41094">
            <w:pPr>
              <w:autoSpaceDE w:val="0"/>
              <w:autoSpaceDN w:val="0"/>
              <w:adjustRightInd w:val="0"/>
              <w:ind w:left="1080"/>
              <w:rPr>
                <w:rFonts w:cs="Arial"/>
              </w:rPr>
            </w:pPr>
          </w:p>
        </w:tc>
      </w:tr>
      <w:tr w:rsidR="009771A2" w:rsidRPr="00553269" w14:paraId="004481A0" w14:textId="77777777" w:rsidTr="00E0148C">
        <w:tc>
          <w:tcPr>
            <w:tcW w:w="9631" w:type="dxa"/>
            <w:gridSpan w:val="2"/>
            <w:tcBorders>
              <w:top w:val="nil"/>
              <w:bottom w:val="single" w:sz="4" w:space="0" w:color="auto"/>
            </w:tcBorders>
          </w:tcPr>
          <w:p w14:paraId="1035EFFD" w14:textId="77777777" w:rsidR="00765B07" w:rsidRPr="00721B34" w:rsidRDefault="00765B07" w:rsidP="00E7688F">
            <w:pPr>
              <w:ind w:left="720"/>
              <w:rPr>
                <w:rFonts w:cs="Arial"/>
              </w:rPr>
            </w:pPr>
          </w:p>
        </w:tc>
      </w:tr>
      <w:tr w:rsidR="009771A2" w:rsidRPr="00553269" w14:paraId="6EAA0475" w14:textId="77777777" w:rsidTr="00E0148C">
        <w:tc>
          <w:tcPr>
            <w:tcW w:w="9631" w:type="dxa"/>
            <w:gridSpan w:val="2"/>
            <w:tcBorders>
              <w:bottom w:val="nil"/>
            </w:tcBorders>
          </w:tcPr>
          <w:p w14:paraId="5F2D79E4" w14:textId="77777777" w:rsidR="009771A2" w:rsidRPr="00721B34" w:rsidRDefault="009771A2" w:rsidP="00F62747">
            <w:pPr>
              <w:rPr>
                <w:rFonts w:cs="Arial"/>
                <w:b/>
              </w:rPr>
            </w:pPr>
            <w:r w:rsidRPr="00721B34">
              <w:rPr>
                <w:rFonts w:cs="Arial"/>
                <w:b/>
              </w:rPr>
              <w:t>Reason(s)</w:t>
            </w:r>
          </w:p>
        </w:tc>
      </w:tr>
      <w:tr w:rsidR="009771A2" w:rsidRPr="00553269" w14:paraId="5DF54AB5" w14:textId="77777777" w:rsidTr="00E0148C">
        <w:tc>
          <w:tcPr>
            <w:tcW w:w="9631" w:type="dxa"/>
            <w:gridSpan w:val="2"/>
            <w:tcBorders>
              <w:top w:val="nil"/>
            </w:tcBorders>
          </w:tcPr>
          <w:p w14:paraId="0B79E28F" w14:textId="77777777" w:rsidR="009771A2" w:rsidRPr="00721B34" w:rsidRDefault="006262A7" w:rsidP="006262A7">
            <w:pPr>
              <w:rPr>
                <w:rFonts w:cs="Arial"/>
              </w:rPr>
            </w:pPr>
            <w:r w:rsidRPr="00721B34">
              <w:rPr>
                <w:rFonts w:cs="Arial"/>
              </w:rPr>
              <w:t>None</w:t>
            </w:r>
          </w:p>
        </w:tc>
      </w:tr>
    </w:tbl>
    <w:p w14:paraId="263FFBE4" w14:textId="77777777" w:rsidR="009A0F2F" w:rsidRPr="00411851" w:rsidRDefault="00C43EE1" w:rsidP="00575B31">
      <w:pPr>
        <w:tabs>
          <w:tab w:val="left" w:pos="0"/>
        </w:tabs>
        <w:rPr>
          <w:rFonts w:cs="Arial"/>
          <w:b/>
        </w:rPr>
      </w:pPr>
      <w:r>
        <w:rPr>
          <w:rFonts w:cs="Arial"/>
        </w:rPr>
        <w:br w:type="page"/>
      </w:r>
      <w:r w:rsidR="00411851" w:rsidRPr="00411851">
        <w:rPr>
          <w:rFonts w:cs="Arial"/>
          <w:b/>
        </w:rPr>
        <w:lastRenderedPageBreak/>
        <w:t>1</w:t>
      </w:r>
      <w:r w:rsidR="00411851">
        <w:rPr>
          <w:rFonts w:cs="Arial"/>
          <w:b/>
        </w:rPr>
        <w:t>.</w:t>
      </w:r>
      <w:r w:rsidR="00411851" w:rsidRPr="00411851">
        <w:rPr>
          <w:rFonts w:cs="Arial"/>
          <w:b/>
        </w:rPr>
        <w:tab/>
      </w:r>
      <w:r w:rsidR="00E7688F" w:rsidRPr="00411851">
        <w:rPr>
          <w:rFonts w:cs="Arial"/>
          <w:b/>
        </w:rPr>
        <w:t>Introduction and Background</w:t>
      </w:r>
    </w:p>
    <w:p w14:paraId="7FAF1026" w14:textId="77777777" w:rsidR="009A0F2F" w:rsidRPr="00242399" w:rsidRDefault="009A0F2F" w:rsidP="00F7272A">
      <w:pPr>
        <w:rPr>
          <w:rFonts w:cs="Arial"/>
        </w:rPr>
      </w:pPr>
    </w:p>
    <w:p w14:paraId="7A0B7617" w14:textId="77777777" w:rsidR="00CA5E3F" w:rsidRPr="00D90D2E" w:rsidRDefault="00CA5E3F" w:rsidP="00166E5E">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14:paraId="24BE4CF7" w14:textId="77777777" w:rsidR="009A0F2F" w:rsidRDefault="00CA5E3F" w:rsidP="0083323F">
      <w:pPr>
        <w:ind w:left="720" w:hanging="720"/>
        <w:rPr>
          <w:rFonts w:cs="Arial"/>
        </w:rPr>
      </w:pPr>
      <w:r>
        <w:rPr>
          <w:rFonts w:cs="Arial"/>
        </w:rPr>
        <w:t xml:space="preserve"> </w:t>
      </w:r>
      <w:r w:rsidR="006B0B04">
        <w:rPr>
          <w:rFonts w:cs="Arial"/>
        </w:rPr>
        <w:tab/>
      </w:r>
    </w:p>
    <w:p w14:paraId="339B55E8" w14:textId="77777777" w:rsidR="00B52BD3" w:rsidRPr="00BB58E6" w:rsidRDefault="00237113" w:rsidP="0083246D">
      <w:pPr>
        <w:rPr>
          <w:rFonts w:cs="Arial"/>
        </w:rPr>
      </w:pPr>
      <w:r>
        <w:rPr>
          <w:rFonts w:cs="Arial"/>
        </w:rPr>
        <w:tab/>
      </w:r>
      <w:r w:rsidR="00657B37">
        <w:rPr>
          <w:rFonts w:cs="Arial"/>
          <w:b/>
        </w:rPr>
        <w:tab/>
      </w:r>
    </w:p>
    <w:p w14:paraId="693B6545" w14:textId="77777777" w:rsidR="00E41094" w:rsidRPr="005118CD" w:rsidRDefault="00E41094" w:rsidP="00E41094">
      <w:pPr>
        <w:numPr>
          <w:ilvl w:val="0"/>
          <w:numId w:val="2"/>
        </w:numPr>
        <w:rPr>
          <w:rFonts w:cs="Arial"/>
          <w:b/>
          <w:u w:val="single"/>
        </w:rPr>
      </w:pPr>
      <w:bookmarkStart w:id="1" w:name="_Hlk514145687"/>
      <w:r w:rsidRPr="005118CD">
        <w:rPr>
          <w:rFonts w:cs="Arial"/>
          <w:b/>
          <w:u w:val="single"/>
        </w:rPr>
        <w:t>Dedicated Schools Grant 201</w:t>
      </w:r>
      <w:r>
        <w:rPr>
          <w:rFonts w:cs="Arial"/>
          <w:b/>
          <w:u w:val="single"/>
        </w:rPr>
        <w:t>7</w:t>
      </w:r>
      <w:r w:rsidRPr="005118CD">
        <w:rPr>
          <w:rFonts w:cs="Arial"/>
          <w:b/>
          <w:u w:val="single"/>
        </w:rPr>
        <w:t>-1</w:t>
      </w:r>
      <w:r>
        <w:rPr>
          <w:rFonts w:cs="Arial"/>
          <w:b/>
          <w:u w:val="single"/>
        </w:rPr>
        <w:t>8</w:t>
      </w:r>
      <w:r w:rsidRPr="005118CD">
        <w:rPr>
          <w:rFonts w:cs="Arial"/>
          <w:b/>
          <w:u w:val="single"/>
        </w:rPr>
        <w:t xml:space="preserve"> </w:t>
      </w:r>
      <w:r>
        <w:rPr>
          <w:rFonts w:cs="Arial"/>
          <w:b/>
          <w:u w:val="single"/>
        </w:rPr>
        <w:t>Outturn Position</w:t>
      </w:r>
    </w:p>
    <w:p w14:paraId="26A8E68E" w14:textId="77777777" w:rsidR="008E5E22" w:rsidRDefault="008E5E22" w:rsidP="006F49E8">
      <w:pPr>
        <w:ind w:left="709" w:hanging="709"/>
        <w:rPr>
          <w:rFonts w:cs="Arial"/>
        </w:rPr>
      </w:pPr>
    </w:p>
    <w:p w14:paraId="38A18AF0" w14:textId="77777777" w:rsidR="00E60F11" w:rsidRDefault="00E60F11" w:rsidP="0019260C">
      <w:pPr>
        <w:ind w:left="709"/>
        <w:rPr>
          <w:rFonts w:cs="Arial"/>
        </w:rPr>
      </w:pPr>
    </w:p>
    <w:p w14:paraId="285BD941" w14:textId="77777777" w:rsidR="00E60F11" w:rsidRDefault="002C1B17" w:rsidP="0019260C">
      <w:pPr>
        <w:ind w:left="709"/>
        <w:rPr>
          <w:rFonts w:cs="Arial"/>
          <w:b/>
          <w:bCs/>
          <w:color w:val="000000"/>
        </w:rPr>
      </w:pPr>
      <w:r w:rsidRPr="0019260C">
        <w:rPr>
          <w:rFonts w:cs="Arial"/>
          <w:b/>
          <w:bCs/>
          <w:color w:val="000000"/>
        </w:rPr>
        <w:t xml:space="preserve">Table </w:t>
      </w:r>
      <w:r w:rsidR="009C36F9" w:rsidRPr="0019260C">
        <w:rPr>
          <w:rFonts w:cs="Arial"/>
          <w:b/>
          <w:bCs/>
          <w:color w:val="000000"/>
        </w:rPr>
        <w:t>1</w:t>
      </w:r>
      <w:r w:rsidRPr="0019260C">
        <w:rPr>
          <w:rFonts w:cs="Arial"/>
          <w:b/>
          <w:bCs/>
          <w:color w:val="000000"/>
        </w:rPr>
        <w:t xml:space="preserve">: </w:t>
      </w:r>
      <w:r w:rsidR="00E60F11" w:rsidRPr="0019260C">
        <w:rPr>
          <w:rFonts w:cs="Arial"/>
          <w:b/>
          <w:bCs/>
          <w:color w:val="000000"/>
        </w:rPr>
        <w:t>Dedicated Schools Grant 2017-18 Outturn Position after adjustments</w:t>
      </w:r>
    </w:p>
    <w:p w14:paraId="66AA51B3" w14:textId="77777777" w:rsidR="00DE4EE6" w:rsidRDefault="00DE4EE6" w:rsidP="0019260C">
      <w:pPr>
        <w:ind w:left="709"/>
        <w:rPr>
          <w:rFonts w:cs="Arial"/>
          <w:b/>
          <w:bCs/>
          <w:color w:val="000000"/>
        </w:rPr>
      </w:pPr>
    </w:p>
    <w:tbl>
      <w:tblPr>
        <w:tblW w:w="8320" w:type="dxa"/>
        <w:jc w:val="center"/>
        <w:tblLook w:val="04A0" w:firstRow="1" w:lastRow="0" w:firstColumn="1" w:lastColumn="0" w:noHBand="0" w:noVBand="1"/>
      </w:tblPr>
      <w:tblGrid>
        <w:gridCol w:w="960"/>
        <w:gridCol w:w="2240"/>
        <w:gridCol w:w="1720"/>
        <w:gridCol w:w="1740"/>
        <w:gridCol w:w="1750"/>
      </w:tblGrid>
      <w:tr w:rsidR="00DE4EE6" w:rsidRPr="00DE4EE6" w14:paraId="4EE9E882" w14:textId="77777777" w:rsidTr="005A6871">
        <w:trPr>
          <w:trHeight w:val="62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B4C6E7"/>
            <w:textDirection w:val="btLr"/>
            <w:vAlign w:val="center"/>
            <w:hideMark/>
          </w:tcPr>
          <w:p w14:paraId="2F0D3DFC" w14:textId="77777777" w:rsidR="00DE4EE6" w:rsidRPr="00DE4EE6" w:rsidRDefault="00DE4EE6" w:rsidP="00DE4EE6">
            <w:pPr>
              <w:jc w:val="center"/>
              <w:rPr>
                <w:rFonts w:cs="Arial"/>
                <w:b/>
                <w:bCs/>
                <w:color w:val="000000"/>
              </w:rPr>
            </w:pPr>
            <w:r w:rsidRPr="00DE4EE6">
              <w:rPr>
                <w:rFonts w:cs="Arial"/>
                <w:b/>
                <w:bCs/>
                <w:color w:val="000000"/>
              </w:rPr>
              <w:t>Notes</w:t>
            </w:r>
          </w:p>
        </w:tc>
        <w:tc>
          <w:tcPr>
            <w:tcW w:w="2240"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2A0FACFD" w14:textId="77777777" w:rsidR="00DE4EE6" w:rsidRPr="00DE4EE6" w:rsidRDefault="00DE4EE6" w:rsidP="00DE4EE6">
            <w:pPr>
              <w:jc w:val="center"/>
              <w:rPr>
                <w:rFonts w:cs="Arial"/>
                <w:b/>
                <w:bCs/>
                <w:color w:val="000000"/>
              </w:rPr>
            </w:pPr>
            <w:r w:rsidRPr="00DE4EE6">
              <w:rPr>
                <w:rFonts w:cs="Arial"/>
                <w:b/>
                <w:bCs/>
                <w:color w:val="000000"/>
              </w:rPr>
              <w:t>DSG Block</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366C217B" w14:textId="77777777" w:rsidR="00DE4EE6" w:rsidRPr="00DE4EE6" w:rsidRDefault="00DE4EE6" w:rsidP="00DE4EE6">
            <w:pPr>
              <w:jc w:val="center"/>
              <w:rPr>
                <w:rFonts w:cs="Arial"/>
                <w:b/>
                <w:bCs/>
                <w:color w:val="000000"/>
              </w:rPr>
            </w:pPr>
            <w:r w:rsidRPr="00DE4EE6">
              <w:rPr>
                <w:rFonts w:cs="Arial"/>
                <w:b/>
                <w:bCs/>
                <w:color w:val="000000"/>
              </w:rPr>
              <w:t>2017-18 Budget</w:t>
            </w:r>
          </w:p>
        </w:tc>
        <w:tc>
          <w:tcPr>
            <w:tcW w:w="1740"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6D4D2EAB" w14:textId="77777777" w:rsidR="00DE4EE6" w:rsidRPr="00DE4EE6" w:rsidRDefault="00DE4EE6" w:rsidP="00DE4EE6">
            <w:pPr>
              <w:jc w:val="center"/>
              <w:rPr>
                <w:rFonts w:cs="Arial"/>
                <w:b/>
                <w:bCs/>
                <w:color w:val="000000"/>
              </w:rPr>
            </w:pPr>
            <w:r w:rsidRPr="00DE4EE6">
              <w:rPr>
                <w:rFonts w:cs="Arial"/>
                <w:b/>
                <w:bCs/>
                <w:color w:val="000000"/>
              </w:rPr>
              <w:t>2017-18  Outturn</w:t>
            </w:r>
          </w:p>
        </w:tc>
        <w:tc>
          <w:tcPr>
            <w:tcW w:w="1660" w:type="dxa"/>
            <w:tcBorders>
              <w:top w:val="single" w:sz="8" w:space="0" w:color="auto"/>
              <w:left w:val="nil"/>
              <w:bottom w:val="nil"/>
              <w:right w:val="single" w:sz="8" w:space="0" w:color="auto"/>
            </w:tcBorders>
            <w:shd w:val="clear" w:color="000000" w:fill="B4C6E7"/>
            <w:vAlign w:val="center"/>
            <w:hideMark/>
          </w:tcPr>
          <w:p w14:paraId="45043ECC" w14:textId="77777777" w:rsidR="00DE4EE6" w:rsidRPr="00DE4EE6" w:rsidRDefault="00DE4EE6" w:rsidP="00DE4EE6">
            <w:pPr>
              <w:jc w:val="center"/>
              <w:rPr>
                <w:rFonts w:cs="Arial"/>
                <w:b/>
                <w:bCs/>
                <w:color w:val="000000"/>
              </w:rPr>
            </w:pPr>
            <w:r w:rsidRPr="00DE4EE6">
              <w:rPr>
                <w:rFonts w:cs="Arial"/>
                <w:b/>
                <w:bCs/>
                <w:color w:val="000000"/>
              </w:rPr>
              <w:t>Year End Variance</w:t>
            </w:r>
          </w:p>
        </w:tc>
      </w:tr>
      <w:tr w:rsidR="00DE4EE6" w:rsidRPr="00DE4EE6" w14:paraId="29DC3F9C" w14:textId="77777777" w:rsidTr="005A6871">
        <w:trPr>
          <w:trHeight w:val="63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E89993E" w14:textId="77777777" w:rsidR="00DE4EE6" w:rsidRPr="00DE4EE6" w:rsidRDefault="00DE4EE6" w:rsidP="00DE4EE6">
            <w:pPr>
              <w:rPr>
                <w:rFonts w:cs="Arial"/>
                <w:b/>
                <w:bCs/>
                <w:color w:val="000000"/>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7FC8CD71" w14:textId="77777777" w:rsidR="00DE4EE6" w:rsidRPr="00DE4EE6" w:rsidRDefault="00DE4EE6" w:rsidP="00DE4EE6">
            <w:pPr>
              <w:rPr>
                <w:rFonts w:cs="Arial"/>
                <w:b/>
                <w:bCs/>
                <w:color w:val="000000"/>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557E53DF" w14:textId="77777777" w:rsidR="00DE4EE6" w:rsidRPr="00DE4EE6" w:rsidRDefault="00DE4EE6" w:rsidP="00DE4EE6">
            <w:pPr>
              <w:rPr>
                <w:rFonts w:cs="Arial"/>
                <w:b/>
                <w:bCs/>
                <w:color w:val="000000"/>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6A647A89" w14:textId="77777777" w:rsidR="00DE4EE6" w:rsidRPr="00DE4EE6" w:rsidRDefault="00DE4EE6" w:rsidP="00DE4EE6">
            <w:pPr>
              <w:rPr>
                <w:rFonts w:cs="Arial"/>
                <w:b/>
                <w:bCs/>
                <w:color w:val="000000"/>
              </w:rPr>
            </w:pPr>
          </w:p>
        </w:tc>
        <w:tc>
          <w:tcPr>
            <w:tcW w:w="1660" w:type="dxa"/>
            <w:tcBorders>
              <w:top w:val="nil"/>
              <w:left w:val="nil"/>
              <w:bottom w:val="single" w:sz="8" w:space="0" w:color="auto"/>
              <w:right w:val="single" w:sz="8" w:space="0" w:color="auto"/>
            </w:tcBorders>
            <w:shd w:val="clear" w:color="000000" w:fill="B4C6E7"/>
            <w:vAlign w:val="center"/>
            <w:hideMark/>
          </w:tcPr>
          <w:p w14:paraId="2BBDC285" w14:textId="77777777" w:rsidR="00DE4EE6" w:rsidRPr="00DE4EE6" w:rsidRDefault="00DE4EE6" w:rsidP="00DE4EE6">
            <w:pPr>
              <w:jc w:val="center"/>
              <w:rPr>
                <w:rFonts w:cs="Arial"/>
                <w:b/>
                <w:bCs/>
                <w:color w:val="000000"/>
              </w:rPr>
            </w:pPr>
            <w:r w:rsidRPr="00DE4EE6">
              <w:rPr>
                <w:rFonts w:cs="Arial"/>
                <w:b/>
                <w:bCs/>
                <w:color w:val="000000"/>
              </w:rPr>
              <w:t>(underspend) / overspend</w:t>
            </w:r>
          </w:p>
        </w:tc>
      </w:tr>
      <w:tr w:rsidR="00DE4EE6" w:rsidRPr="00DE4EE6" w14:paraId="0631C22D" w14:textId="77777777" w:rsidTr="005A6871">
        <w:trPr>
          <w:trHeight w:val="320"/>
          <w:jc w:val="center"/>
        </w:trPr>
        <w:tc>
          <w:tcPr>
            <w:tcW w:w="960" w:type="dxa"/>
            <w:tcBorders>
              <w:top w:val="nil"/>
              <w:left w:val="single" w:sz="8" w:space="0" w:color="auto"/>
              <w:bottom w:val="single" w:sz="8" w:space="0" w:color="auto"/>
              <w:right w:val="single" w:sz="8" w:space="0" w:color="auto"/>
            </w:tcBorders>
            <w:shd w:val="clear" w:color="auto" w:fill="auto"/>
            <w:textDirection w:val="btLr"/>
            <w:vAlign w:val="center"/>
            <w:hideMark/>
          </w:tcPr>
          <w:p w14:paraId="01810E9B" w14:textId="77777777" w:rsidR="00DE4EE6" w:rsidRPr="00DE4EE6" w:rsidRDefault="00DE4EE6" w:rsidP="00DE4EE6">
            <w:pPr>
              <w:jc w:val="center"/>
              <w:rPr>
                <w:rFonts w:cs="Arial"/>
                <w:b/>
                <w:bCs/>
                <w:color w:val="000000"/>
              </w:rPr>
            </w:pPr>
            <w:r w:rsidRPr="00DE4EE6">
              <w:rPr>
                <w:rFonts w:cs="Arial"/>
                <w:b/>
                <w:bCs/>
                <w:color w:val="000000"/>
              </w:rPr>
              <w:t> </w:t>
            </w:r>
          </w:p>
        </w:tc>
        <w:tc>
          <w:tcPr>
            <w:tcW w:w="2240" w:type="dxa"/>
            <w:tcBorders>
              <w:top w:val="nil"/>
              <w:left w:val="nil"/>
              <w:bottom w:val="single" w:sz="8" w:space="0" w:color="auto"/>
              <w:right w:val="single" w:sz="8" w:space="0" w:color="auto"/>
            </w:tcBorders>
            <w:shd w:val="clear" w:color="auto" w:fill="auto"/>
            <w:vAlign w:val="center"/>
            <w:hideMark/>
          </w:tcPr>
          <w:p w14:paraId="4F19F5FF" w14:textId="77777777" w:rsidR="00DE4EE6" w:rsidRPr="00DE4EE6" w:rsidRDefault="00DE4EE6" w:rsidP="00DE4EE6">
            <w:pPr>
              <w:jc w:val="center"/>
              <w:rPr>
                <w:rFonts w:cs="Arial"/>
                <w:b/>
                <w:bCs/>
                <w:color w:val="000000"/>
              </w:rPr>
            </w:pPr>
            <w:r w:rsidRPr="00DE4EE6">
              <w:rPr>
                <w:rFonts w:cs="Arial"/>
                <w:b/>
                <w:bCs/>
                <w:color w:val="000000"/>
              </w:rPr>
              <w:t> </w:t>
            </w:r>
          </w:p>
        </w:tc>
        <w:tc>
          <w:tcPr>
            <w:tcW w:w="1720" w:type="dxa"/>
            <w:tcBorders>
              <w:top w:val="nil"/>
              <w:left w:val="nil"/>
              <w:bottom w:val="single" w:sz="8" w:space="0" w:color="auto"/>
              <w:right w:val="single" w:sz="8" w:space="0" w:color="auto"/>
            </w:tcBorders>
            <w:shd w:val="clear" w:color="auto" w:fill="auto"/>
            <w:vAlign w:val="center"/>
            <w:hideMark/>
          </w:tcPr>
          <w:p w14:paraId="31FF1F7D" w14:textId="77777777" w:rsidR="00DE4EE6" w:rsidRPr="00DE4EE6" w:rsidRDefault="00DE4EE6" w:rsidP="00DE4EE6">
            <w:pPr>
              <w:jc w:val="center"/>
              <w:rPr>
                <w:rFonts w:cs="Arial"/>
                <w:b/>
                <w:bCs/>
                <w:color w:val="000000"/>
              </w:rPr>
            </w:pPr>
            <w:r w:rsidRPr="00DE4EE6">
              <w:rPr>
                <w:rFonts w:cs="Arial"/>
                <w:b/>
                <w:bCs/>
                <w:color w:val="000000"/>
              </w:rPr>
              <w:t>£’000</w:t>
            </w:r>
          </w:p>
        </w:tc>
        <w:tc>
          <w:tcPr>
            <w:tcW w:w="1740" w:type="dxa"/>
            <w:tcBorders>
              <w:top w:val="nil"/>
              <w:left w:val="nil"/>
              <w:bottom w:val="single" w:sz="8" w:space="0" w:color="auto"/>
              <w:right w:val="single" w:sz="8" w:space="0" w:color="auto"/>
            </w:tcBorders>
            <w:shd w:val="clear" w:color="auto" w:fill="auto"/>
            <w:vAlign w:val="center"/>
            <w:hideMark/>
          </w:tcPr>
          <w:p w14:paraId="2367DA46" w14:textId="77777777" w:rsidR="00DE4EE6" w:rsidRPr="00DE4EE6" w:rsidRDefault="00DE4EE6" w:rsidP="00DE4EE6">
            <w:pPr>
              <w:jc w:val="center"/>
              <w:rPr>
                <w:rFonts w:cs="Arial"/>
                <w:b/>
                <w:bCs/>
                <w:color w:val="000000"/>
              </w:rPr>
            </w:pPr>
            <w:r w:rsidRPr="00DE4EE6">
              <w:rPr>
                <w:rFonts w:cs="Arial"/>
                <w:b/>
                <w:bCs/>
                <w:color w:val="000000"/>
              </w:rPr>
              <w:t>£’000</w:t>
            </w:r>
          </w:p>
        </w:tc>
        <w:tc>
          <w:tcPr>
            <w:tcW w:w="1660" w:type="dxa"/>
            <w:tcBorders>
              <w:top w:val="nil"/>
              <w:left w:val="nil"/>
              <w:bottom w:val="single" w:sz="8" w:space="0" w:color="auto"/>
              <w:right w:val="single" w:sz="8" w:space="0" w:color="auto"/>
            </w:tcBorders>
            <w:shd w:val="clear" w:color="auto" w:fill="auto"/>
            <w:vAlign w:val="center"/>
            <w:hideMark/>
          </w:tcPr>
          <w:p w14:paraId="622D7D6E" w14:textId="77777777" w:rsidR="00DE4EE6" w:rsidRPr="00DE4EE6" w:rsidRDefault="00DE4EE6" w:rsidP="00DE4EE6">
            <w:pPr>
              <w:jc w:val="center"/>
              <w:rPr>
                <w:rFonts w:cs="Arial"/>
                <w:b/>
                <w:bCs/>
                <w:color w:val="000000"/>
              </w:rPr>
            </w:pPr>
            <w:r w:rsidRPr="00DE4EE6">
              <w:rPr>
                <w:rFonts w:cs="Arial"/>
                <w:b/>
                <w:bCs/>
                <w:color w:val="000000"/>
              </w:rPr>
              <w:t>£’000</w:t>
            </w:r>
          </w:p>
        </w:tc>
      </w:tr>
      <w:tr w:rsidR="00DE4EE6" w:rsidRPr="00DE4EE6" w14:paraId="50DC0137" w14:textId="77777777" w:rsidTr="005A6871">
        <w:trPr>
          <w:trHeight w:val="32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F2EA53" w14:textId="77777777" w:rsidR="00DE4EE6" w:rsidRPr="00DE4EE6" w:rsidRDefault="00DE4EE6" w:rsidP="00DE4EE6">
            <w:pPr>
              <w:jc w:val="center"/>
              <w:rPr>
                <w:rFonts w:cs="Arial"/>
                <w:color w:val="000000"/>
              </w:rPr>
            </w:pPr>
            <w:r w:rsidRPr="00DE4EE6">
              <w:rPr>
                <w:rFonts w:cs="Arial"/>
                <w:color w:val="000000"/>
              </w:rPr>
              <w:t>2.1</w:t>
            </w:r>
          </w:p>
        </w:tc>
        <w:tc>
          <w:tcPr>
            <w:tcW w:w="2240" w:type="dxa"/>
            <w:tcBorders>
              <w:top w:val="nil"/>
              <w:left w:val="nil"/>
              <w:bottom w:val="single" w:sz="8" w:space="0" w:color="auto"/>
              <w:right w:val="single" w:sz="8" w:space="0" w:color="auto"/>
            </w:tcBorders>
            <w:shd w:val="clear" w:color="auto" w:fill="auto"/>
            <w:vAlign w:val="center"/>
            <w:hideMark/>
          </w:tcPr>
          <w:p w14:paraId="2B1451EA" w14:textId="77777777" w:rsidR="00DE4EE6" w:rsidRPr="00DE4EE6" w:rsidRDefault="00DE4EE6" w:rsidP="00DE4EE6">
            <w:pPr>
              <w:rPr>
                <w:rFonts w:cs="Arial"/>
                <w:color w:val="000000"/>
              </w:rPr>
            </w:pPr>
            <w:r w:rsidRPr="00DE4EE6">
              <w:rPr>
                <w:rFonts w:cs="Arial"/>
                <w:color w:val="000000"/>
              </w:rPr>
              <w:t>Early Years Block</w:t>
            </w:r>
          </w:p>
        </w:tc>
        <w:tc>
          <w:tcPr>
            <w:tcW w:w="1720" w:type="dxa"/>
            <w:tcBorders>
              <w:top w:val="nil"/>
              <w:left w:val="nil"/>
              <w:bottom w:val="single" w:sz="8" w:space="0" w:color="auto"/>
              <w:right w:val="single" w:sz="8" w:space="0" w:color="auto"/>
            </w:tcBorders>
            <w:shd w:val="clear" w:color="auto" w:fill="auto"/>
            <w:vAlign w:val="center"/>
            <w:hideMark/>
          </w:tcPr>
          <w:p w14:paraId="459736BB" w14:textId="77777777" w:rsidR="00DE4EE6" w:rsidRPr="00DE4EE6" w:rsidRDefault="00DE4EE6" w:rsidP="00DE4EE6">
            <w:pPr>
              <w:jc w:val="right"/>
              <w:rPr>
                <w:rFonts w:cs="Arial"/>
                <w:color w:val="000000"/>
              </w:rPr>
            </w:pPr>
            <w:r w:rsidRPr="00DE4EE6">
              <w:rPr>
                <w:rFonts w:cs="Arial"/>
                <w:color w:val="000000"/>
              </w:rPr>
              <w:t>19,681</w:t>
            </w:r>
          </w:p>
        </w:tc>
        <w:tc>
          <w:tcPr>
            <w:tcW w:w="1740" w:type="dxa"/>
            <w:tcBorders>
              <w:top w:val="nil"/>
              <w:left w:val="nil"/>
              <w:bottom w:val="single" w:sz="8" w:space="0" w:color="auto"/>
              <w:right w:val="single" w:sz="8" w:space="0" w:color="auto"/>
            </w:tcBorders>
            <w:shd w:val="clear" w:color="auto" w:fill="auto"/>
            <w:vAlign w:val="center"/>
            <w:hideMark/>
          </w:tcPr>
          <w:p w14:paraId="551B6AAA" w14:textId="77777777" w:rsidR="00DE4EE6" w:rsidRPr="00DE4EE6" w:rsidRDefault="00DE4EE6" w:rsidP="00DE4EE6">
            <w:pPr>
              <w:jc w:val="right"/>
              <w:rPr>
                <w:rFonts w:cs="Arial"/>
                <w:color w:val="000000"/>
              </w:rPr>
            </w:pPr>
            <w:r w:rsidRPr="00DE4EE6">
              <w:rPr>
                <w:rFonts w:cs="Arial"/>
                <w:color w:val="000000"/>
              </w:rPr>
              <w:t>17,210</w:t>
            </w:r>
          </w:p>
        </w:tc>
        <w:tc>
          <w:tcPr>
            <w:tcW w:w="1660" w:type="dxa"/>
            <w:tcBorders>
              <w:top w:val="nil"/>
              <w:left w:val="nil"/>
              <w:bottom w:val="single" w:sz="8" w:space="0" w:color="auto"/>
              <w:right w:val="single" w:sz="8" w:space="0" w:color="auto"/>
            </w:tcBorders>
            <w:shd w:val="clear" w:color="auto" w:fill="auto"/>
            <w:vAlign w:val="center"/>
            <w:hideMark/>
          </w:tcPr>
          <w:p w14:paraId="17D7E795" w14:textId="77777777" w:rsidR="00DE4EE6" w:rsidRPr="00DE4EE6" w:rsidRDefault="00DE4EE6" w:rsidP="00DE4EE6">
            <w:pPr>
              <w:jc w:val="right"/>
              <w:rPr>
                <w:rFonts w:cs="Arial"/>
                <w:color w:val="000000"/>
              </w:rPr>
            </w:pPr>
            <w:r w:rsidRPr="00DE4EE6">
              <w:rPr>
                <w:rFonts w:cs="Arial"/>
                <w:color w:val="FF0000"/>
              </w:rPr>
              <w:t xml:space="preserve">-2,471 </w:t>
            </w:r>
          </w:p>
        </w:tc>
      </w:tr>
      <w:tr w:rsidR="00DE4EE6" w:rsidRPr="00DE4EE6" w14:paraId="15C6C73F" w14:textId="77777777" w:rsidTr="005A6871">
        <w:trPr>
          <w:trHeight w:val="6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3277CC4" w14:textId="77777777" w:rsidR="00DE4EE6" w:rsidRPr="00DE4EE6" w:rsidRDefault="00DE4EE6" w:rsidP="00DE4EE6">
            <w:pPr>
              <w:jc w:val="center"/>
              <w:rPr>
                <w:rFonts w:cs="Arial"/>
                <w:color w:val="000000"/>
              </w:rPr>
            </w:pPr>
            <w:r w:rsidRPr="00DE4EE6">
              <w:rPr>
                <w:rFonts w:cs="Arial"/>
                <w:color w:val="000000"/>
              </w:rPr>
              <w:t>2.2</w:t>
            </w:r>
          </w:p>
        </w:tc>
        <w:tc>
          <w:tcPr>
            <w:tcW w:w="2240" w:type="dxa"/>
            <w:tcBorders>
              <w:top w:val="nil"/>
              <w:left w:val="nil"/>
              <w:bottom w:val="single" w:sz="8" w:space="0" w:color="auto"/>
              <w:right w:val="single" w:sz="8" w:space="0" w:color="auto"/>
            </w:tcBorders>
            <w:shd w:val="clear" w:color="auto" w:fill="auto"/>
            <w:vAlign w:val="center"/>
            <w:hideMark/>
          </w:tcPr>
          <w:p w14:paraId="3CEA2041" w14:textId="77777777" w:rsidR="00DE4EE6" w:rsidRPr="00DE4EE6" w:rsidRDefault="00DE4EE6" w:rsidP="00DE4EE6">
            <w:pPr>
              <w:rPr>
                <w:rFonts w:cs="Arial"/>
                <w:color w:val="000000"/>
              </w:rPr>
            </w:pPr>
            <w:r w:rsidRPr="00DE4EE6">
              <w:rPr>
                <w:rFonts w:cs="Arial"/>
                <w:color w:val="000000"/>
              </w:rPr>
              <w:t>High Needs Block</w:t>
            </w:r>
          </w:p>
        </w:tc>
        <w:tc>
          <w:tcPr>
            <w:tcW w:w="1720" w:type="dxa"/>
            <w:tcBorders>
              <w:top w:val="nil"/>
              <w:left w:val="nil"/>
              <w:bottom w:val="single" w:sz="8" w:space="0" w:color="auto"/>
              <w:right w:val="single" w:sz="8" w:space="0" w:color="auto"/>
            </w:tcBorders>
            <w:shd w:val="clear" w:color="auto" w:fill="auto"/>
            <w:vAlign w:val="center"/>
            <w:hideMark/>
          </w:tcPr>
          <w:p w14:paraId="7CE4282A" w14:textId="77777777" w:rsidR="00DE4EE6" w:rsidRPr="00DE4EE6" w:rsidRDefault="00DE4EE6" w:rsidP="00DE4EE6">
            <w:pPr>
              <w:jc w:val="right"/>
              <w:rPr>
                <w:rFonts w:cs="Arial"/>
                <w:color w:val="000000"/>
              </w:rPr>
            </w:pPr>
            <w:r w:rsidRPr="00DE4EE6">
              <w:rPr>
                <w:rFonts w:cs="Arial"/>
                <w:color w:val="000000"/>
              </w:rPr>
              <w:t xml:space="preserve">26,190 </w:t>
            </w:r>
          </w:p>
        </w:tc>
        <w:tc>
          <w:tcPr>
            <w:tcW w:w="1740" w:type="dxa"/>
            <w:tcBorders>
              <w:top w:val="nil"/>
              <w:left w:val="nil"/>
              <w:bottom w:val="single" w:sz="8" w:space="0" w:color="auto"/>
              <w:right w:val="single" w:sz="8" w:space="0" w:color="auto"/>
            </w:tcBorders>
            <w:shd w:val="clear" w:color="auto" w:fill="auto"/>
            <w:vAlign w:val="center"/>
            <w:hideMark/>
          </w:tcPr>
          <w:p w14:paraId="57E5C932" w14:textId="77777777" w:rsidR="00DE4EE6" w:rsidRPr="00DE4EE6" w:rsidRDefault="00DE4EE6" w:rsidP="00DE4EE6">
            <w:pPr>
              <w:jc w:val="right"/>
              <w:rPr>
                <w:rFonts w:cs="Arial"/>
                <w:color w:val="000000"/>
              </w:rPr>
            </w:pPr>
            <w:r w:rsidRPr="00DE4EE6">
              <w:rPr>
                <w:rFonts w:cs="Arial"/>
                <w:color w:val="000000"/>
              </w:rPr>
              <w:t xml:space="preserve">27,802 </w:t>
            </w:r>
          </w:p>
        </w:tc>
        <w:tc>
          <w:tcPr>
            <w:tcW w:w="1660" w:type="dxa"/>
            <w:tcBorders>
              <w:top w:val="nil"/>
              <w:left w:val="nil"/>
              <w:bottom w:val="single" w:sz="8" w:space="0" w:color="auto"/>
              <w:right w:val="single" w:sz="8" w:space="0" w:color="auto"/>
            </w:tcBorders>
            <w:shd w:val="clear" w:color="auto" w:fill="auto"/>
            <w:vAlign w:val="center"/>
            <w:hideMark/>
          </w:tcPr>
          <w:p w14:paraId="25645969" w14:textId="77777777" w:rsidR="00DE4EE6" w:rsidRPr="00DE4EE6" w:rsidRDefault="00DE4EE6" w:rsidP="00DE4EE6">
            <w:pPr>
              <w:jc w:val="right"/>
              <w:rPr>
                <w:rFonts w:cs="Arial"/>
                <w:color w:val="000000"/>
              </w:rPr>
            </w:pPr>
            <w:r w:rsidRPr="00DE4EE6">
              <w:rPr>
                <w:rFonts w:cs="Arial"/>
                <w:color w:val="000000"/>
              </w:rPr>
              <w:t xml:space="preserve">1,612 </w:t>
            </w:r>
          </w:p>
        </w:tc>
      </w:tr>
      <w:tr w:rsidR="00DE4EE6" w:rsidRPr="00DE4EE6" w14:paraId="7A6EC82E" w14:textId="77777777" w:rsidTr="005A6871">
        <w:trPr>
          <w:trHeight w:val="32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D674E9" w14:textId="77777777" w:rsidR="00DE4EE6" w:rsidRPr="00DE4EE6" w:rsidRDefault="00DE4EE6" w:rsidP="00DE4EE6">
            <w:pPr>
              <w:jc w:val="center"/>
              <w:rPr>
                <w:rFonts w:cs="Arial"/>
                <w:color w:val="000000"/>
              </w:rPr>
            </w:pPr>
            <w:r w:rsidRPr="00DE4EE6">
              <w:rPr>
                <w:rFonts w:cs="Arial"/>
                <w:color w:val="000000"/>
              </w:rPr>
              <w:t>2.3</w:t>
            </w:r>
          </w:p>
        </w:tc>
        <w:tc>
          <w:tcPr>
            <w:tcW w:w="2240" w:type="dxa"/>
            <w:tcBorders>
              <w:top w:val="nil"/>
              <w:left w:val="nil"/>
              <w:bottom w:val="single" w:sz="8" w:space="0" w:color="auto"/>
              <w:right w:val="single" w:sz="8" w:space="0" w:color="auto"/>
            </w:tcBorders>
            <w:shd w:val="clear" w:color="auto" w:fill="auto"/>
            <w:vAlign w:val="center"/>
            <w:hideMark/>
          </w:tcPr>
          <w:p w14:paraId="0F4FCAE4" w14:textId="77777777" w:rsidR="00DE4EE6" w:rsidRPr="00DE4EE6" w:rsidRDefault="00DE4EE6" w:rsidP="00DE4EE6">
            <w:pPr>
              <w:rPr>
                <w:rFonts w:cs="Arial"/>
                <w:color w:val="000000"/>
              </w:rPr>
            </w:pPr>
            <w:r w:rsidRPr="00DE4EE6">
              <w:rPr>
                <w:rFonts w:cs="Arial"/>
                <w:color w:val="000000"/>
              </w:rPr>
              <w:t>Schools Block</w:t>
            </w:r>
          </w:p>
        </w:tc>
        <w:tc>
          <w:tcPr>
            <w:tcW w:w="1720" w:type="dxa"/>
            <w:tcBorders>
              <w:top w:val="nil"/>
              <w:left w:val="nil"/>
              <w:bottom w:val="single" w:sz="8" w:space="0" w:color="auto"/>
              <w:right w:val="single" w:sz="8" w:space="0" w:color="auto"/>
            </w:tcBorders>
            <w:shd w:val="clear" w:color="auto" w:fill="auto"/>
            <w:vAlign w:val="center"/>
            <w:hideMark/>
          </w:tcPr>
          <w:p w14:paraId="032741CE" w14:textId="77777777" w:rsidR="00DE4EE6" w:rsidRPr="00DE4EE6" w:rsidRDefault="00DE4EE6" w:rsidP="00DE4EE6">
            <w:pPr>
              <w:jc w:val="right"/>
              <w:rPr>
                <w:rFonts w:cs="Arial"/>
                <w:color w:val="000000"/>
              </w:rPr>
            </w:pPr>
            <w:r w:rsidRPr="00DE4EE6">
              <w:rPr>
                <w:rFonts w:cs="Arial"/>
                <w:color w:val="000000"/>
              </w:rPr>
              <w:t xml:space="preserve">165,515 </w:t>
            </w:r>
          </w:p>
        </w:tc>
        <w:tc>
          <w:tcPr>
            <w:tcW w:w="1740" w:type="dxa"/>
            <w:tcBorders>
              <w:top w:val="nil"/>
              <w:left w:val="nil"/>
              <w:bottom w:val="single" w:sz="8" w:space="0" w:color="auto"/>
              <w:right w:val="single" w:sz="8" w:space="0" w:color="auto"/>
            </w:tcBorders>
            <w:shd w:val="clear" w:color="auto" w:fill="auto"/>
            <w:vAlign w:val="center"/>
            <w:hideMark/>
          </w:tcPr>
          <w:p w14:paraId="14143F6D" w14:textId="77777777" w:rsidR="00DE4EE6" w:rsidRPr="00DE4EE6" w:rsidRDefault="00DE4EE6" w:rsidP="00DE4EE6">
            <w:pPr>
              <w:jc w:val="right"/>
              <w:rPr>
                <w:rFonts w:cs="Arial"/>
                <w:color w:val="000000"/>
              </w:rPr>
            </w:pPr>
            <w:r w:rsidRPr="00DE4EE6">
              <w:rPr>
                <w:rFonts w:cs="Arial"/>
                <w:color w:val="000000"/>
              </w:rPr>
              <w:t xml:space="preserve">164,914 </w:t>
            </w:r>
          </w:p>
        </w:tc>
        <w:tc>
          <w:tcPr>
            <w:tcW w:w="1660" w:type="dxa"/>
            <w:tcBorders>
              <w:top w:val="nil"/>
              <w:left w:val="nil"/>
              <w:bottom w:val="single" w:sz="8" w:space="0" w:color="auto"/>
              <w:right w:val="single" w:sz="8" w:space="0" w:color="auto"/>
            </w:tcBorders>
            <w:shd w:val="clear" w:color="auto" w:fill="auto"/>
            <w:vAlign w:val="center"/>
            <w:hideMark/>
          </w:tcPr>
          <w:p w14:paraId="67D1E5EE" w14:textId="77777777" w:rsidR="00DE4EE6" w:rsidRPr="00DE4EE6" w:rsidRDefault="00DE4EE6" w:rsidP="00DE4EE6">
            <w:pPr>
              <w:jc w:val="right"/>
              <w:rPr>
                <w:rFonts w:cs="Arial"/>
                <w:color w:val="000000"/>
              </w:rPr>
            </w:pPr>
            <w:r w:rsidRPr="00DE4EE6">
              <w:rPr>
                <w:rFonts w:cs="Arial"/>
                <w:color w:val="FF0000"/>
              </w:rPr>
              <w:t xml:space="preserve">-601 </w:t>
            </w:r>
          </w:p>
        </w:tc>
      </w:tr>
      <w:tr w:rsidR="00DE4EE6" w:rsidRPr="00DE4EE6" w14:paraId="56A12DED" w14:textId="77777777" w:rsidTr="005A6871">
        <w:trPr>
          <w:trHeight w:val="320"/>
          <w:jc w:val="center"/>
        </w:trPr>
        <w:tc>
          <w:tcPr>
            <w:tcW w:w="960" w:type="dxa"/>
            <w:tcBorders>
              <w:top w:val="nil"/>
              <w:left w:val="single" w:sz="8" w:space="0" w:color="auto"/>
              <w:bottom w:val="single" w:sz="8" w:space="0" w:color="auto"/>
              <w:right w:val="single" w:sz="8" w:space="0" w:color="auto"/>
            </w:tcBorders>
            <w:shd w:val="clear" w:color="000000" w:fill="FFD966"/>
            <w:vAlign w:val="center"/>
            <w:hideMark/>
          </w:tcPr>
          <w:p w14:paraId="07027C0F" w14:textId="77777777" w:rsidR="00DE4EE6" w:rsidRPr="00DE4EE6" w:rsidRDefault="00DE4EE6" w:rsidP="00DE4EE6">
            <w:pPr>
              <w:jc w:val="center"/>
              <w:rPr>
                <w:rFonts w:cs="Arial"/>
                <w:b/>
                <w:bCs/>
                <w:color w:val="000000"/>
              </w:rPr>
            </w:pPr>
            <w:r w:rsidRPr="00DE4EE6">
              <w:rPr>
                <w:rFonts w:cs="Arial"/>
                <w:b/>
                <w:bCs/>
                <w:color w:val="000000"/>
              </w:rPr>
              <w:t> </w:t>
            </w:r>
          </w:p>
        </w:tc>
        <w:tc>
          <w:tcPr>
            <w:tcW w:w="2240" w:type="dxa"/>
            <w:tcBorders>
              <w:top w:val="nil"/>
              <w:left w:val="nil"/>
              <w:bottom w:val="single" w:sz="8" w:space="0" w:color="auto"/>
              <w:right w:val="single" w:sz="8" w:space="0" w:color="auto"/>
            </w:tcBorders>
            <w:shd w:val="clear" w:color="000000" w:fill="FFD966"/>
            <w:vAlign w:val="center"/>
            <w:hideMark/>
          </w:tcPr>
          <w:p w14:paraId="055DFBEF" w14:textId="77777777" w:rsidR="00DE4EE6" w:rsidRPr="00DE4EE6" w:rsidRDefault="00DE4EE6" w:rsidP="00DE4EE6">
            <w:pPr>
              <w:rPr>
                <w:rFonts w:cs="Arial"/>
                <w:b/>
                <w:bCs/>
                <w:color w:val="000000"/>
              </w:rPr>
            </w:pPr>
            <w:r w:rsidRPr="00DE4EE6">
              <w:rPr>
                <w:rFonts w:cs="Arial"/>
                <w:b/>
                <w:bCs/>
                <w:color w:val="000000"/>
              </w:rPr>
              <w:t>TOTAL</w:t>
            </w:r>
          </w:p>
        </w:tc>
        <w:tc>
          <w:tcPr>
            <w:tcW w:w="1720" w:type="dxa"/>
            <w:tcBorders>
              <w:top w:val="nil"/>
              <w:left w:val="nil"/>
              <w:bottom w:val="single" w:sz="8" w:space="0" w:color="auto"/>
              <w:right w:val="single" w:sz="8" w:space="0" w:color="auto"/>
            </w:tcBorders>
            <w:shd w:val="clear" w:color="000000" w:fill="FFD966"/>
            <w:vAlign w:val="center"/>
            <w:hideMark/>
          </w:tcPr>
          <w:p w14:paraId="0196A0F2" w14:textId="77777777" w:rsidR="00DE4EE6" w:rsidRPr="00DE4EE6" w:rsidRDefault="00DE4EE6" w:rsidP="00DE4EE6">
            <w:pPr>
              <w:jc w:val="right"/>
              <w:rPr>
                <w:rFonts w:cs="Arial"/>
                <w:b/>
                <w:bCs/>
                <w:color w:val="000000"/>
              </w:rPr>
            </w:pPr>
            <w:r w:rsidRPr="00DE4EE6">
              <w:rPr>
                <w:rFonts w:cs="Arial"/>
                <w:b/>
                <w:bCs/>
                <w:color w:val="000000"/>
              </w:rPr>
              <w:t>£211,386</w:t>
            </w:r>
          </w:p>
        </w:tc>
        <w:tc>
          <w:tcPr>
            <w:tcW w:w="1740" w:type="dxa"/>
            <w:tcBorders>
              <w:top w:val="nil"/>
              <w:left w:val="nil"/>
              <w:bottom w:val="single" w:sz="8" w:space="0" w:color="auto"/>
              <w:right w:val="single" w:sz="8" w:space="0" w:color="auto"/>
            </w:tcBorders>
            <w:shd w:val="clear" w:color="000000" w:fill="FFD966"/>
            <w:vAlign w:val="center"/>
            <w:hideMark/>
          </w:tcPr>
          <w:p w14:paraId="0AA92255" w14:textId="77777777" w:rsidR="00DE4EE6" w:rsidRPr="00DE4EE6" w:rsidRDefault="00DE4EE6" w:rsidP="00DE4EE6">
            <w:pPr>
              <w:jc w:val="right"/>
              <w:rPr>
                <w:rFonts w:cs="Arial"/>
                <w:b/>
                <w:bCs/>
                <w:color w:val="000000"/>
              </w:rPr>
            </w:pPr>
            <w:r w:rsidRPr="00DE4EE6">
              <w:rPr>
                <w:rFonts w:cs="Arial"/>
                <w:b/>
                <w:bCs/>
                <w:color w:val="000000"/>
              </w:rPr>
              <w:t>£209,926</w:t>
            </w:r>
          </w:p>
        </w:tc>
        <w:tc>
          <w:tcPr>
            <w:tcW w:w="1660" w:type="dxa"/>
            <w:tcBorders>
              <w:top w:val="nil"/>
              <w:left w:val="nil"/>
              <w:bottom w:val="single" w:sz="8" w:space="0" w:color="auto"/>
              <w:right w:val="single" w:sz="8" w:space="0" w:color="auto"/>
            </w:tcBorders>
            <w:shd w:val="clear" w:color="000000" w:fill="FFD966"/>
            <w:vAlign w:val="center"/>
            <w:hideMark/>
          </w:tcPr>
          <w:p w14:paraId="1596D61F" w14:textId="77777777" w:rsidR="00DE4EE6" w:rsidRPr="00DE4EE6" w:rsidRDefault="00DE4EE6" w:rsidP="00DE4EE6">
            <w:pPr>
              <w:jc w:val="right"/>
              <w:rPr>
                <w:rFonts w:cs="Arial"/>
                <w:b/>
                <w:bCs/>
                <w:color w:val="000000"/>
              </w:rPr>
            </w:pPr>
            <w:r w:rsidRPr="00DE4EE6">
              <w:rPr>
                <w:rFonts w:cs="Arial"/>
                <w:b/>
                <w:bCs/>
                <w:color w:val="FF0000"/>
              </w:rPr>
              <w:t>-£1,460</w:t>
            </w:r>
          </w:p>
        </w:tc>
      </w:tr>
      <w:tr w:rsidR="00DE4EE6" w:rsidRPr="00DE4EE6" w14:paraId="2293FE19" w14:textId="77777777" w:rsidTr="005A6871">
        <w:trPr>
          <w:trHeight w:val="310"/>
          <w:jc w:val="center"/>
        </w:trPr>
        <w:tc>
          <w:tcPr>
            <w:tcW w:w="960" w:type="dxa"/>
            <w:tcBorders>
              <w:top w:val="nil"/>
              <w:left w:val="nil"/>
              <w:bottom w:val="nil"/>
              <w:right w:val="nil"/>
            </w:tcBorders>
            <w:shd w:val="clear" w:color="auto" w:fill="auto"/>
            <w:noWrap/>
            <w:vAlign w:val="bottom"/>
            <w:hideMark/>
          </w:tcPr>
          <w:p w14:paraId="006BCA4F" w14:textId="77777777" w:rsidR="00DE4EE6" w:rsidRPr="00DE4EE6" w:rsidRDefault="00DE4EE6" w:rsidP="00DE4EE6">
            <w:pPr>
              <w:jc w:val="right"/>
              <w:rPr>
                <w:rFonts w:cs="Arial"/>
                <w:b/>
                <w:bCs/>
                <w:color w:val="000000"/>
              </w:rPr>
            </w:pPr>
          </w:p>
        </w:tc>
        <w:tc>
          <w:tcPr>
            <w:tcW w:w="2240" w:type="dxa"/>
            <w:tcBorders>
              <w:top w:val="nil"/>
              <w:left w:val="nil"/>
              <w:bottom w:val="nil"/>
              <w:right w:val="nil"/>
            </w:tcBorders>
            <w:shd w:val="clear" w:color="auto" w:fill="auto"/>
            <w:noWrap/>
            <w:vAlign w:val="bottom"/>
            <w:hideMark/>
          </w:tcPr>
          <w:p w14:paraId="423CF564" w14:textId="77777777" w:rsidR="00DE4EE6" w:rsidRPr="00DE4EE6" w:rsidRDefault="00DE4EE6" w:rsidP="00DE4EE6">
            <w:pPr>
              <w:rPr>
                <w:rFonts w:ascii="Times New Roman" w:hAnsi="Times New Roman"/>
                <w:sz w:val="20"/>
                <w:szCs w:val="20"/>
              </w:rPr>
            </w:pPr>
          </w:p>
        </w:tc>
        <w:tc>
          <w:tcPr>
            <w:tcW w:w="1720" w:type="dxa"/>
            <w:tcBorders>
              <w:top w:val="nil"/>
              <w:left w:val="nil"/>
              <w:bottom w:val="nil"/>
              <w:right w:val="nil"/>
            </w:tcBorders>
            <w:shd w:val="clear" w:color="auto" w:fill="auto"/>
            <w:noWrap/>
            <w:vAlign w:val="bottom"/>
            <w:hideMark/>
          </w:tcPr>
          <w:p w14:paraId="379EDC1D" w14:textId="77777777" w:rsidR="00DE4EE6" w:rsidRPr="00DE4EE6" w:rsidRDefault="00DE4EE6" w:rsidP="00DE4EE6">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646F2138" w14:textId="77777777" w:rsidR="00DE4EE6" w:rsidRPr="00DE4EE6" w:rsidRDefault="00DE4EE6" w:rsidP="00DE4EE6">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65A55A3" w14:textId="77777777" w:rsidR="00DE4EE6" w:rsidRPr="00DE4EE6" w:rsidRDefault="00DE4EE6" w:rsidP="00DE4EE6">
            <w:pPr>
              <w:rPr>
                <w:rFonts w:ascii="Times New Roman" w:hAnsi="Times New Roman"/>
                <w:sz w:val="20"/>
                <w:szCs w:val="20"/>
              </w:rPr>
            </w:pPr>
          </w:p>
        </w:tc>
      </w:tr>
      <w:tr w:rsidR="00DE4EE6" w:rsidRPr="00DE4EE6" w14:paraId="26B7FB1E" w14:textId="77777777" w:rsidTr="005A6871">
        <w:trPr>
          <w:trHeight w:val="620"/>
          <w:jc w:val="center"/>
        </w:trPr>
        <w:tc>
          <w:tcPr>
            <w:tcW w:w="960" w:type="dxa"/>
            <w:tcBorders>
              <w:top w:val="nil"/>
              <w:left w:val="nil"/>
              <w:bottom w:val="nil"/>
              <w:right w:val="nil"/>
            </w:tcBorders>
            <w:shd w:val="clear" w:color="auto" w:fill="auto"/>
            <w:noWrap/>
            <w:vAlign w:val="bottom"/>
            <w:hideMark/>
          </w:tcPr>
          <w:p w14:paraId="2287BB2F" w14:textId="77777777" w:rsidR="00DE4EE6" w:rsidRPr="00DE4EE6" w:rsidRDefault="00DE4EE6" w:rsidP="00DE4EE6">
            <w:pP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B318" w14:textId="77777777" w:rsidR="00DE4EE6" w:rsidRPr="00DE4EE6" w:rsidRDefault="00DE4EE6" w:rsidP="00DE4EE6">
            <w:pPr>
              <w:rPr>
                <w:rFonts w:cs="Arial"/>
                <w:color w:val="000000"/>
              </w:rPr>
            </w:pPr>
            <w:r w:rsidRPr="00DE4EE6">
              <w:rPr>
                <w:rFonts w:cs="Arial"/>
                <w:color w:val="000000"/>
              </w:rPr>
              <w:t>DfE Allocation 2017-18</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6F78253" w14:textId="77777777" w:rsidR="00DE4EE6" w:rsidRPr="00DE4EE6" w:rsidRDefault="00DE4EE6" w:rsidP="00DE4EE6">
            <w:pPr>
              <w:jc w:val="right"/>
              <w:rPr>
                <w:rFonts w:cs="Arial"/>
                <w:color w:val="000000"/>
              </w:rPr>
            </w:pPr>
            <w:r w:rsidRPr="00DE4EE6">
              <w:rPr>
                <w:rFonts w:cs="Arial"/>
                <w:color w:val="000000"/>
              </w:rPr>
              <w:t>210,648</w:t>
            </w:r>
          </w:p>
        </w:tc>
        <w:tc>
          <w:tcPr>
            <w:tcW w:w="1740" w:type="dxa"/>
            <w:tcBorders>
              <w:top w:val="nil"/>
              <w:left w:val="nil"/>
              <w:bottom w:val="nil"/>
              <w:right w:val="nil"/>
            </w:tcBorders>
            <w:shd w:val="clear" w:color="auto" w:fill="auto"/>
            <w:noWrap/>
            <w:vAlign w:val="bottom"/>
            <w:hideMark/>
          </w:tcPr>
          <w:p w14:paraId="504F857D" w14:textId="77777777" w:rsidR="00DE4EE6" w:rsidRPr="00DE4EE6" w:rsidRDefault="00DE4EE6" w:rsidP="00DE4EE6">
            <w:pPr>
              <w:jc w:val="right"/>
              <w:rPr>
                <w:rFonts w:cs="Arial"/>
                <w:color w:val="000000"/>
              </w:rPr>
            </w:pPr>
          </w:p>
        </w:tc>
        <w:tc>
          <w:tcPr>
            <w:tcW w:w="1660" w:type="dxa"/>
            <w:tcBorders>
              <w:top w:val="nil"/>
              <w:left w:val="nil"/>
              <w:bottom w:val="nil"/>
              <w:right w:val="nil"/>
            </w:tcBorders>
            <w:shd w:val="clear" w:color="auto" w:fill="auto"/>
            <w:noWrap/>
            <w:vAlign w:val="bottom"/>
            <w:hideMark/>
          </w:tcPr>
          <w:p w14:paraId="15C0F65D" w14:textId="77777777" w:rsidR="00DE4EE6" w:rsidRPr="00DE4EE6" w:rsidRDefault="00DE4EE6" w:rsidP="00DE4EE6">
            <w:pPr>
              <w:rPr>
                <w:rFonts w:ascii="Times New Roman" w:hAnsi="Times New Roman"/>
                <w:sz w:val="20"/>
                <w:szCs w:val="20"/>
              </w:rPr>
            </w:pPr>
          </w:p>
        </w:tc>
      </w:tr>
      <w:tr w:rsidR="00DE4EE6" w:rsidRPr="00DE4EE6" w14:paraId="1ABCB37F" w14:textId="77777777" w:rsidTr="005A6871">
        <w:trPr>
          <w:trHeight w:val="620"/>
          <w:jc w:val="center"/>
        </w:trPr>
        <w:tc>
          <w:tcPr>
            <w:tcW w:w="960" w:type="dxa"/>
            <w:tcBorders>
              <w:top w:val="nil"/>
              <w:left w:val="nil"/>
              <w:bottom w:val="nil"/>
              <w:right w:val="nil"/>
            </w:tcBorders>
            <w:shd w:val="clear" w:color="auto" w:fill="auto"/>
            <w:noWrap/>
            <w:vAlign w:val="bottom"/>
            <w:hideMark/>
          </w:tcPr>
          <w:p w14:paraId="7B29839D" w14:textId="77777777" w:rsidR="00DE4EE6" w:rsidRPr="00DE4EE6" w:rsidRDefault="00DE4EE6" w:rsidP="00DE4EE6">
            <w:pPr>
              <w:rPr>
                <w:rFonts w:ascii="Times New Roman" w:hAnsi="Times New Roman"/>
                <w:sz w:val="20"/>
                <w:szCs w:val="20"/>
              </w:rPr>
            </w:pP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02AB1673" w14:textId="77777777" w:rsidR="00DE4EE6" w:rsidRPr="00DE4EE6" w:rsidRDefault="00DE4EE6" w:rsidP="00DE4EE6">
            <w:pPr>
              <w:rPr>
                <w:rFonts w:cs="Arial"/>
                <w:color w:val="000000"/>
              </w:rPr>
            </w:pPr>
            <w:r w:rsidRPr="00DE4EE6">
              <w:rPr>
                <w:rFonts w:cs="Arial"/>
                <w:color w:val="000000"/>
              </w:rPr>
              <w:t>Planned Use of Reserves</w:t>
            </w:r>
          </w:p>
        </w:tc>
        <w:tc>
          <w:tcPr>
            <w:tcW w:w="1720" w:type="dxa"/>
            <w:tcBorders>
              <w:top w:val="nil"/>
              <w:left w:val="nil"/>
              <w:bottom w:val="single" w:sz="4" w:space="0" w:color="auto"/>
              <w:right w:val="single" w:sz="4" w:space="0" w:color="auto"/>
            </w:tcBorders>
            <w:shd w:val="clear" w:color="auto" w:fill="auto"/>
            <w:vAlign w:val="center"/>
            <w:hideMark/>
          </w:tcPr>
          <w:p w14:paraId="7888E95B" w14:textId="77777777" w:rsidR="00DE4EE6" w:rsidRPr="00DE4EE6" w:rsidRDefault="00DE4EE6" w:rsidP="00DE4EE6">
            <w:pPr>
              <w:jc w:val="right"/>
              <w:rPr>
                <w:rFonts w:cs="Arial"/>
                <w:color w:val="000000"/>
              </w:rPr>
            </w:pPr>
            <w:r w:rsidRPr="00DE4EE6">
              <w:rPr>
                <w:rFonts w:cs="Arial"/>
                <w:color w:val="000000"/>
              </w:rPr>
              <w:t>756</w:t>
            </w:r>
          </w:p>
        </w:tc>
        <w:tc>
          <w:tcPr>
            <w:tcW w:w="1740" w:type="dxa"/>
            <w:tcBorders>
              <w:top w:val="nil"/>
              <w:left w:val="nil"/>
              <w:bottom w:val="nil"/>
              <w:right w:val="nil"/>
            </w:tcBorders>
            <w:shd w:val="clear" w:color="auto" w:fill="auto"/>
            <w:noWrap/>
            <w:vAlign w:val="bottom"/>
            <w:hideMark/>
          </w:tcPr>
          <w:p w14:paraId="376D2F03" w14:textId="77777777" w:rsidR="00DE4EE6" w:rsidRPr="00DE4EE6" w:rsidRDefault="00DE4EE6" w:rsidP="00DE4EE6">
            <w:pPr>
              <w:jc w:val="right"/>
              <w:rPr>
                <w:rFonts w:cs="Arial"/>
                <w:color w:val="000000"/>
              </w:rPr>
            </w:pPr>
          </w:p>
        </w:tc>
        <w:tc>
          <w:tcPr>
            <w:tcW w:w="1660" w:type="dxa"/>
            <w:tcBorders>
              <w:top w:val="nil"/>
              <w:left w:val="nil"/>
              <w:bottom w:val="nil"/>
              <w:right w:val="nil"/>
            </w:tcBorders>
            <w:shd w:val="clear" w:color="auto" w:fill="auto"/>
            <w:noWrap/>
            <w:vAlign w:val="bottom"/>
            <w:hideMark/>
          </w:tcPr>
          <w:p w14:paraId="72B166AB" w14:textId="77777777" w:rsidR="00DE4EE6" w:rsidRPr="00DE4EE6" w:rsidRDefault="00DE4EE6" w:rsidP="00DE4EE6">
            <w:pPr>
              <w:rPr>
                <w:rFonts w:ascii="Times New Roman" w:hAnsi="Times New Roman"/>
                <w:sz w:val="20"/>
                <w:szCs w:val="20"/>
              </w:rPr>
            </w:pPr>
          </w:p>
        </w:tc>
      </w:tr>
      <w:tr w:rsidR="00DE4EE6" w:rsidRPr="00DE4EE6" w14:paraId="779A4901" w14:textId="77777777" w:rsidTr="005A6871">
        <w:trPr>
          <w:trHeight w:val="620"/>
          <w:jc w:val="center"/>
        </w:trPr>
        <w:tc>
          <w:tcPr>
            <w:tcW w:w="960" w:type="dxa"/>
            <w:tcBorders>
              <w:top w:val="nil"/>
              <w:left w:val="nil"/>
              <w:bottom w:val="nil"/>
              <w:right w:val="nil"/>
            </w:tcBorders>
            <w:shd w:val="clear" w:color="auto" w:fill="auto"/>
            <w:noWrap/>
            <w:vAlign w:val="bottom"/>
            <w:hideMark/>
          </w:tcPr>
          <w:p w14:paraId="543ECEE6" w14:textId="77777777" w:rsidR="00DE4EE6" w:rsidRPr="00DE4EE6" w:rsidRDefault="00DE4EE6" w:rsidP="00DE4EE6">
            <w:pPr>
              <w:rPr>
                <w:rFonts w:ascii="Times New Roman" w:hAnsi="Times New Roman"/>
                <w:sz w:val="20"/>
                <w:szCs w:val="20"/>
              </w:rPr>
            </w:pP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08943D80" w14:textId="77777777" w:rsidR="00DE4EE6" w:rsidRPr="00DE4EE6" w:rsidRDefault="00DE4EE6" w:rsidP="00DE4EE6">
            <w:pPr>
              <w:rPr>
                <w:rFonts w:cs="Arial"/>
                <w:color w:val="000000"/>
              </w:rPr>
            </w:pPr>
            <w:r w:rsidRPr="00DE4EE6">
              <w:rPr>
                <w:rFonts w:cs="Arial"/>
                <w:color w:val="000000"/>
              </w:rPr>
              <w:t xml:space="preserve">Adjustment to </w:t>
            </w:r>
            <w:r w:rsidR="007F19DF">
              <w:rPr>
                <w:rFonts w:cs="Arial"/>
                <w:color w:val="000000"/>
              </w:rPr>
              <w:t>High Needs Deductions</w:t>
            </w:r>
          </w:p>
        </w:tc>
        <w:tc>
          <w:tcPr>
            <w:tcW w:w="1720" w:type="dxa"/>
            <w:tcBorders>
              <w:top w:val="nil"/>
              <w:left w:val="nil"/>
              <w:bottom w:val="single" w:sz="4" w:space="0" w:color="auto"/>
              <w:right w:val="single" w:sz="4" w:space="0" w:color="auto"/>
            </w:tcBorders>
            <w:shd w:val="clear" w:color="auto" w:fill="auto"/>
            <w:noWrap/>
            <w:vAlign w:val="bottom"/>
            <w:hideMark/>
          </w:tcPr>
          <w:p w14:paraId="3A081936" w14:textId="77777777" w:rsidR="00DE4EE6" w:rsidRPr="00DE4EE6" w:rsidRDefault="00DE4EE6" w:rsidP="00DE4EE6">
            <w:pPr>
              <w:jc w:val="right"/>
              <w:rPr>
                <w:rFonts w:cs="Arial"/>
                <w:color w:val="000000"/>
              </w:rPr>
            </w:pPr>
            <w:r w:rsidRPr="00DE4EE6">
              <w:rPr>
                <w:rFonts w:cs="Arial"/>
                <w:color w:val="000000"/>
              </w:rPr>
              <w:t>-18</w:t>
            </w:r>
          </w:p>
        </w:tc>
        <w:tc>
          <w:tcPr>
            <w:tcW w:w="1740" w:type="dxa"/>
            <w:tcBorders>
              <w:top w:val="nil"/>
              <w:left w:val="nil"/>
              <w:bottom w:val="nil"/>
              <w:right w:val="nil"/>
            </w:tcBorders>
            <w:shd w:val="clear" w:color="auto" w:fill="auto"/>
            <w:noWrap/>
            <w:vAlign w:val="bottom"/>
            <w:hideMark/>
          </w:tcPr>
          <w:p w14:paraId="63BC11EB" w14:textId="77777777" w:rsidR="00DE4EE6" w:rsidRPr="00DE4EE6" w:rsidRDefault="00DE4EE6" w:rsidP="00DE4EE6">
            <w:pPr>
              <w:jc w:val="right"/>
              <w:rPr>
                <w:rFonts w:cs="Arial"/>
                <w:color w:val="000000"/>
              </w:rPr>
            </w:pPr>
          </w:p>
        </w:tc>
        <w:tc>
          <w:tcPr>
            <w:tcW w:w="1660" w:type="dxa"/>
            <w:tcBorders>
              <w:top w:val="nil"/>
              <w:left w:val="nil"/>
              <w:bottom w:val="nil"/>
              <w:right w:val="nil"/>
            </w:tcBorders>
            <w:shd w:val="clear" w:color="auto" w:fill="auto"/>
            <w:noWrap/>
            <w:vAlign w:val="bottom"/>
            <w:hideMark/>
          </w:tcPr>
          <w:p w14:paraId="41085464" w14:textId="77777777" w:rsidR="00DE4EE6" w:rsidRPr="00DE4EE6" w:rsidRDefault="00DE4EE6" w:rsidP="00DE4EE6">
            <w:pPr>
              <w:rPr>
                <w:rFonts w:ascii="Times New Roman" w:hAnsi="Times New Roman"/>
                <w:sz w:val="20"/>
                <w:szCs w:val="20"/>
              </w:rPr>
            </w:pPr>
          </w:p>
        </w:tc>
      </w:tr>
    </w:tbl>
    <w:p w14:paraId="74EFB2E8" w14:textId="77777777" w:rsidR="00DE4EE6" w:rsidRPr="0019260C" w:rsidRDefault="00DE4EE6" w:rsidP="0019260C">
      <w:pPr>
        <w:ind w:left="709"/>
        <w:rPr>
          <w:rFonts w:cs="Arial"/>
          <w:b/>
          <w:bCs/>
          <w:color w:val="000000"/>
        </w:rPr>
      </w:pPr>
    </w:p>
    <w:p w14:paraId="2AAF5EC0" w14:textId="77777777" w:rsidR="008E5E22" w:rsidRDefault="008E5E22" w:rsidP="006F49E8">
      <w:pPr>
        <w:ind w:left="709" w:hanging="709"/>
        <w:rPr>
          <w:rFonts w:cs="Arial"/>
        </w:rPr>
      </w:pPr>
    </w:p>
    <w:tbl>
      <w:tblPr>
        <w:tblW w:w="9060" w:type="dxa"/>
        <w:jc w:val="center"/>
        <w:tblLook w:val="04A0" w:firstRow="1" w:lastRow="0" w:firstColumn="1" w:lastColumn="0" w:noHBand="0" w:noVBand="1"/>
      </w:tblPr>
      <w:tblGrid>
        <w:gridCol w:w="7540"/>
        <w:gridCol w:w="1520"/>
      </w:tblGrid>
      <w:tr w:rsidR="00033019" w:rsidRPr="00033019" w14:paraId="42E7DB11" w14:textId="77777777" w:rsidTr="005A6871">
        <w:trPr>
          <w:trHeight w:val="320"/>
          <w:jc w:val="center"/>
        </w:trPr>
        <w:tc>
          <w:tcPr>
            <w:tcW w:w="9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D2B7F4" w14:textId="77777777" w:rsidR="00033019" w:rsidRPr="00033019" w:rsidRDefault="00033019" w:rsidP="00033019">
            <w:pPr>
              <w:jc w:val="center"/>
              <w:rPr>
                <w:rFonts w:cs="Arial"/>
                <w:b/>
                <w:bCs/>
                <w:color w:val="000000"/>
              </w:rPr>
            </w:pPr>
            <w:r w:rsidRPr="00033019">
              <w:rPr>
                <w:rFonts w:cs="Arial"/>
                <w:b/>
                <w:bCs/>
                <w:color w:val="000000"/>
              </w:rPr>
              <w:t>Table 2 - Dedicated Schools Grant Reserve Position as at 31 March 2018</w:t>
            </w:r>
          </w:p>
        </w:tc>
      </w:tr>
      <w:tr w:rsidR="00033019" w:rsidRPr="00033019" w14:paraId="6DEE42D1" w14:textId="77777777" w:rsidTr="005A6871">
        <w:trPr>
          <w:trHeight w:val="320"/>
          <w:jc w:val="center"/>
        </w:trPr>
        <w:tc>
          <w:tcPr>
            <w:tcW w:w="7540" w:type="dxa"/>
            <w:tcBorders>
              <w:top w:val="nil"/>
              <w:left w:val="single" w:sz="8" w:space="0" w:color="auto"/>
              <w:bottom w:val="single" w:sz="8" w:space="0" w:color="auto"/>
              <w:right w:val="single" w:sz="8" w:space="0" w:color="auto"/>
            </w:tcBorders>
            <w:shd w:val="clear" w:color="auto" w:fill="auto"/>
            <w:vAlign w:val="center"/>
            <w:hideMark/>
          </w:tcPr>
          <w:p w14:paraId="53CBE355" w14:textId="77777777" w:rsidR="00033019" w:rsidRPr="00033019" w:rsidRDefault="00033019" w:rsidP="00033019">
            <w:pPr>
              <w:rPr>
                <w:rFonts w:cs="Arial"/>
                <w:color w:val="000000"/>
              </w:rPr>
            </w:pPr>
            <w:r w:rsidRPr="00033019">
              <w:rPr>
                <w:rFonts w:cs="Arial"/>
                <w:color w:val="000000"/>
              </w:rPr>
              <w:t> </w:t>
            </w:r>
          </w:p>
        </w:tc>
        <w:tc>
          <w:tcPr>
            <w:tcW w:w="1520" w:type="dxa"/>
            <w:tcBorders>
              <w:top w:val="nil"/>
              <w:left w:val="nil"/>
              <w:bottom w:val="single" w:sz="8" w:space="0" w:color="auto"/>
              <w:right w:val="single" w:sz="8" w:space="0" w:color="auto"/>
            </w:tcBorders>
            <w:shd w:val="clear" w:color="auto" w:fill="auto"/>
            <w:vAlign w:val="center"/>
            <w:hideMark/>
          </w:tcPr>
          <w:p w14:paraId="4FDD0AA5" w14:textId="77777777" w:rsidR="00033019" w:rsidRPr="00033019" w:rsidRDefault="00033019" w:rsidP="00033019">
            <w:pPr>
              <w:jc w:val="right"/>
              <w:rPr>
                <w:rFonts w:cs="Arial"/>
                <w:b/>
                <w:bCs/>
                <w:color w:val="000000"/>
              </w:rPr>
            </w:pPr>
            <w:r w:rsidRPr="00033019">
              <w:rPr>
                <w:rFonts w:cs="Arial"/>
                <w:b/>
                <w:bCs/>
                <w:color w:val="000000"/>
              </w:rPr>
              <w:t>£’000</w:t>
            </w:r>
          </w:p>
        </w:tc>
      </w:tr>
      <w:tr w:rsidR="00033019" w:rsidRPr="00033019" w14:paraId="078F0BCB" w14:textId="77777777" w:rsidTr="005A6871">
        <w:trPr>
          <w:trHeight w:val="320"/>
          <w:jc w:val="center"/>
        </w:trPr>
        <w:tc>
          <w:tcPr>
            <w:tcW w:w="7540" w:type="dxa"/>
            <w:tcBorders>
              <w:top w:val="nil"/>
              <w:left w:val="single" w:sz="8" w:space="0" w:color="auto"/>
              <w:bottom w:val="single" w:sz="4" w:space="0" w:color="auto"/>
              <w:right w:val="single" w:sz="8" w:space="0" w:color="auto"/>
            </w:tcBorders>
            <w:shd w:val="clear" w:color="auto" w:fill="auto"/>
            <w:vAlign w:val="center"/>
            <w:hideMark/>
          </w:tcPr>
          <w:p w14:paraId="688634D3" w14:textId="77777777" w:rsidR="00033019" w:rsidRPr="00033019" w:rsidRDefault="00033019" w:rsidP="00033019">
            <w:pPr>
              <w:rPr>
                <w:rFonts w:cs="Arial"/>
                <w:color w:val="000000"/>
              </w:rPr>
            </w:pPr>
            <w:r w:rsidRPr="00033019">
              <w:rPr>
                <w:rFonts w:cs="Arial"/>
                <w:color w:val="000000"/>
              </w:rPr>
              <w:t>2017-18 DSG brought forward</w:t>
            </w:r>
          </w:p>
        </w:tc>
        <w:tc>
          <w:tcPr>
            <w:tcW w:w="1520" w:type="dxa"/>
            <w:tcBorders>
              <w:top w:val="nil"/>
              <w:left w:val="nil"/>
              <w:bottom w:val="single" w:sz="8" w:space="0" w:color="auto"/>
              <w:right w:val="single" w:sz="8" w:space="0" w:color="auto"/>
            </w:tcBorders>
            <w:shd w:val="clear" w:color="auto" w:fill="auto"/>
            <w:vAlign w:val="center"/>
            <w:hideMark/>
          </w:tcPr>
          <w:p w14:paraId="7FA567E0" w14:textId="77777777" w:rsidR="00033019" w:rsidRPr="00033019" w:rsidRDefault="00033019" w:rsidP="00033019">
            <w:pPr>
              <w:jc w:val="right"/>
              <w:rPr>
                <w:rFonts w:cs="Arial"/>
                <w:b/>
                <w:bCs/>
                <w:color w:val="000000"/>
              </w:rPr>
            </w:pPr>
            <w:r w:rsidRPr="00033019">
              <w:rPr>
                <w:rFonts w:cs="Arial"/>
                <w:b/>
                <w:bCs/>
                <w:color w:val="000000"/>
              </w:rPr>
              <w:t xml:space="preserve">3,675 </w:t>
            </w:r>
          </w:p>
        </w:tc>
      </w:tr>
      <w:tr w:rsidR="009D0A86" w:rsidRPr="00033019" w14:paraId="4958376F" w14:textId="77777777" w:rsidTr="005A6871">
        <w:trPr>
          <w:trHeight w:val="630"/>
          <w:jc w:val="center"/>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15C41156" w14:textId="77777777" w:rsidR="009D0A86" w:rsidRPr="00033019" w:rsidRDefault="005A6871" w:rsidP="00033019">
            <w:pPr>
              <w:rPr>
                <w:rFonts w:cs="Arial"/>
                <w:color w:val="000000"/>
              </w:rPr>
            </w:pPr>
            <w:r>
              <w:rPr>
                <w:rFonts w:cs="Arial"/>
                <w:color w:val="000000"/>
              </w:rPr>
              <w:t>Planned Drawdown for High Needs Block</w:t>
            </w:r>
          </w:p>
        </w:tc>
        <w:tc>
          <w:tcPr>
            <w:tcW w:w="1520" w:type="dxa"/>
            <w:tcBorders>
              <w:top w:val="nil"/>
              <w:left w:val="single" w:sz="4" w:space="0" w:color="auto"/>
              <w:bottom w:val="single" w:sz="8" w:space="0" w:color="auto"/>
              <w:right w:val="single" w:sz="8" w:space="0" w:color="auto"/>
            </w:tcBorders>
            <w:shd w:val="clear" w:color="auto" w:fill="auto"/>
            <w:vAlign w:val="center"/>
          </w:tcPr>
          <w:p w14:paraId="1DD9D8A0" w14:textId="77777777" w:rsidR="009D0A86" w:rsidRPr="00353EE6" w:rsidRDefault="005A6871" w:rsidP="00033019">
            <w:pPr>
              <w:jc w:val="right"/>
              <w:rPr>
                <w:rFonts w:cs="Arial"/>
                <w:b/>
                <w:bCs/>
                <w:color w:val="FF0000"/>
              </w:rPr>
            </w:pPr>
            <w:r>
              <w:rPr>
                <w:rFonts w:cs="Arial"/>
                <w:b/>
                <w:bCs/>
                <w:color w:val="FF0000"/>
              </w:rPr>
              <w:t>-756</w:t>
            </w:r>
          </w:p>
        </w:tc>
      </w:tr>
      <w:tr w:rsidR="009D0A86" w:rsidRPr="00033019" w14:paraId="6926D7DD" w14:textId="77777777" w:rsidTr="005A6871">
        <w:trPr>
          <w:trHeight w:val="630"/>
          <w:jc w:val="center"/>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585377D6" w14:textId="77777777" w:rsidR="009D0A86" w:rsidRPr="00033019" w:rsidRDefault="005A6871" w:rsidP="00033019">
            <w:pPr>
              <w:rPr>
                <w:rFonts w:cs="Arial"/>
                <w:color w:val="000000"/>
              </w:rPr>
            </w:pPr>
            <w:r>
              <w:rPr>
                <w:rFonts w:cs="Arial"/>
                <w:color w:val="000000"/>
              </w:rPr>
              <w:t>In Year Variance</w:t>
            </w:r>
          </w:p>
        </w:tc>
        <w:tc>
          <w:tcPr>
            <w:tcW w:w="1520" w:type="dxa"/>
            <w:tcBorders>
              <w:top w:val="nil"/>
              <w:left w:val="single" w:sz="4" w:space="0" w:color="auto"/>
              <w:bottom w:val="single" w:sz="8" w:space="0" w:color="auto"/>
              <w:right w:val="single" w:sz="8" w:space="0" w:color="auto"/>
            </w:tcBorders>
            <w:shd w:val="clear" w:color="auto" w:fill="auto"/>
            <w:vAlign w:val="center"/>
          </w:tcPr>
          <w:p w14:paraId="152936C5" w14:textId="77777777" w:rsidR="005A6871" w:rsidRPr="005A6871" w:rsidRDefault="005A6871" w:rsidP="005A6871">
            <w:pPr>
              <w:jc w:val="right"/>
              <w:rPr>
                <w:rFonts w:cs="Arial"/>
                <w:b/>
                <w:bCs/>
              </w:rPr>
            </w:pPr>
            <w:r w:rsidRPr="005A6871">
              <w:rPr>
                <w:rFonts w:cs="Arial"/>
                <w:b/>
                <w:bCs/>
              </w:rPr>
              <w:t>1</w:t>
            </w:r>
            <w:r>
              <w:rPr>
                <w:rFonts w:cs="Arial"/>
                <w:b/>
                <w:bCs/>
              </w:rPr>
              <w:t>,</w:t>
            </w:r>
            <w:r w:rsidRPr="005A6871">
              <w:rPr>
                <w:rFonts w:cs="Arial"/>
                <w:b/>
                <w:bCs/>
              </w:rPr>
              <w:t>460</w:t>
            </w:r>
          </w:p>
        </w:tc>
      </w:tr>
      <w:tr w:rsidR="005A6871" w:rsidRPr="00033019" w14:paraId="2248790C" w14:textId="77777777" w:rsidTr="005A6871">
        <w:trPr>
          <w:trHeight w:val="630"/>
          <w:jc w:val="center"/>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12343140" w14:textId="77777777" w:rsidR="005A6871" w:rsidRPr="00033019" w:rsidRDefault="005A6871" w:rsidP="005A6871">
            <w:pPr>
              <w:rPr>
                <w:rFonts w:cs="Arial"/>
                <w:color w:val="000000"/>
              </w:rPr>
            </w:pPr>
            <w:r w:rsidRPr="00033019">
              <w:rPr>
                <w:rFonts w:cs="Arial"/>
                <w:color w:val="000000"/>
              </w:rPr>
              <w:t>Adjustments (</w:t>
            </w:r>
            <w:r>
              <w:rPr>
                <w:rFonts w:cs="Arial"/>
                <w:color w:val="000000"/>
              </w:rPr>
              <w:t>P</w:t>
            </w:r>
            <w:r w:rsidRPr="00033019">
              <w:rPr>
                <w:rFonts w:cs="Arial"/>
                <w:color w:val="000000"/>
              </w:rPr>
              <w:t>rovisions for Early Years clawback from DfE, SFFD Balance)</w:t>
            </w:r>
          </w:p>
        </w:tc>
        <w:tc>
          <w:tcPr>
            <w:tcW w:w="1520" w:type="dxa"/>
            <w:tcBorders>
              <w:top w:val="nil"/>
              <w:left w:val="single" w:sz="4" w:space="0" w:color="auto"/>
              <w:bottom w:val="single" w:sz="8" w:space="0" w:color="auto"/>
              <w:right w:val="single" w:sz="8" w:space="0" w:color="auto"/>
            </w:tcBorders>
            <w:shd w:val="clear" w:color="auto" w:fill="auto"/>
            <w:vAlign w:val="center"/>
          </w:tcPr>
          <w:p w14:paraId="7752104E" w14:textId="77777777" w:rsidR="005A6871" w:rsidRPr="005A6871" w:rsidRDefault="005A6871" w:rsidP="005A6871">
            <w:pPr>
              <w:jc w:val="right"/>
              <w:rPr>
                <w:rFonts w:cs="Arial"/>
                <w:b/>
                <w:bCs/>
              </w:rPr>
            </w:pPr>
            <w:r>
              <w:rPr>
                <w:rFonts w:cs="Arial"/>
                <w:b/>
                <w:bCs/>
              </w:rPr>
              <w:t>-</w:t>
            </w:r>
            <w:r w:rsidRPr="005A6871">
              <w:rPr>
                <w:rFonts w:cs="Arial"/>
                <w:b/>
                <w:bCs/>
              </w:rPr>
              <w:t xml:space="preserve">832 </w:t>
            </w:r>
          </w:p>
        </w:tc>
      </w:tr>
      <w:tr w:rsidR="005A6871" w:rsidRPr="00033019" w14:paraId="3438A3E9" w14:textId="77777777" w:rsidTr="005A6871">
        <w:trPr>
          <w:trHeight w:val="630"/>
          <w:jc w:val="center"/>
        </w:trPr>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51588CD0" w14:textId="77777777" w:rsidR="005A6871" w:rsidRPr="00033019" w:rsidRDefault="005A6871" w:rsidP="005A6871">
            <w:pPr>
              <w:rPr>
                <w:rFonts w:cs="Arial"/>
                <w:color w:val="000000"/>
              </w:rPr>
            </w:pPr>
            <w:r>
              <w:rPr>
                <w:rFonts w:cs="Arial"/>
                <w:color w:val="000000"/>
              </w:rPr>
              <w:t>Growth Fund</w:t>
            </w:r>
          </w:p>
        </w:tc>
        <w:tc>
          <w:tcPr>
            <w:tcW w:w="1520" w:type="dxa"/>
            <w:tcBorders>
              <w:top w:val="nil"/>
              <w:left w:val="single" w:sz="4" w:space="0" w:color="auto"/>
              <w:bottom w:val="single" w:sz="8" w:space="0" w:color="auto"/>
              <w:right w:val="single" w:sz="8" w:space="0" w:color="auto"/>
            </w:tcBorders>
            <w:shd w:val="clear" w:color="auto" w:fill="auto"/>
            <w:vAlign w:val="center"/>
          </w:tcPr>
          <w:p w14:paraId="4D1EDE07" w14:textId="77777777" w:rsidR="005A6871" w:rsidRPr="00033019" w:rsidRDefault="005A6871" w:rsidP="005A6871">
            <w:pPr>
              <w:jc w:val="right"/>
              <w:rPr>
                <w:rFonts w:cs="Arial"/>
                <w:b/>
                <w:bCs/>
                <w:color w:val="000000"/>
              </w:rPr>
            </w:pPr>
            <w:r>
              <w:rPr>
                <w:rFonts w:cs="Arial"/>
                <w:b/>
                <w:bCs/>
                <w:color w:val="000000"/>
              </w:rPr>
              <w:t>-500</w:t>
            </w:r>
          </w:p>
        </w:tc>
      </w:tr>
      <w:tr w:rsidR="005A6871" w:rsidRPr="00033019" w14:paraId="6154E942" w14:textId="77777777" w:rsidTr="005A6871">
        <w:trPr>
          <w:trHeight w:val="320"/>
          <w:jc w:val="center"/>
        </w:trPr>
        <w:tc>
          <w:tcPr>
            <w:tcW w:w="7540" w:type="dxa"/>
            <w:tcBorders>
              <w:top w:val="single" w:sz="4" w:space="0" w:color="auto"/>
              <w:left w:val="single" w:sz="8" w:space="0" w:color="auto"/>
              <w:bottom w:val="single" w:sz="8" w:space="0" w:color="auto"/>
              <w:right w:val="single" w:sz="8" w:space="0" w:color="auto"/>
            </w:tcBorders>
            <w:shd w:val="clear" w:color="000000" w:fill="FFD966"/>
            <w:vAlign w:val="center"/>
            <w:hideMark/>
          </w:tcPr>
          <w:p w14:paraId="7BF4F4A9" w14:textId="77777777" w:rsidR="005A6871" w:rsidRPr="00033019" w:rsidRDefault="005A6871" w:rsidP="005A6871">
            <w:pPr>
              <w:rPr>
                <w:rFonts w:cs="Arial"/>
                <w:b/>
                <w:bCs/>
                <w:color w:val="000000"/>
              </w:rPr>
            </w:pPr>
            <w:r w:rsidRPr="00033019">
              <w:rPr>
                <w:rFonts w:cs="Arial"/>
                <w:b/>
                <w:bCs/>
                <w:color w:val="000000"/>
              </w:rPr>
              <w:t>Final 2017-18 DSG carry forward</w:t>
            </w:r>
          </w:p>
        </w:tc>
        <w:tc>
          <w:tcPr>
            <w:tcW w:w="1520" w:type="dxa"/>
            <w:tcBorders>
              <w:top w:val="nil"/>
              <w:left w:val="nil"/>
              <w:bottom w:val="single" w:sz="8" w:space="0" w:color="auto"/>
              <w:right w:val="single" w:sz="8" w:space="0" w:color="auto"/>
            </w:tcBorders>
            <w:shd w:val="clear" w:color="000000" w:fill="FFD966"/>
            <w:vAlign w:val="center"/>
            <w:hideMark/>
          </w:tcPr>
          <w:p w14:paraId="7F5B017C" w14:textId="77777777" w:rsidR="005A6871" w:rsidRPr="00033019" w:rsidRDefault="005A6871" w:rsidP="005A6871">
            <w:pPr>
              <w:jc w:val="right"/>
              <w:rPr>
                <w:rFonts w:cs="Arial"/>
                <w:b/>
                <w:bCs/>
                <w:color w:val="000000"/>
              </w:rPr>
            </w:pPr>
            <w:r>
              <w:rPr>
                <w:rFonts w:cs="Arial"/>
                <w:b/>
                <w:bCs/>
                <w:color w:val="000000"/>
              </w:rPr>
              <w:t>3</w:t>
            </w:r>
            <w:r w:rsidRPr="00033019">
              <w:rPr>
                <w:rFonts w:cs="Arial"/>
                <w:b/>
                <w:bCs/>
                <w:color w:val="000000"/>
              </w:rPr>
              <w:t>,</w:t>
            </w:r>
            <w:r>
              <w:rPr>
                <w:rFonts w:cs="Arial"/>
                <w:b/>
                <w:bCs/>
                <w:color w:val="000000"/>
              </w:rPr>
              <w:t>048</w:t>
            </w:r>
            <w:r w:rsidRPr="00033019">
              <w:rPr>
                <w:rFonts w:cs="Arial"/>
                <w:b/>
                <w:bCs/>
                <w:color w:val="000000"/>
              </w:rPr>
              <w:t xml:space="preserve"> </w:t>
            </w:r>
          </w:p>
        </w:tc>
      </w:tr>
      <w:bookmarkEnd w:id="1"/>
    </w:tbl>
    <w:p w14:paraId="11856285" w14:textId="77777777" w:rsidR="0031530D" w:rsidRDefault="0031530D" w:rsidP="006F49E8">
      <w:pPr>
        <w:ind w:left="709" w:hanging="709"/>
        <w:rPr>
          <w:rFonts w:cs="Arial"/>
        </w:rPr>
      </w:pPr>
    </w:p>
    <w:p w14:paraId="45213E1D" w14:textId="77777777" w:rsidR="00353EE6" w:rsidRDefault="00353EE6" w:rsidP="006F49E8">
      <w:pPr>
        <w:ind w:left="709" w:hanging="709"/>
        <w:rPr>
          <w:rFonts w:cs="Arial"/>
        </w:rPr>
      </w:pPr>
      <w:r>
        <w:rPr>
          <w:rFonts w:cs="Arial"/>
        </w:rPr>
        <w:t>Note: The reserve of £3,04</w:t>
      </w:r>
      <w:r w:rsidR="005A6871">
        <w:rPr>
          <w:rFonts w:cs="Arial"/>
        </w:rPr>
        <w:t>8</w:t>
      </w:r>
      <w:r>
        <w:rPr>
          <w:rFonts w:cs="Arial"/>
        </w:rPr>
        <w:t xml:space="preserve">k includes £998k clawback from Local Authority Nursery settings for 2016-17 and </w:t>
      </w:r>
      <w:r w:rsidR="00E46FB0">
        <w:rPr>
          <w:rFonts w:cs="Arial"/>
        </w:rPr>
        <w:t xml:space="preserve">the overpayment made in </w:t>
      </w:r>
      <w:r>
        <w:rPr>
          <w:rFonts w:cs="Arial"/>
        </w:rPr>
        <w:t>2017-18.</w:t>
      </w:r>
      <w:r w:rsidR="00BF2E38">
        <w:rPr>
          <w:rFonts w:cs="Arial"/>
        </w:rPr>
        <w:t xml:space="preserve"> </w:t>
      </w:r>
    </w:p>
    <w:p w14:paraId="2758C869" w14:textId="77777777" w:rsidR="00E0148C" w:rsidRDefault="00E0148C" w:rsidP="006F49E8">
      <w:pPr>
        <w:ind w:left="709" w:hanging="709"/>
        <w:rPr>
          <w:rFonts w:cs="Arial"/>
        </w:rPr>
      </w:pPr>
    </w:p>
    <w:p w14:paraId="140D30E0" w14:textId="77777777" w:rsidR="006A0F95" w:rsidRDefault="006A0F95" w:rsidP="006A0F95">
      <w:pPr>
        <w:ind w:left="709" w:hanging="709"/>
        <w:rPr>
          <w:rFonts w:cs="Arial"/>
          <w:b/>
        </w:rPr>
      </w:pPr>
      <w:r>
        <w:rPr>
          <w:rFonts w:cs="Arial"/>
          <w:b/>
        </w:rPr>
        <w:t>DSG Reserve Balances</w:t>
      </w:r>
    </w:p>
    <w:p w14:paraId="5918B4D9" w14:textId="77777777" w:rsidR="006A0F95" w:rsidRDefault="006A0F95" w:rsidP="006A0F95">
      <w:pPr>
        <w:ind w:left="709" w:hanging="709"/>
        <w:rPr>
          <w:rFonts w:cs="Arial"/>
          <w:b/>
        </w:rPr>
      </w:pPr>
    </w:p>
    <w:p w14:paraId="23DEE0DF" w14:textId="77777777" w:rsidR="006A0F95" w:rsidRDefault="006A0F95" w:rsidP="006A0F95">
      <w:pPr>
        <w:ind w:left="709" w:hanging="709"/>
        <w:rPr>
          <w:rFonts w:cs="Arial"/>
        </w:rPr>
      </w:pPr>
      <w:r w:rsidRPr="006A0F95">
        <w:rPr>
          <w:rFonts w:cs="Arial"/>
        </w:rPr>
        <w:tab/>
        <w:t xml:space="preserve">Projected DSG Reserve Balance </w:t>
      </w:r>
      <w:r w:rsidR="00E0148C">
        <w:rPr>
          <w:rFonts w:cs="Arial"/>
        </w:rPr>
        <w:t xml:space="preserve">after clawbacks and other commitments </w:t>
      </w:r>
      <w:r w:rsidRPr="006A0F95">
        <w:rPr>
          <w:rFonts w:cs="Arial"/>
        </w:rPr>
        <w:t>at the end of 2017-18 is £</w:t>
      </w:r>
      <w:r w:rsidR="00353EE6">
        <w:rPr>
          <w:rFonts w:cs="Arial"/>
        </w:rPr>
        <w:t>3</w:t>
      </w:r>
      <w:r w:rsidRPr="006A0F95">
        <w:rPr>
          <w:rFonts w:cs="Arial"/>
        </w:rPr>
        <w:t>,</w:t>
      </w:r>
      <w:r w:rsidR="00353EE6">
        <w:rPr>
          <w:rFonts w:cs="Arial"/>
        </w:rPr>
        <w:t>04</w:t>
      </w:r>
      <w:r w:rsidR="005A6871">
        <w:rPr>
          <w:rFonts w:cs="Arial"/>
        </w:rPr>
        <w:t>8</w:t>
      </w:r>
      <w:r w:rsidRPr="006A0F95">
        <w:rPr>
          <w:rFonts w:cs="Arial"/>
        </w:rPr>
        <w:t>k.</w:t>
      </w:r>
      <w:r w:rsidR="00E0148C">
        <w:rPr>
          <w:rFonts w:cs="Arial"/>
        </w:rPr>
        <w:t xml:space="preserve">  In addition there is £500k brought forward growth fund.  </w:t>
      </w:r>
    </w:p>
    <w:p w14:paraId="38657E0A" w14:textId="77777777" w:rsidR="006A0F95" w:rsidRPr="006A0F95" w:rsidRDefault="006A0F95" w:rsidP="006A0F95">
      <w:pPr>
        <w:rPr>
          <w:rFonts w:cs="Arial"/>
        </w:rPr>
      </w:pPr>
    </w:p>
    <w:p w14:paraId="28A113DC" w14:textId="3FE19B93" w:rsidR="006A0F95" w:rsidRPr="006A0F95" w:rsidRDefault="006A0F95" w:rsidP="006A0F95">
      <w:pPr>
        <w:pStyle w:val="ListParagraph"/>
        <w:numPr>
          <w:ilvl w:val="0"/>
          <w:numId w:val="23"/>
        </w:numPr>
        <w:pBdr>
          <w:top w:val="single" w:sz="4" w:space="1" w:color="auto"/>
          <w:left w:val="single" w:sz="4" w:space="4" w:color="auto"/>
          <w:bottom w:val="single" w:sz="4" w:space="1" w:color="auto"/>
          <w:right w:val="single" w:sz="4" w:space="4" w:color="auto"/>
        </w:pBdr>
        <w:jc w:val="both"/>
        <w:rPr>
          <w:rFonts w:cs="Arial"/>
          <w:b/>
          <w:i/>
        </w:rPr>
      </w:pPr>
      <w:r w:rsidRPr="006A0F95">
        <w:rPr>
          <w:rFonts w:cs="Arial"/>
          <w:b/>
          <w:i/>
        </w:rPr>
        <w:t xml:space="preserve">Schools Forum are asked to note the final </w:t>
      </w:r>
      <w:r w:rsidR="00E0148C">
        <w:rPr>
          <w:rFonts w:cs="Arial"/>
          <w:b/>
          <w:i/>
        </w:rPr>
        <w:t xml:space="preserve">uncommitted </w:t>
      </w:r>
      <w:r w:rsidRPr="006A0F95">
        <w:rPr>
          <w:rFonts w:cs="Arial"/>
          <w:b/>
          <w:i/>
        </w:rPr>
        <w:t>DSG reserve at the end of 2017-18 of £</w:t>
      </w:r>
      <w:r w:rsidR="00353EE6">
        <w:rPr>
          <w:rFonts w:cs="Arial"/>
          <w:b/>
          <w:i/>
        </w:rPr>
        <w:t>3</w:t>
      </w:r>
      <w:r w:rsidRPr="006A0F95">
        <w:rPr>
          <w:rFonts w:cs="Arial"/>
          <w:b/>
          <w:i/>
        </w:rPr>
        <w:t>,</w:t>
      </w:r>
      <w:r w:rsidR="002A2692">
        <w:rPr>
          <w:rFonts w:cs="Arial"/>
          <w:b/>
          <w:i/>
        </w:rPr>
        <w:t>048</w:t>
      </w:r>
      <w:r w:rsidR="002A2692" w:rsidRPr="006A0F95">
        <w:rPr>
          <w:rFonts w:cs="Arial"/>
          <w:b/>
          <w:i/>
        </w:rPr>
        <w:t>k</w:t>
      </w:r>
      <w:r w:rsidRPr="006A0F95">
        <w:rPr>
          <w:rFonts w:cs="Arial"/>
          <w:b/>
          <w:i/>
        </w:rPr>
        <w:t>.</w:t>
      </w:r>
    </w:p>
    <w:p w14:paraId="4683AAAD" w14:textId="77777777" w:rsidR="006A0F95" w:rsidRDefault="006A0F95" w:rsidP="006A0F95">
      <w:pPr>
        <w:ind w:left="1429" w:hanging="709"/>
        <w:rPr>
          <w:rFonts w:cs="Arial"/>
        </w:rPr>
      </w:pPr>
    </w:p>
    <w:p w14:paraId="44377AD3" w14:textId="77777777" w:rsidR="000A3110" w:rsidRPr="009C36F9" w:rsidRDefault="000A3110" w:rsidP="006F49E8">
      <w:pPr>
        <w:ind w:left="709" w:hanging="709"/>
        <w:rPr>
          <w:rFonts w:cs="Arial"/>
          <w:highlight w:val="yellow"/>
        </w:rPr>
      </w:pPr>
    </w:p>
    <w:p w14:paraId="1F6FD189" w14:textId="77777777" w:rsidR="0011747C" w:rsidRPr="00E0148C" w:rsidRDefault="0011747C" w:rsidP="005A6871">
      <w:pPr>
        <w:pStyle w:val="ListParagraph"/>
        <w:ind w:left="360"/>
        <w:rPr>
          <w:rFonts w:cs="Arial"/>
          <w:b/>
        </w:rPr>
      </w:pPr>
      <w:r w:rsidRPr="00E0148C">
        <w:rPr>
          <w:rFonts w:cs="Arial"/>
          <w:b/>
        </w:rPr>
        <w:t>Early Years Block</w:t>
      </w:r>
      <w:r w:rsidR="005A6871">
        <w:rPr>
          <w:rFonts w:cs="Arial"/>
          <w:b/>
        </w:rPr>
        <w:t xml:space="preserve"> - </w:t>
      </w:r>
      <w:r w:rsidR="00294D66" w:rsidRPr="00E0148C">
        <w:rPr>
          <w:rFonts w:cs="Arial"/>
          <w:b/>
        </w:rPr>
        <w:t>a</w:t>
      </w:r>
      <w:r w:rsidR="00E60F11" w:rsidRPr="00E0148C">
        <w:rPr>
          <w:rFonts w:cs="Arial"/>
          <w:b/>
        </w:rPr>
        <w:t>n underspend of (</w:t>
      </w:r>
      <w:r w:rsidR="00294D66" w:rsidRPr="00E0148C">
        <w:rPr>
          <w:rFonts w:cs="Arial"/>
          <w:b/>
        </w:rPr>
        <w:t>£</w:t>
      </w:r>
      <w:r w:rsidR="00033019" w:rsidRPr="00E0148C">
        <w:rPr>
          <w:rFonts w:cs="Arial"/>
          <w:b/>
        </w:rPr>
        <w:t>2,471</w:t>
      </w:r>
      <w:r w:rsidR="00E60F11" w:rsidRPr="00E0148C">
        <w:rPr>
          <w:rFonts w:cs="Arial"/>
          <w:b/>
        </w:rPr>
        <w:t>k)</w:t>
      </w:r>
    </w:p>
    <w:p w14:paraId="1FC6494A" w14:textId="77777777" w:rsidR="00294D66" w:rsidRPr="00835229" w:rsidRDefault="00294D66" w:rsidP="0011747C">
      <w:pPr>
        <w:rPr>
          <w:rFonts w:cs="Arial"/>
        </w:rPr>
      </w:pPr>
    </w:p>
    <w:p w14:paraId="14F67187" w14:textId="77777777" w:rsidR="00835229" w:rsidRPr="00835229" w:rsidRDefault="00E0148C" w:rsidP="00E0148C">
      <w:pPr>
        <w:ind w:left="720" w:hanging="720"/>
      </w:pPr>
      <w:r>
        <w:t>2.1</w:t>
      </w:r>
      <w:r>
        <w:tab/>
      </w:r>
      <w:r w:rsidR="00E60F11" w:rsidRPr="00835229">
        <w:t xml:space="preserve">There is underspend </w:t>
      </w:r>
      <w:r w:rsidR="0011747C" w:rsidRPr="00835229">
        <w:t xml:space="preserve">relating to </w:t>
      </w:r>
      <w:proofErr w:type="gramStart"/>
      <w:r w:rsidR="00E60F11" w:rsidRPr="00835229">
        <w:t>2 Year</w:t>
      </w:r>
      <w:r w:rsidR="000C1A29" w:rsidRPr="00835229">
        <w:t xml:space="preserve"> </w:t>
      </w:r>
      <w:r w:rsidR="00E60F11" w:rsidRPr="00835229">
        <w:t>Old</w:t>
      </w:r>
      <w:proofErr w:type="gramEnd"/>
      <w:r w:rsidR="00E60F11" w:rsidRPr="00835229">
        <w:t xml:space="preserve"> funding of £</w:t>
      </w:r>
      <w:r w:rsidR="00835229" w:rsidRPr="00835229">
        <w:t>1,277</w:t>
      </w:r>
      <w:r w:rsidR="00E60F11" w:rsidRPr="00835229">
        <w:t>k</w:t>
      </w:r>
      <w:r w:rsidR="00835229" w:rsidRPr="00835229">
        <w:t>.</w:t>
      </w:r>
      <w:r w:rsidR="00457CF5" w:rsidRPr="00835229">
        <w:t xml:space="preserve"> </w:t>
      </w:r>
      <w:r w:rsidR="00FF7D97" w:rsidRPr="00835229">
        <w:t xml:space="preserve">There </w:t>
      </w:r>
      <w:r w:rsidR="00835229" w:rsidRPr="00835229">
        <w:t>was an</w:t>
      </w:r>
      <w:r w:rsidR="00FF7D97" w:rsidRPr="00835229">
        <w:t xml:space="preserve"> underspend </w:t>
      </w:r>
      <w:r w:rsidR="00835229" w:rsidRPr="00835229">
        <w:t>o</w:t>
      </w:r>
      <w:r w:rsidR="00FF7D97" w:rsidRPr="00835229">
        <w:t xml:space="preserve">n the funding for </w:t>
      </w:r>
      <w:proofErr w:type="gramStart"/>
      <w:r w:rsidR="00FF7D97" w:rsidRPr="00835229">
        <w:t>3 and 4 year</w:t>
      </w:r>
      <w:proofErr w:type="gramEnd"/>
      <w:r w:rsidR="00FF7D97" w:rsidRPr="00835229">
        <w:t xml:space="preserve"> olds</w:t>
      </w:r>
      <w:r w:rsidR="00835229" w:rsidRPr="00835229">
        <w:t xml:space="preserve"> of £1,144k. This underspend is as a result of a lower number of hours taken up compared to the hours estimated by the DfE. The DfE will adjust the funding attributable to Early Years when the final allocations relating to 2017-18 are published in June/July 2018. It is estimated that the DfE will clawback approximately £500k.</w:t>
      </w:r>
      <w:r w:rsidR="006B18C2">
        <w:t xml:space="preserve">  This has been taken into account in the final reserve position.  </w:t>
      </w:r>
    </w:p>
    <w:p w14:paraId="4D6E131F" w14:textId="77777777" w:rsidR="00294D66" w:rsidRPr="003D4EB9" w:rsidRDefault="00294D66" w:rsidP="0011747C">
      <w:pPr>
        <w:ind w:left="709" w:hanging="709"/>
      </w:pPr>
    </w:p>
    <w:p w14:paraId="12E06641" w14:textId="77777777" w:rsidR="00294D66" w:rsidRPr="006A0F95" w:rsidRDefault="00294D66" w:rsidP="005A6871">
      <w:pPr>
        <w:ind w:firstLine="720"/>
        <w:rPr>
          <w:rFonts w:cs="Arial"/>
          <w:b/>
        </w:rPr>
      </w:pPr>
      <w:r w:rsidRPr="006A0F95">
        <w:rPr>
          <w:rFonts w:cs="Arial"/>
          <w:b/>
        </w:rPr>
        <w:t xml:space="preserve">High Needs Block </w:t>
      </w:r>
      <w:r w:rsidR="005A6871">
        <w:rPr>
          <w:rFonts w:cs="Arial"/>
          <w:b/>
        </w:rPr>
        <w:t>-</w:t>
      </w:r>
      <w:r w:rsidR="00835229" w:rsidRPr="006A0F95">
        <w:rPr>
          <w:rFonts w:cs="Arial"/>
          <w:b/>
        </w:rPr>
        <w:t xml:space="preserve"> an overspend of</w:t>
      </w:r>
      <w:r w:rsidRPr="006A0F95">
        <w:rPr>
          <w:rFonts w:cs="Arial"/>
          <w:b/>
        </w:rPr>
        <w:t xml:space="preserve"> </w:t>
      </w:r>
      <w:r w:rsidR="0019260C" w:rsidRPr="006A0F95">
        <w:rPr>
          <w:rFonts w:cs="Arial"/>
          <w:b/>
        </w:rPr>
        <w:t>£1,</w:t>
      </w:r>
      <w:r w:rsidR="00033019" w:rsidRPr="006A0F95">
        <w:rPr>
          <w:rFonts w:cs="Arial"/>
          <w:b/>
        </w:rPr>
        <w:t>612k</w:t>
      </w:r>
    </w:p>
    <w:p w14:paraId="45BF84DC" w14:textId="77777777" w:rsidR="00294D66" w:rsidRPr="006A0F95" w:rsidRDefault="00294D66" w:rsidP="0011747C">
      <w:pPr>
        <w:ind w:left="709" w:hanging="709"/>
        <w:rPr>
          <w:rFonts w:cs="Arial"/>
          <w:b/>
        </w:rPr>
      </w:pPr>
    </w:p>
    <w:p w14:paraId="5F58BD11" w14:textId="77777777" w:rsidR="008C101E" w:rsidRPr="006A0F95" w:rsidRDefault="00294D66" w:rsidP="008C101E">
      <w:pPr>
        <w:ind w:left="720" w:hanging="720"/>
      </w:pPr>
      <w:bookmarkStart w:id="2" w:name="_Hlk502750773"/>
      <w:r w:rsidRPr="006A0F95">
        <w:t>2.</w:t>
      </w:r>
      <w:bookmarkEnd w:id="2"/>
      <w:r w:rsidR="00A65A1A">
        <w:t>2</w:t>
      </w:r>
      <w:r w:rsidR="00A65A1A">
        <w:tab/>
      </w:r>
      <w:r w:rsidR="008C101E" w:rsidRPr="006A0F95">
        <w:t xml:space="preserve">Reasons for this variance </w:t>
      </w:r>
      <w:r w:rsidR="002A0586">
        <w:t>include</w:t>
      </w:r>
      <w:r w:rsidR="008C101E" w:rsidRPr="006A0F95">
        <w:t>:</w:t>
      </w:r>
    </w:p>
    <w:p w14:paraId="6A5A2A83" w14:textId="77777777" w:rsidR="00C57C08" w:rsidRPr="0032172D" w:rsidRDefault="00C57C08" w:rsidP="002A0586">
      <w:pPr>
        <w:rPr>
          <w:highlight w:val="yellow"/>
        </w:rPr>
      </w:pPr>
    </w:p>
    <w:p w14:paraId="201DCEAA" w14:textId="77777777" w:rsidR="008C101E" w:rsidRPr="006A0F95" w:rsidRDefault="008C101E" w:rsidP="008C101E">
      <w:pPr>
        <w:pStyle w:val="ListParagraph"/>
        <w:numPr>
          <w:ilvl w:val="0"/>
          <w:numId w:val="21"/>
        </w:numPr>
        <w:contextualSpacing/>
      </w:pPr>
      <w:r w:rsidRPr="006A0F95">
        <w:t>A</w:t>
      </w:r>
      <w:r w:rsidR="00035222" w:rsidRPr="006A0F95">
        <w:t>n</w:t>
      </w:r>
      <w:r w:rsidRPr="006A0F95">
        <w:t xml:space="preserve"> overspend of £</w:t>
      </w:r>
      <w:r w:rsidR="00035222" w:rsidRPr="006A0F95">
        <w:t xml:space="preserve">268 </w:t>
      </w:r>
      <w:r w:rsidRPr="006A0F95">
        <w:t>on Alternative Provisions largely due to pressure</w:t>
      </w:r>
      <w:r w:rsidR="00035222" w:rsidRPr="006A0F95">
        <w:t>s</w:t>
      </w:r>
      <w:r w:rsidRPr="006A0F95">
        <w:t xml:space="preserve"> on </w:t>
      </w:r>
      <w:r w:rsidR="00035222" w:rsidRPr="006A0F95">
        <w:t xml:space="preserve">the </w:t>
      </w:r>
      <w:r w:rsidRPr="006A0F95">
        <w:t xml:space="preserve">Home Tuition Service and </w:t>
      </w:r>
      <w:r w:rsidR="00035222" w:rsidRPr="006A0F95">
        <w:t>to</w:t>
      </w:r>
      <w:r w:rsidRPr="006A0F95">
        <w:t xml:space="preserve">p </w:t>
      </w:r>
      <w:r w:rsidR="00035222" w:rsidRPr="006A0F95">
        <w:t xml:space="preserve">up payments </w:t>
      </w:r>
      <w:r w:rsidRPr="006A0F95">
        <w:t>for Alternative provision pupils;</w:t>
      </w:r>
    </w:p>
    <w:p w14:paraId="328E18E4" w14:textId="77777777" w:rsidR="008C101E" w:rsidRPr="006A0F95" w:rsidRDefault="008C101E" w:rsidP="008C101E"/>
    <w:p w14:paraId="105DA119" w14:textId="77777777" w:rsidR="008C101E" w:rsidRPr="006A0F95" w:rsidRDefault="00035222" w:rsidP="008C101E">
      <w:pPr>
        <w:pStyle w:val="ListParagraph"/>
        <w:numPr>
          <w:ilvl w:val="0"/>
          <w:numId w:val="21"/>
        </w:numPr>
        <w:contextualSpacing/>
      </w:pPr>
      <w:r w:rsidRPr="006A0F95">
        <w:t xml:space="preserve">An overspend on the </w:t>
      </w:r>
      <w:r w:rsidR="008C101E" w:rsidRPr="006A0F95">
        <w:t xml:space="preserve">primary and secondary school ARPs </w:t>
      </w:r>
      <w:r w:rsidRPr="006A0F95">
        <w:t>of £552</w:t>
      </w:r>
      <w:r w:rsidR="008C101E" w:rsidRPr="006A0F95">
        <w:t>k</w:t>
      </w:r>
      <w:r w:rsidR="009129B6" w:rsidRPr="006A0F95">
        <w:t xml:space="preserve"> </w:t>
      </w:r>
      <w:r w:rsidRPr="006A0F95">
        <w:t xml:space="preserve">due to </w:t>
      </w:r>
      <w:r w:rsidR="009129B6" w:rsidRPr="006A0F95">
        <w:t>increase</w:t>
      </w:r>
      <w:r w:rsidRPr="006A0F95">
        <w:t xml:space="preserve">s </w:t>
      </w:r>
      <w:r w:rsidR="009129B6" w:rsidRPr="006A0F95">
        <w:t>in demand</w:t>
      </w:r>
      <w:r w:rsidR="008C101E" w:rsidRPr="006A0F95">
        <w:t>;</w:t>
      </w:r>
    </w:p>
    <w:p w14:paraId="72F9ED62" w14:textId="77777777" w:rsidR="008C101E" w:rsidRPr="006A0F95" w:rsidRDefault="008C101E" w:rsidP="008C101E">
      <w:pPr>
        <w:pStyle w:val="ListParagraph"/>
      </w:pPr>
    </w:p>
    <w:p w14:paraId="7914B65E" w14:textId="5392F2AC" w:rsidR="008C101E" w:rsidRPr="006A0F95" w:rsidRDefault="00035222" w:rsidP="008C101E">
      <w:pPr>
        <w:pStyle w:val="ListParagraph"/>
        <w:numPr>
          <w:ilvl w:val="0"/>
          <w:numId w:val="21"/>
        </w:numPr>
        <w:contextualSpacing/>
      </w:pPr>
      <w:r w:rsidRPr="006A0F95">
        <w:t xml:space="preserve">An underspend on </w:t>
      </w:r>
      <w:r w:rsidR="008C101E" w:rsidRPr="006A0F95">
        <w:t xml:space="preserve">Primary Respite </w:t>
      </w:r>
      <w:r w:rsidRPr="006A0F95">
        <w:t>of £441k</w:t>
      </w:r>
      <w:r w:rsidR="008C101E" w:rsidRPr="006A0F95">
        <w:t xml:space="preserve">, </w:t>
      </w:r>
      <w:r w:rsidRPr="006A0F95">
        <w:t xml:space="preserve">as a result of </w:t>
      </w:r>
      <w:r w:rsidR="008C101E" w:rsidRPr="006A0F95">
        <w:t>delays in the start of the service;</w:t>
      </w:r>
    </w:p>
    <w:p w14:paraId="2AA53866" w14:textId="77777777" w:rsidR="008C101E" w:rsidRPr="006A0F95" w:rsidRDefault="008C101E" w:rsidP="008C101E">
      <w:pPr>
        <w:pStyle w:val="ListParagraph"/>
      </w:pPr>
    </w:p>
    <w:p w14:paraId="1F716B76" w14:textId="77777777" w:rsidR="008C101E" w:rsidRPr="006A0F95" w:rsidRDefault="008C101E" w:rsidP="008C101E">
      <w:pPr>
        <w:pStyle w:val="ListParagraph"/>
        <w:numPr>
          <w:ilvl w:val="0"/>
          <w:numId w:val="21"/>
        </w:numPr>
        <w:contextualSpacing/>
      </w:pPr>
      <w:r w:rsidRPr="006A0F95">
        <w:t>A</w:t>
      </w:r>
      <w:r w:rsidR="00035222" w:rsidRPr="006A0F95">
        <w:t>n underspend of</w:t>
      </w:r>
      <w:r w:rsidRPr="006A0F95">
        <w:t xml:space="preserve"> £3</w:t>
      </w:r>
      <w:r w:rsidR="00035222" w:rsidRPr="006A0F95">
        <w:t>43</w:t>
      </w:r>
      <w:r w:rsidRPr="006A0F95">
        <w:t xml:space="preserve">k on Placement and Out of Borough Top Ups; </w:t>
      </w:r>
    </w:p>
    <w:p w14:paraId="5D344F81" w14:textId="77777777" w:rsidR="008C101E" w:rsidRPr="006A0F95" w:rsidRDefault="008C101E" w:rsidP="008C101E">
      <w:pPr>
        <w:pStyle w:val="ListParagraph"/>
      </w:pPr>
    </w:p>
    <w:p w14:paraId="3ADAE633" w14:textId="77777777" w:rsidR="008C101E" w:rsidRPr="006A0F95" w:rsidRDefault="00035222" w:rsidP="008C101E">
      <w:pPr>
        <w:pStyle w:val="ListParagraph"/>
        <w:numPr>
          <w:ilvl w:val="0"/>
          <w:numId w:val="21"/>
        </w:numPr>
        <w:contextualSpacing/>
      </w:pPr>
      <w:r w:rsidRPr="006A0F95">
        <w:t xml:space="preserve">An overspend on the Post 16 </w:t>
      </w:r>
      <w:r w:rsidR="008C101E" w:rsidRPr="006A0F95">
        <w:t>special school</w:t>
      </w:r>
      <w:r w:rsidRPr="006A0F95">
        <w:t xml:space="preserve"> </w:t>
      </w:r>
      <w:r w:rsidR="008C101E" w:rsidRPr="006A0F95">
        <w:t xml:space="preserve">(Trinity and Barking and Dagenham) </w:t>
      </w:r>
      <w:r w:rsidRPr="006A0F95">
        <w:t>of £449k</w:t>
      </w:r>
      <w:r w:rsidR="009129B6" w:rsidRPr="006A0F95">
        <w:t>;</w:t>
      </w:r>
    </w:p>
    <w:p w14:paraId="7ABE004D" w14:textId="77777777" w:rsidR="008C101E" w:rsidRPr="006A0F95" w:rsidRDefault="008C101E" w:rsidP="008C101E"/>
    <w:p w14:paraId="661E78A4" w14:textId="77777777" w:rsidR="008C101E" w:rsidRPr="006A0F95" w:rsidRDefault="00035222" w:rsidP="008C101E">
      <w:pPr>
        <w:pStyle w:val="ListParagraph"/>
        <w:numPr>
          <w:ilvl w:val="0"/>
          <w:numId w:val="21"/>
        </w:numPr>
        <w:contextualSpacing/>
      </w:pPr>
      <w:r w:rsidRPr="006A0F95">
        <w:t xml:space="preserve">An overspend on the </w:t>
      </w:r>
      <w:proofErr w:type="gramStart"/>
      <w:r w:rsidRPr="006A0F95">
        <w:t>Pre 16</w:t>
      </w:r>
      <w:proofErr w:type="gramEnd"/>
      <w:r w:rsidRPr="006A0F95">
        <w:t xml:space="preserve"> </w:t>
      </w:r>
      <w:r w:rsidR="008C101E" w:rsidRPr="006A0F95">
        <w:t xml:space="preserve">special school </w:t>
      </w:r>
      <w:r w:rsidRPr="006A0F95">
        <w:t>of £606k</w:t>
      </w:r>
      <w:r w:rsidR="008C101E" w:rsidRPr="006A0F95">
        <w:t xml:space="preserve"> </w:t>
      </w:r>
      <w:r w:rsidR="009129B6" w:rsidRPr="006A0F95">
        <w:t xml:space="preserve">as a result of </w:t>
      </w:r>
      <w:r w:rsidRPr="006A0F95">
        <w:t xml:space="preserve">an </w:t>
      </w:r>
      <w:r w:rsidR="009129B6" w:rsidRPr="006A0F95">
        <w:t>increase in demand;</w:t>
      </w:r>
    </w:p>
    <w:p w14:paraId="3A07105B" w14:textId="77777777" w:rsidR="008C101E" w:rsidRPr="006A0F95" w:rsidRDefault="008C101E" w:rsidP="008C101E">
      <w:pPr>
        <w:pStyle w:val="ListParagraph"/>
      </w:pPr>
    </w:p>
    <w:p w14:paraId="3C0B58A9" w14:textId="77777777" w:rsidR="008C101E" w:rsidRPr="006A0F95" w:rsidRDefault="008C101E" w:rsidP="008C101E">
      <w:pPr>
        <w:pStyle w:val="ListParagraph"/>
        <w:numPr>
          <w:ilvl w:val="0"/>
          <w:numId w:val="21"/>
        </w:numPr>
        <w:contextualSpacing/>
      </w:pPr>
      <w:r w:rsidRPr="006A0F95">
        <w:t xml:space="preserve">There </w:t>
      </w:r>
      <w:r w:rsidR="00035222" w:rsidRPr="006A0F95">
        <w:t xml:space="preserve">was also an overspend of </w:t>
      </w:r>
      <w:r w:rsidRPr="006A0F95">
        <w:t>£5</w:t>
      </w:r>
      <w:r w:rsidR="006A0F95" w:rsidRPr="006A0F95">
        <w:t>33k</w:t>
      </w:r>
      <w:r w:rsidRPr="006A0F95">
        <w:t xml:space="preserve"> on SEN Contingency (In Borough Top-Ups) due to demographic pressures </w:t>
      </w:r>
      <w:r w:rsidR="006A0F95" w:rsidRPr="006A0F95">
        <w:t xml:space="preserve"> and </w:t>
      </w:r>
      <w:r w:rsidRPr="006A0F95">
        <w:t>an increasing number of pupils with SEN requirements.</w:t>
      </w:r>
    </w:p>
    <w:p w14:paraId="1A5530ED" w14:textId="77777777" w:rsidR="00294D66" w:rsidRPr="0032172D" w:rsidRDefault="00294D66" w:rsidP="008C101E">
      <w:pPr>
        <w:ind w:left="720" w:hanging="720"/>
        <w:rPr>
          <w:rFonts w:cs="Arial"/>
          <w:b/>
          <w:highlight w:val="yellow"/>
        </w:rPr>
      </w:pPr>
    </w:p>
    <w:p w14:paraId="5142AC4B" w14:textId="77777777" w:rsidR="00294D66" w:rsidRPr="006A0F95" w:rsidRDefault="00294D66" w:rsidP="005A6871">
      <w:pPr>
        <w:ind w:left="709"/>
        <w:rPr>
          <w:rFonts w:cs="Arial"/>
          <w:b/>
        </w:rPr>
      </w:pPr>
      <w:r w:rsidRPr="006A0F95">
        <w:rPr>
          <w:rFonts w:cs="Arial"/>
          <w:b/>
        </w:rPr>
        <w:t xml:space="preserve">Schools Block </w:t>
      </w:r>
      <w:r w:rsidR="00E91AB1" w:rsidRPr="006A0F95">
        <w:rPr>
          <w:rFonts w:cs="Arial"/>
          <w:b/>
        </w:rPr>
        <w:t>is reporting a</w:t>
      </w:r>
      <w:r w:rsidR="00033019" w:rsidRPr="006A0F95">
        <w:rPr>
          <w:rFonts w:cs="Arial"/>
          <w:b/>
        </w:rPr>
        <w:t>n underspend of 601k</w:t>
      </w:r>
      <w:r w:rsidR="00E91AB1" w:rsidRPr="006A0F95">
        <w:rPr>
          <w:rFonts w:cs="Arial"/>
          <w:b/>
        </w:rPr>
        <w:t>.</w:t>
      </w:r>
    </w:p>
    <w:p w14:paraId="05D89BEE" w14:textId="77777777" w:rsidR="005B2344" w:rsidRPr="006A0F95" w:rsidRDefault="005B2344" w:rsidP="005B2344">
      <w:pPr>
        <w:ind w:left="709" w:hanging="709"/>
        <w:rPr>
          <w:rFonts w:cs="Arial"/>
        </w:rPr>
      </w:pPr>
    </w:p>
    <w:p w14:paraId="61E2B567" w14:textId="77777777" w:rsidR="006A0F95" w:rsidRDefault="00C34139" w:rsidP="00687B28">
      <w:pPr>
        <w:ind w:left="709" w:hanging="709"/>
        <w:rPr>
          <w:rFonts w:cs="Arial"/>
        </w:rPr>
      </w:pPr>
      <w:r w:rsidRPr="006A0F95">
        <w:rPr>
          <w:rFonts w:cs="Arial"/>
        </w:rPr>
        <w:t>2.</w:t>
      </w:r>
      <w:r w:rsidR="00A65A1A">
        <w:rPr>
          <w:rFonts w:cs="Arial"/>
        </w:rPr>
        <w:t>3.</w:t>
      </w:r>
      <w:r w:rsidR="00A65A1A">
        <w:rPr>
          <w:rFonts w:cs="Arial"/>
        </w:rPr>
        <w:tab/>
      </w:r>
      <w:r w:rsidRPr="006A0F95">
        <w:rPr>
          <w:rFonts w:cs="Arial"/>
        </w:rPr>
        <w:t>T</w:t>
      </w:r>
      <w:r w:rsidR="005B2344" w:rsidRPr="006A0F95">
        <w:rPr>
          <w:rFonts w:cs="Arial"/>
        </w:rPr>
        <w:t>he Schools Block is report</w:t>
      </w:r>
      <w:r w:rsidR="006A0F95" w:rsidRPr="006A0F95">
        <w:rPr>
          <w:rFonts w:cs="Arial"/>
        </w:rPr>
        <w:t>ed</w:t>
      </w:r>
      <w:r w:rsidR="005B2344" w:rsidRPr="006A0F95">
        <w:rPr>
          <w:rFonts w:cs="Arial"/>
        </w:rPr>
        <w:t xml:space="preserve"> </w:t>
      </w:r>
      <w:r w:rsidR="000B16F3" w:rsidRPr="006A0F95">
        <w:rPr>
          <w:rFonts w:cs="Arial"/>
        </w:rPr>
        <w:t>a</w:t>
      </w:r>
      <w:r w:rsidR="006A0F95" w:rsidRPr="006A0F95">
        <w:rPr>
          <w:rFonts w:cs="Arial"/>
        </w:rPr>
        <w:t xml:space="preserve">n underspend of £601k mainly due to less than anticipated need to fund in-year growth. </w:t>
      </w:r>
      <w:r w:rsidR="002A0586">
        <w:rPr>
          <w:rFonts w:cs="Arial"/>
        </w:rPr>
        <w:t xml:space="preserve"> £500k of the Growth Fund is proposed to be carried forward as a ringfenced amount within the DSG.  This will be used to fund increased Business Rates costs driven by revaluations (usually linked to growth) and to establish a fund to support Schools with Falling Rolls.  </w:t>
      </w:r>
    </w:p>
    <w:p w14:paraId="5156163F" w14:textId="77777777" w:rsidR="00551BA4" w:rsidRDefault="00551BA4" w:rsidP="00687B28">
      <w:pPr>
        <w:ind w:left="709" w:hanging="709"/>
        <w:rPr>
          <w:rFonts w:cs="Arial"/>
        </w:rPr>
      </w:pPr>
    </w:p>
    <w:p w14:paraId="6EA042F4" w14:textId="0384F6A3" w:rsidR="00175D83" w:rsidRPr="005A6871" w:rsidRDefault="00175D83" w:rsidP="005A6871">
      <w:pPr>
        <w:pStyle w:val="ListParagraph"/>
        <w:numPr>
          <w:ilvl w:val="0"/>
          <w:numId w:val="2"/>
        </w:numPr>
        <w:rPr>
          <w:b/>
          <w:bCs/>
        </w:rPr>
      </w:pPr>
      <w:r w:rsidRPr="005A6871">
        <w:rPr>
          <w:b/>
          <w:bCs/>
        </w:rPr>
        <w:t>Schools Balances</w:t>
      </w:r>
    </w:p>
    <w:p w14:paraId="15358334" w14:textId="77777777" w:rsidR="00175D83" w:rsidRDefault="00175D83" w:rsidP="00175D83">
      <w:pPr>
        <w:ind w:left="720" w:hanging="720"/>
        <w:rPr>
          <w:bCs/>
        </w:rPr>
      </w:pPr>
    </w:p>
    <w:p w14:paraId="40F71F68" w14:textId="77777777" w:rsidR="00175D83" w:rsidRDefault="005A6871" w:rsidP="00175D83">
      <w:pPr>
        <w:ind w:left="720" w:hanging="720"/>
        <w:rPr>
          <w:bCs/>
        </w:rPr>
      </w:pPr>
      <w:r>
        <w:rPr>
          <w:bCs/>
        </w:rPr>
        <w:t>3.1</w:t>
      </w:r>
      <w:r>
        <w:rPr>
          <w:bCs/>
        </w:rPr>
        <w:tab/>
      </w:r>
      <w:r w:rsidR="00175D83" w:rsidRPr="00175D83">
        <w:rPr>
          <w:b/>
          <w:bCs/>
        </w:rPr>
        <w:t>Appendix A</w:t>
      </w:r>
      <w:r w:rsidR="00175D83">
        <w:rPr>
          <w:bCs/>
        </w:rPr>
        <w:t xml:space="preserve"> shows the movement on school balances for 2017-18. As per last year, Non-Oracle schools were closed on estimated Outturn figures. Closing balances for these schools will be updated on the Council’s ledgers during 2018-19 from the final actual outturn as reported from their own systems. </w:t>
      </w:r>
    </w:p>
    <w:p w14:paraId="637CB77D" w14:textId="77777777" w:rsidR="009D6D7B" w:rsidRDefault="009D6D7B" w:rsidP="00175D83">
      <w:pPr>
        <w:ind w:left="720" w:hanging="720"/>
        <w:rPr>
          <w:b/>
          <w:bCs/>
        </w:rPr>
      </w:pPr>
    </w:p>
    <w:p w14:paraId="42982707" w14:textId="77777777" w:rsidR="009D6D7B" w:rsidRDefault="005A6871" w:rsidP="00175D83">
      <w:pPr>
        <w:ind w:left="720" w:hanging="720"/>
        <w:rPr>
          <w:bCs/>
        </w:rPr>
      </w:pPr>
      <w:r>
        <w:rPr>
          <w:bCs/>
        </w:rPr>
        <w:t>3.2</w:t>
      </w:r>
      <w:r>
        <w:rPr>
          <w:bCs/>
        </w:rPr>
        <w:tab/>
      </w:r>
      <w:r w:rsidR="009D6D7B">
        <w:rPr>
          <w:bCs/>
        </w:rPr>
        <w:t xml:space="preserve">As at the start of 2017-18, the total amount of School balances stood at </w:t>
      </w:r>
      <w:r w:rsidR="009D6D7B" w:rsidRPr="009D6D7B">
        <w:rPr>
          <w:b/>
          <w:bCs/>
        </w:rPr>
        <w:t>£11.5</w:t>
      </w:r>
      <w:r w:rsidR="0001602F">
        <w:rPr>
          <w:b/>
          <w:bCs/>
        </w:rPr>
        <w:t>67</w:t>
      </w:r>
      <w:r w:rsidR="009D6D7B" w:rsidRPr="009D6D7B">
        <w:rPr>
          <w:b/>
          <w:bCs/>
        </w:rPr>
        <w:t>m</w:t>
      </w:r>
      <w:r w:rsidR="009D6D7B">
        <w:rPr>
          <w:b/>
          <w:bCs/>
        </w:rPr>
        <w:t xml:space="preserve">. </w:t>
      </w:r>
      <w:r w:rsidR="007C306A">
        <w:rPr>
          <w:bCs/>
        </w:rPr>
        <w:t xml:space="preserve">There was in year movement of £3.996m, leaving a balance of </w:t>
      </w:r>
      <w:r w:rsidR="007C306A" w:rsidRPr="007C306A">
        <w:rPr>
          <w:b/>
          <w:bCs/>
        </w:rPr>
        <w:t>£7.5</w:t>
      </w:r>
      <w:r w:rsidR="0001602F">
        <w:rPr>
          <w:b/>
          <w:bCs/>
        </w:rPr>
        <w:t>71</w:t>
      </w:r>
      <w:r w:rsidR="007C306A" w:rsidRPr="007C306A">
        <w:rPr>
          <w:b/>
          <w:bCs/>
        </w:rPr>
        <w:t>m</w:t>
      </w:r>
      <w:r w:rsidR="007C306A">
        <w:rPr>
          <w:b/>
          <w:bCs/>
        </w:rPr>
        <w:t xml:space="preserve"> </w:t>
      </w:r>
      <w:r w:rsidR="007C306A">
        <w:rPr>
          <w:bCs/>
        </w:rPr>
        <w:t xml:space="preserve">going forward into 2018-19.  </w:t>
      </w:r>
    </w:p>
    <w:p w14:paraId="621E119B" w14:textId="77777777" w:rsidR="005A6871" w:rsidRDefault="005A6871" w:rsidP="00175D83">
      <w:pPr>
        <w:ind w:left="720" w:hanging="720"/>
        <w:rPr>
          <w:bCs/>
        </w:rPr>
      </w:pPr>
    </w:p>
    <w:p w14:paraId="36964DE3" w14:textId="77777777" w:rsidR="008C4254" w:rsidRDefault="005A6871" w:rsidP="008C4254">
      <w:pPr>
        <w:ind w:left="720" w:hanging="720"/>
        <w:rPr>
          <w:bCs/>
        </w:rPr>
      </w:pPr>
      <w:r>
        <w:rPr>
          <w:bCs/>
        </w:rPr>
        <w:t>3.3</w:t>
      </w:r>
      <w:r>
        <w:rPr>
          <w:bCs/>
        </w:rPr>
        <w:tab/>
        <w:t xml:space="preserve">Although Schools may use their balances to support in year deficits the fact that so may schools have needed to do so may be an early indicator of financial pressures in the system.  Schools are currently finalising their 2018/19 onwards budgets which are due to be submitted by </w:t>
      </w:r>
      <w:r w:rsidRPr="008C4254">
        <w:rPr>
          <w:b/>
          <w:bCs/>
        </w:rPr>
        <w:t>30</w:t>
      </w:r>
      <w:r w:rsidRPr="008C4254">
        <w:rPr>
          <w:b/>
          <w:bCs/>
          <w:vertAlign w:val="superscript"/>
        </w:rPr>
        <w:t>th</w:t>
      </w:r>
      <w:r w:rsidRPr="008C4254">
        <w:rPr>
          <w:b/>
          <w:bCs/>
        </w:rPr>
        <w:t xml:space="preserve"> June</w:t>
      </w:r>
      <w:r>
        <w:rPr>
          <w:bCs/>
        </w:rPr>
        <w:t xml:space="preserve">.  </w:t>
      </w:r>
      <w:r w:rsidR="008C4254">
        <w:rPr>
          <w:bCs/>
        </w:rPr>
        <w:t>This will give more insight into how far schools have been able to resolve their financial issues and which schools may be struggling.</w:t>
      </w:r>
    </w:p>
    <w:p w14:paraId="3F36CA7E" w14:textId="77777777" w:rsidR="008C4254" w:rsidRDefault="008C4254" w:rsidP="00175D83">
      <w:pPr>
        <w:ind w:left="720" w:hanging="720"/>
        <w:rPr>
          <w:bCs/>
        </w:rPr>
      </w:pPr>
    </w:p>
    <w:p w14:paraId="34031320" w14:textId="6035C086" w:rsidR="008C4254" w:rsidRDefault="008C4254" w:rsidP="00175D83">
      <w:pPr>
        <w:ind w:left="720" w:hanging="720"/>
        <w:rPr>
          <w:bCs/>
        </w:rPr>
      </w:pPr>
      <w:r>
        <w:rPr>
          <w:bCs/>
        </w:rPr>
        <w:t>3.4</w:t>
      </w:r>
      <w:r>
        <w:rPr>
          <w:bCs/>
        </w:rPr>
        <w:tab/>
        <w:t>The Schools Financial Monitoring Group</w:t>
      </w:r>
      <w:r w:rsidR="008F6106">
        <w:rPr>
          <w:bCs/>
        </w:rPr>
        <w:t xml:space="preserve">, previously called Schools Facing </w:t>
      </w:r>
      <w:r w:rsidR="008F75F6">
        <w:rPr>
          <w:bCs/>
        </w:rPr>
        <w:t>Financial</w:t>
      </w:r>
      <w:r w:rsidR="008F6106">
        <w:rPr>
          <w:bCs/>
        </w:rPr>
        <w:t xml:space="preserve"> Difficulties </w:t>
      </w:r>
      <w:r>
        <w:rPr>
          <w:bCs/>
        </w:rPr>
        <w:t>will meet on the 9</w:t>
      </w:r>
      <w:r w:rsidRPr="008C4254">
        <w:rPr>
          <w:bCs/>
          <w:vertAlign w:val="superscript"/>
        </w:rPr>
        <w:t>th</w:t>
      </w:r>
      <w:r>
        <w:rPr>
          <w:bCs/>
        </w:rPr>
        <w:t xml:space="preserve"> July.  The first part of that meeting will consider how schools can be best supported to meet these financial challenges.  Forum’s views on this matter are welcomed.  </w:t>
      </w:r>
    </w:p>
    <w:p w14:paraId="750173CF" w14:textId="77777777" w:rsidR="008C4254" w:rsidRDefault="008C4254" w:rsidP="00175D83">
      <w:pPr>
        <w:ind w:left="720" w:hanging="720"/>
        <w:rPr>
          <w:bCs/>
        </w:rPr>
      </w:pPr>
    </w:p>
    <w:p w14:paraId="53C4CD73" w14:textId="77777777" w:rsidR="008C4254" w:rsidRDefault="008C4254" w:rsidP="00175D83">
      <w:pPr>
        <w:ind w:left="720" w:hanging="720"/>
        <w:rPr>
          <w:bCs/>
        </w:rPr>
      </w:pPr>
      <w:r>
        <w:rPr>
          <w:bCs/>
        </w:rPr>
        <w:t>3.5</w:t>
      </w:r>
      <w:r>
        <w:rPr>
          <w:bCs/>
        </w:rPr>
        <w:tab/>
        <w:t>If Schools wish to apply for assistance from the Schools Facing Financial Difficulties fund then applications must be sent to the Schools Finance team by 30</w:t>
      </w:r>
      <w:r w:rsidRPr="008C4254">
        <w:rPr>
          <w:bCs/>
          <w:vertAlign w:val="superscript"/>
        </w:rPr>
        <w:t>th</w:t>
      </w:r>
      <w:r>
        <w:rPr>
          <w:bCs/>
        </w:rPr>
        <w:t xml:space="preserve"> June along with their budget.  </w:t>
      </w:r>
    </w:p>
    <w:p w14:paraId="400A9B5B" w14:textId="77777777" w:rsidR="008C4254" w:rsidRDefault="008C4254" w:rsidP="00175D83">
      <w:pPr>
        <w:ind w:left="720" w:hanging="720"/>
        <w:rPr>
          <w:bCs/>
        </w:rPr>
      </w:pPr>
    </w:p>
    <w:p w14:paraId="71F6BF15" w14:textId="305C4A8D" w:rsidR="008C4254" w:rsidRDefault="008C4254" w:rsidP="002A2692">
      <w:pPr>
        <w:ind w:left="720" w:hanging="720"/>
        <w:rPr>
          <w:bCs/>
        </w:rPr>
      </w:pPr>
      <w:r>
        <w:rPr>
          <w:bCs/>
        </w:rPr>
        <w:t>3.6</w:t>
      </w:r>
      <w:r>
        <w:rPr>
          <w:bCs/>
        </w:rPr>
        <w:tab/>
        <w:t>Funding will be extremely limited</w:t>
      </w:r>
      <w:r w:rsidR="002A2692">
        <w:rPr>
          <w:bCs/>
        </w:rPr>
        <w:t xml:space="preserve">.  The current balance on the fund is £590k and a further £310k of repayments are due in 2018/19 so the funding available should </w:t>
      </w:r>
      <w:proofErr w:type="spellStart"/>
      <w:r w:rsidR="002A2692">
        <w:rPr>
          <w:bCs/>
        </w:rPr>
        <w:t>be</w:t>
      </w:r>
      <w:r w:rsidR="00BD0E86">
        <w:rPr>
          <w:bCs/>
        </w:rPr>
        <w:t>in</w:t>
      </w:r>
      <w:proofErr w:type="spellEnd"/>
      <w:r w:rsidR="00BD0E86">
        <w:rPr>
          <w:bCs/>
        </w:rPr>
        <w:t xml:space="preserve"> the region of £</w:t>
      </w:r>
      <w:r w:rsidR="002A2692">
        <w:rPr>
          <w:bCs/>
        </w:rPr>
        <w:t xml:space="preserve">800k </w:t>
      </w:r>
      <w:r w:rsidR="00BD0E86">
        <w:rPr>
          <w:bCs/>
        </w:rPr>
        <w:t>to £</w:t>
      </w:r>
      <w:r w:rsidR="002A2692">
        <w:rPr>
          <w:bCs/>
        </w:rPr>
        <w:t xml:space="preserve">900k </w:t>
      </w:r>
      <w:r w:rsidR="00BD0E86">
        <w:rPr>
          <w:bCs/>
        </w:rPr>
        <w:t>dependent on repayments in 2018/19.</w:t>
      </w:r>
      <w:r>
        <w:rPr>
          <w:bCs/>
        </w:rPr>
        <w:t xml:space="preserve">  Schools seeking assistance must support their application with clear evidence showing why the loan is required and what recovery action they will put in place to ensure that it can be repaid in a timely fashion.</w:t>
      </w:r>
    </w:p>
    <w:p w14:paraId="220D7E58" w14:textId="77777777" w:rsidR="00C22B5A" w:rsidRDefault="00C22B5A" w:rsidP="00175D83">
      <w:pPr>
        <w:ind w:left="720" w:hanging="720"/>
        <w:rPr>
          <w:bCs/>
        </w:rPr>
      </w:pPr>
    </w:p>
    <w:p w14:paraId="7AB4B73A" w14:textId="77777777" w:rsidR="00C22B5A" w:rsidRDefault="00C22B5A" w:rsidP="00C22B5A">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sidRPr="006A0F95">
        <w:rPr>
          <w:rFonts w:cs="Arial"/>
          <w:b/>
          <w:i/>
        </w:rPr>
        <w:t xml:space="preserve">Schools Forum are asked to note the </w:t>
      </w:r>
      <w:r>
        <w:rPr>
          <w:rFonts w:cs="Arial"/>
          <w:b/>
          <w:i/>
        </w:rPr>
        <w:t xml:space="preserve">draft School balances position at the end of </w:t>
      </w:r>
      <w:r w:rsidRPr="006A0F95">
        <w:rPr>
          <w:rFonts w:cs="Arial"/>
          <w:b/>
          <w:i/>
        </w:rPr>
        <w:t xml:space="preserve">2017-18 </w:t>
      </w:r>
      <w:r>
        <w:rPr>
          <w:rFonts w:cs="Arial"/>
          <w:b/>
          <w:i/>
        </w:rPr>
        <w:t>amounting to £7.507m</w:t>
      </w:r>
      <w:r w:rsidRPr="006A0F95">
        <w:rPr>
          <w:rFonts w:cs="Arial"/>
          <w:b/>
          <w:i/>
        </w:rPr>
        <w:t>.</w:t>
      </w:r>
    </w:p>
    <w:p w14:paraId="01E6344B" w14:textId="77777777" w:rsidR="008C4254" w:rsidRDefault="008C4254" w:rsidP="00C22B5A">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Pr>
          <w:rFonts w:cs="Arial"/>
          <w:b/>
          <w:i/>
        </w:rPr>
        <w:t>Schools Forum are asked for their views on how Schools can be supported to meet the financial challenges</w:t>
      </w:r>
    </w:p>
    <w:p w14:paraId="7770DD69" w14:textId="77777777" w:rsidR="008C4254" w:rsidRPr="008C4254" w:rsidRDefault="008C4254" w:rsidP="008C4254">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Pr>
          <w:rFonts w:cs="Arial"/>
          <w:b/>
          <w:i/>
        </w:rPr>
        <w:t xml:space="preserve">Schools Forum are asked to note that there may be further requests for assistance from the Schools Facing Financial Difficulty Fund.  </w:t>
      </w:r>
      <w:r w:rsidR="00B50A27">
        <w:rPr>
          <w:rFonts w:cs="Arial"/>
          <w:b/>
          <w:i/>
        </w:rPr>
        <w:t>Any requests endorsed by the Financial Monitoring Group will be referred to Schools Forum for financial approval</w:t>
      </w:r>
      <w:r w:rsidR="00BD0E86">
        <w:rPr>
          <w:rFonts w:cs="Arial"/>
          <w:b/>
          <w:i/>
        </w:rPr>
        <w:t xml:space="preserve"> in the Autumn Term</w:t>
      </w:r>
      <w:r w:rsidR="00B50A27">
        <w:rPr>
          <w:rFonts w:cs="Arial"/>
          <w:b/>
          <w:i/>
        </w:rPr>
        <w:t xml:space="preserve">.  </w:t>
      </w:r>
    </w:p>
    <w:p w14:paraId="3FEAFFE1" w14:textId="77777777" w:rsidR="00C34139" w:rsidRPr="00F7660F" w:rsidRDefault="00C34139" w:rsidP="00BD0E86">
      <w:pPr>
        <w:rPr>
          <w:rFonts w:cs="Arial"/>
          <w:highlight w:val="green"/>
        </w:rPr>
      </w:pPr>
    </w:p>
    <w:p w14:paraId="35673986" w14:textId="77777777" w:rsidR="00C34139" w:rsidRDefault="00C34139" w:rsidP="00294D66">
      <w:pPr>
        <w:ind w:left="1429" w:hanging="709"/>
        <w:rPr>
          <w:rFonts w:cs="Arial"/>
        </w:rPr>
      </w:pPr>
    </w:p>
    <w:p w14:paraId="54169AE7" w14:textId="77777777" w:rsidR="00F11B00" w:rsidRPr="00A65A1A" w:rsidRDefault="00F11B00" w:rsidP="000E16E4">
      <w:pPr>
        <w:numPr>
          <w:ilvl w:val="0"/>
          <w:numId w:val="2"/>
        </w:numPr>
        <w:rPr>
          <w:rFonts w:cs="Arial"/>
          <w:b/>
          <w:u w:val="single"/>
        </w:rPr>
      </w:pPr>
      <w:r w:rsidRPr="00A65A1A">
        <w:rPr>
          <w:rFonts w:cs="Arial"/>
          <w:b/>
          <w:u w:val="single"/>
        </w:rPr>
        <w:t xml:space="preserve">Dedicated Schools Grant 2018-19 Budget allocation update </w:t>
      </w:r>
    </w:p>
    <w:p w14:paraId="024165DD" w14:textId="77777777" w:rsidR="008A12DB" w:rsidRPr="00A65A1A" w:rsidRDefault="008A12DB" w:rsidP="008A12DB">
      <w:pPr>
        <w:ind w:left="720"/>
        <w:rPr>
          <w:rFonts w:cs="Arial"/>
          <w:b/>
          <w:u w:val="single"/>
        </w:rPr>
      </w:pPr>
    </w:p>
    <w:tbl>
      <w:tblPr>
        <w:tblW w:w="10521" w:type="dxa"/>
        <w:jc w:val="center"/>
        <w:tblCellMar>
          <w:top w:w="15" w:type="dxa"/>
          <w:bottom w:w="15" w:type="dxa"/>
        </w:tblCellMar>
        <w:tblLook w:val="04A0" w:firstRow="1" w:lastRow="0" w:firstColumn="1" w:lastColumn="0" w:noHBand="0" w:noVBand="1"/>
      </w:tblPr>
      <w:tblGrid>
        <w:gridCol w:w="880"/>
        <w:gridCol w:w="1378"/>
        <w:gridCol w:w="1369"/>
        <w:gridCol w:w="1428"/>
        <w:gridCol w:w="1428"/>
        <w:gridCol w:w="1572"/>
        <w:gridCol w:w="1262"/>
        <w:gridCol w:w="1309"/>
      </w:tblGrid>
      <w:tr w:rsidR="00F11B00" w:rsidRPr="00A65A1A" w14:paraId="1379A8DA" w14:textId="77777777" w:rsidTr="00BD0E86">
        <w:trPr>
          <w:trHeight w:val="765"/>
          <w:jc w:val="center"/>
        </w:trPr>
        <w:tc>
          <w:tcPr>
            <w:tcW w:w="880" w:type="dxa"/>
            <w:tcBorders>
              <w:top w:val="nil"/>
              <w:left w:val="nil"/>
              <w:bottom w:val="nil"/>
              <w:right w:val="nil"/>
            </w:tcBorders>
            <w:noWrap/>
            <w:vAlign w:val="bottom"/>
            <w:hideMark/>
          </w:tcPr>
          <w:p w14:paraId="21ED8FE0" w14:textId="77777777" w:rsidR="00F11B00" w:rsidRPr="00A65A1A" w:rsidRDefault="00F11B00" w:rsidP="007019FE">
            <w:pPr>
              <w:rPr>
                <w:rFonts w:ascii="Times New Roman" w:hAnsi="Times New Roman"/>
                <w:sz w:val="20"/>
                <w:szCs w:val="20"/>
              </w:rPr>
            </w:pPr>
          </w:p>
        </w:tc>
        <w:tc>
          <w:tcPr>
            <w:tcW w:w="9641" w:type="dxa"/>
            <w:gridSpan w:val="7"/>
            <w:tcBorders>
              <w:top w:val="single" w:sz="4" w:space="0" w:color="auto"/>
              <w:left w:val="single" w:sz="4" w:space="0" w:color="auto"/>
              <w:bottom w:val="single" w:sz="4" w:space="0" w:color="auto"/>
              <w:right w:val="nil"/>
            </w:tcBorders>
            <w:vAlign w:val="bottom"/>
            <w:hideMark/>
          </w:tcPr>
          <w:p w14:paraId="31B54DE2" w14:textId="77777777" w:rsidR="00F11B00" w:rsidRPr="00A65A1A" w:rsidRDefault="00F11B00" w:rsidP="007019FE">
            <w:pPr>
              <w:rPr>
                <w:rFonts w:cs="Arial"/>
                <w:b/>
                <w:bCs/>
                <w:color w:val="000000"/>
              </w:rPr>
            </w:pPr>
            <w:r w:rsidRPr="00A65A1A">
              <w:rPr>
                <w:rFonts w:cs="Arial"/>
                <w:b/>
                <w:bCs/>
                <w:color w:val="000000"/>
              </w:rPr>
              <w:t>Table 3 - Dedicated Schools Grant Funding Blocks Update as June 201</w:t>
            </w:r>
            <w:r w:rsidR="00424216" w:rsidRPr="00A65A1A">
              <w:rPr>
                <w:rFonts w:cs="Arial"/>
                <w:b/>
                <w:bCs/>
                <w:color w:val="000000"/>
              </w:rPr>
              <w:t>8 for 2018-19 allocations</w:t>
            </w:r>
          </w:p>
        </w:tc>
      </w:tr>
      <w:tr w:rsidR="00F11B00" w:rsidRPr="00A65A1A" w14:paraId="48F98F02" w14:textId="77777777" w:rsidTr="00BD0E86">
        <w:trPr>
          <w:trHeight w:val="1095"/>
          <w:jc w:val="center"/>
        </w:trPr>
        <w:tc>
          <w:tcPr>
            <w:tcW w:w="880" w:type="dxa"/>
            <w:tcBorders>
              <w:top w:val="nil"/>
              <w:left w:val="nil"/>
              <w:bottom w:val="nil"/>
              <w:right w:val="nil"/>
            </w:tcBorders>
            <w:noWrap/>
            <w:vAlign w:val="bottom"/>
            <w:hideMark/>
          </w:tcPr>
          <w:p w14:paraId="3D4F6D31" w14:textId="77777777" w:rsidR="00F11B00" w:rsidRPr="00A65A1A" w:rsidRDefault="00F11B00" w:rsidP="007019FE">
            <w:pPr>
              <w:rPr>
                <w:rFonts w:cs="Arial"/>
                <w:b/>
                <w:bCs/>
                <w:color w:val="000000"/>
              </w:rPr>
            </w:pPr>
          </w:p>
        </w:tc>
        <w:tc>
          <w:tcPr>
            <w:tcW w:w="1378" w:type="dxa"/>
            <w:tcBorders>
              <w:top w:val="single" w:sz="4" w:space="0" w:color="auto"/>
              <w:left w:val="single" w:sz="4" w:space="0" w:color="auto"/>
              <w:bottom w:val="single" w:sz="4" w:space="0" w:color="auto"/>
              <w:right w:val="single" w:sz="4" w:space="0" w:color="auto"/>
            </w:tcBorders>
            <w:vAlign w:val="center"/>
            <w:hideMark/>
          </w:tcPr>
          <w:p w14:paraId="2B1CBAE8"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Funding Blocks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83B226A"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201</w:t>
            </w:r>
            <w:r w:rsidR="009D6D7B" w:rsidRPr="00A65A1A">
              <w:rPr>
                <w:rFonts w:cs="Arial"/>
                <w:b/>
                <w:bCs/>
                <w:color w:val="000000"/>
                <w:sz w:val="20"/>
                <w:szCs w:val="20"/>
              </w:rPr>
              <w:t>8</w:t>
            </w:r>
            <w:r w:rsidRPr="00A65A1A">
              <w:rPr>
                <w:rFonts w:cs="Arial"/>
                <w:b/>
                <w:bCs/>
                <w:color w:val="000000"/>
                <w:sz w:val="20"/>
                <w:szCs w:val="20"/>
              </w:rPr>
              <w:t>-1</w:t>
            </w:r>
            <w:r w:rsidR="009D6D7B" w:rsidRPr="00A65A1A">
              <w:rPr>
                <w:rFonts w:cs="Arial"/>
                <w:b/>
                <w:bCs/>
                <w:color w:val="000000"/>
                <w:sz w:val="20"/>
                <w:szCs w:val="20"/>
              </w:rPr>
              <w:t>9</w:t>
            </w:r>
            <w:r w:rsidRPr="00A65A1A">
              <w:rPr>
                <w:rFonts w:cs="Arial"/>
                <w:b/>
                <w:bCs/>
                <w:color w:val="000000"/>
                <w:sz w:val="20"/>
                <w:szCs w:val="20"/>
              </w:rPr>
              <w:t xml:space="preserve"> Base Allocation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FA3DE99"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Recoupment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C9F8639" w14:textId="5FA4D305"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High Needs </w:t>
            </w:r>
            <w:r w:rsidR="00181709">
              <w:rPr>
                <w:rFonts w:cs="Arial"/>
                <w:b/>
                <w:bCs/>
                <w:color w:val="000000"/>
                <w:sz w:val="20"/>
                <w:szCs w:val="20"/>
              </w:rPr>
              <w:t>Place Recoupment</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EED0F19"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Base Allocation (Net of Recoupment)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691C7A"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Additional Resources (Reserve)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7671D3"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201</w:t>
            </w:r>
            <w:r w:rsidR="009D6D7B" w:rsidRPr="00A65A1A">
              <w:rPr>
                <w:rFonts w:cs="Arial"/>
                <w:b/>
                <w:bCs/>
                <w:color w:val="000000"/>
                <w:sz w:val="20"/>
                <w:szCs w:val="20"/>
              </w:rPr>
              <w:t>8</w:t>
            </w:r>
            <w:r w:rsidRPr="00A65A1A">
              <w:rPr>
                <w:rFonts w:cs="Arial"/>
                <w:b/>
                <w:bCs/>
                <w:color w:val="000000"/>
                <w:sz w:val="20"/>
                <w:szCs w:val="20"/>
              </w:rPr>
              <w:t>-1</w:t>
            </w:r>
            <w:r w:rsidR="009D6D7B" w:rsidRPr="00A65A1A">
              <w:rPr>
                <w:rFonts w:cs="Arial"/>
                <w:b/>
                <w:bCs/>
                <w:color w:val="000000"/>
                <w:sz w:val="20"/>
                <w:szCs w:val="20"/>
              </w:rPr>
              <w:t>9</w:t>
            </w:r>
            <w:r w:rsidRPr="00A65A1A">
              <w:rPr>
                <w:rFonts w:cs="Arial"/>
                <w:b/>
                <w:bCs/>
                <w:color w:val="000000"/>
                <w:sz w:val="20"/>
                <w:szCs w:val="20"/>
              </w:rPr>
              <w:t xml:space="preserve"> Amended  Budget</w:t>
            </w:r>
          </w:p>
        </w:tc>
      </w:tr>
      <w:tr w:rsidR="00F11B00" w:rsidRPr="00A65A1A" w14:paraId="2A2BC394" w14:textId="77777777" w:rsidTr="00BD0E86">
        <w:trPr>
          <w:trHeight w:val="285"/>
          <w:jc w:val="center"/>
        </w:trPr>
        <w:tc>
          <w:tcPr>
            <w:tcW w:w="880" w:type="dxa"/>
            <w:tcBorders>
              <w:top w:val="nil"/>
              <w:left w:val="nil"/>
              <w:bottom w:val="nil"/>
              <w:right w:val="nil"/>
            </w:tcBorders>
            <w:noWrap/>
            <w:vAlign w:val="bottom"/>
            <w:hideMark/>
          </w:tcPr>
          <w:p w14:paraId="28F01406" w14:textId="77777777" w:rsidR="00F11B00" w:rsidRPr="00A65A1A" w:rsidRDefault="00F11B00" w:rsidP="007019FE">
            <w:pPr>
              <w:jc w:val="center"/>
              <w:rPr>
                <w:rFonts w:cs="Arial"/>
                <w:b/>
                <w:bCs/>
                <w:color w:val="000000"/>
                <w:sz w:val="20"/>
                <w:szCs w:val="20"/>
              </w:rPr>
            </w:pPr>
          </w:p>
        </w:tc>
        <w:tc>
          <w:tcPr>
            <w:tcW w:w="1378" w:type="dxa"/>
            <w:tcBorders>
              <w:top w:val="nil"/>
              <w:left w:val="single" w:sz="4" w:space="0" w:color="auto"/>
              <w:bottom w:val="nil"/>
              <w:right w:val="single" w:sz="4" w:space="0" w:color="auto"/>
            </w:tcBorders>
            <w:vAlign w:val="bottom"/>
            <w:hideMark/>
          </w:tcPr>
          <w:p w14:paraId="1D3CEAEC" w14:textId="77777777" w:rsidR="00F11B00" w:rsidRPr="00A65A1A" w:rsidRDefault="00F11B00" w:rsidP="007019FE">
            <w:pPr>
              <w:rPr>
                <w:rFonts w:ascii="Times New Roman" w:hAnsi="Times New Roman"/>
                <w:sz w:val="20"/>
                <w:szCs w:val="20"/>
              </w:rPr>
            </w:pPr>
          </w:p>
        </w:tc>
        <w:tc>
          <w:tcPr>
            <w:tcW w:w="1369" w:type="dxa"/>
            <w:tcBorders>
              <w:top w:val="nil"/>
              <w:left w:val="single" w:sz="4" w:space="0" w:color="auto"/>
              <w:bottom w:val="nil"/>
              <w:right w:val="single" w:sz="4" w:space="0" w:color="auto"/>
            </w:tcBorders>
            <w:vAlign w:val="bottom"/>
            <w:hideMark/>
          </w:tcPr>
          <w:p w14:paraId="450D10D0"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c>
          <w:tcPr>
            <w:tcW w:w="1428" w:type="dxa"/>
            <w:tcBorders>
              <w:top w:val="nil"/>
              <w:left w:val="single" w:sz="4" w:space="0" w:color="auto"/>
              <w:bottom w:val="nil"/>
              <w:right w:val="single" w:sz="4" w:space="0" w:color="auto"/>
            </w:tcBorders>
            <w:vAlign w:val="bottom"/>
            <w:hideMark/>
          </w:tcPr>
          <w:p w14:paraId="214AD46E"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c>
          <w:tcPr>
            <w:tcW w:w="1323" w:type="dxa"/>
            <w:tcBorders>
              <w:top w:val="nil"/>
              <w:left w:val="single" w:sz="4" w:space="0" w:color="auto"/>
              <w:bottom w:val="nil"/>
              <w:right w:val="single" w:sz="4" w:space="0" w:color="auto"/>
            </w:tcBorders>
            <w:vAlign w:val="bottom"/>
            <w:hideMark/>
          </w:tcPr>
          <w:p w14:paraId="4EC443C5"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c>
          <w:tcPr>
            <w:tcW w:w="1572" w:type="dxa"/>
            <w:tcBorders>
              <w:top w:val="nil"/>
              <w:left w:val="single" w:sz="4" w:space="0" w:color="auto"/>
              <w:bottom w:val="nil"/>
              <w:right w:val="single" w:sz="4" w:space="0" w:color="auto"/>
            </w:tcBorders>
            <w:vAlign w:val="bottom"/>
            <w:hideMark/>
          </w:tcPr>
          <w:p w14:paraId="5A68C52A"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c>
          <w:tcPr>
            <w:tcW w:w="1262" w:type="dxa"/>
            <w:tcBorders>
              <w:top w:val="nil"/>
              <w:left w:val="single" w:sz="4" w:space="0" w:color="auto"/>
              <w:bottom w:val="nil"/>
              <w:right w:val="single" w:sz="4" w:space="0" w:color="auto"/>
            </w:tcBorders>
            <w:vAlign w:val="bottom"/>
            <w:hideMark/>
          </w:tcPr>
          <w:p w14:paraId="0060CBFB"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c>
          <w:tcPr>
            <w:tcW w:w="1309" w:type="dxa"/>
            <w:tcBorders>
              <w:top w:val="nil"/>
              <w:left w:val="single" w:sz="4" w:space="0" w:color="auto"/>
              <w:bottom w:val="nil"/>
              <w:right w:val="single" w:sz="4" w:space="0" w:color="auto"/>
            </w:tcBorders>
            <w:vAlign w:val="bottom"/>
            <w:hideMark/>
          </w:tcPr>
          <w:p w14:paraId="1C7E08FE" w14:textId="77777777" w:rsidR="00F11B00" w:rsidRPr="00A65A1A" w:rsidRDefault="00F11B00" w:rsidP="007019FE">
            <w:pPr>
              <w:jc w:val="center"/>
              <w:rPr>
                <w:rFonts w:cs="Arial"/>
                <w:b/>
                <w:bCs/>
                <w:color w:val="000000"/>
                <w:sz w:val="20"/>
                <w:szCs w:val="20"/>
              </w:rPr>
            </w:pPr>
            <w:r w:rsidRPr="00A65A1A">
              <w:rPr>
                <w:rFonts w:cs="Arial"/>
                <w:b/>
                <w:bCs/>
                <w:color w:val="000000"/>
                <w:sz w:val="20"/>
                <w:szCs w:val="20"/>
              </w:rPr>
              <w:t xml:space="preserve">      £’000</w:t>
            </w:r>
          </w:p>
        </w:tc>
      </w:tr>
      <w:tr w:rsidR="00F11B00" w:rsidRPr="00A65A1A" w14:paraId="70744A17" w14:textId="77777777" w:rsidTr="00BD0E86">
        <w:trPr>
          <w:trHeight w:val="435"/>
          <w:jc w:val="center"/>
        </w:trPr>
        <w:tc>
          <w:tcPr>
            <w:tcW w:w="880" w:type="dxa"/>
            <w:tcBorders>
              <w:top w:val="single" w:sz="4" w:space="0" w:color="auto"/>
              <w:left w:val="single" w:sz="4" w:space="0" w:color="auto"/>
              <w:bottom w:val="single" w:sz="4" w:space="0" w:color="auto"/>
              <w:right w:val="single" w:sz="4" w:space="0" w:color="auto"/>
            </w:tcBorders>
            <w:noWrap/>
            <w:vAlign w:val="bottom"/>
            <w:hideMark/>
          </w:tcPr>
          <w:p w14:paraId="6BFADBAE" w14:textId="77777777" w:rsidR="00F11B00" w:rsidRPr="00A65A1A" w:rsidRDefault="00F11B00" w:rsidP="007019FE">
            <w:pPr>
              <w:jc w:val="center"/>
              <w:rPr>
                <w:rFonts w:cs="Arial"/>
                <w:color w:val="000000"/>
                <w:sz w:val="22"/>
                <w:szCs w:val="22"/>
              </w:rPr>
            </w:pPr>
            <w:r w:rsidRPr="00A65A1A">
              <w:rPr>
                <w:rFonts w:cs="Arial"/>
                <w:color w:val="000000"/>
                <w:sz w:val="22"/>
                <w:szCs w:val="22"/>
              </w:rPr>
              <w:t>Notes</w:t>
            </w:r>
          </w:p>
        </w:tc>
        <w:tc>
          <w:tcPr>
            <w:tcW w:w="1378" w:type="dxa"/>
            <w:tcBorders>
              <w:top w:val="single" w:sz="4" w:space="0" w:color="auto"/>
              <w:left w:val="single" w:sz="4" w:space="0" w:color="auto"/>
              <w:bottom w:val="single" w:sz="4" w:space="0" w:color="auto"/>
              <w:right w:val="single" w:sz="4" w:space="0" w:color="auto"/>
            </w:tcBorders>
            <w:noWrap/>
            <w:vAlign w:val="bottom"/>
            <w:hideMark/>
          </w:tcPr>
          <w:p w14:paraId="11CA9707" w14:textId="77777777" w:rsidR="00F11B00" w:rsidRPr="00A65A1A" w:rsidRDefault="00F11B00" w:rsidP="007019FE">
            <w:pPr>
              <w:jc w:val="center"/>
              <w:rPr>
                <w:rFonts w:cs="Arial"/>
                <w:color w:val="000000"/>
                <w:sz w:val="22"/>
                <w:szCs w:val="22"/>
              </w:rPr>
            </w:pPr>
          </w:p>
        </w:tc>
        <w:tc>
          <w:tcPr>
            <w:tcW w:w="1369" w:type="dxa"/>
            <w:tcBorders>
              <w:top w:val="single" w:sz="4" w:space="0" w:color="auto"/>
              <w:left w:val="single" w:sz="4" w:space="0" w:color="auto"/>
              <w:bottom w:val="single" w:sz="4" w:space="0" w:color="auto"/>
              <w:right w:val="single" w:sz="4" w:space="0" w:color="auto"/>
            </w:tcBorders>
            <w:noWrap/>
            <w:vAlign w:val="center"/>
            <w:hideMark/>
          </w:tcPr>
          <w:p w14:paraId="2410A1EA" w14:textId="77777777" w:rsidR="00F11B00" w:rsidRPr="00A65A1A" w:rsidRDefault="00F11B00" w:rsidP="007019FE">
            <w:pPr>
              <w:rPr>
                <w:rFonts w:ascii="Times New Roman" w:hAnsi="Times New Roman"/>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2D205497" w14:textId="77777777" w:rsidR="00F11B00" w:rsidRPr="00A65A1A" w:rsidRDefault="00F11B00" w:rsidP="007019FE">
            <w:pPr>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C5A02BD" w14:textId="77777777" w:rsidR="00F11B00" w:rsidRPr="00A65A1A" w:rsidRDefault="00F11B00" w:rsidP="007019FE">
            <w:pPr>
              <w:jc w:val="center"/>
              <w:rPr>
                <w:rFonts w:ascii="Times New Roman" w:hAnsi="Times New Roman"/>
                <w:sz w:val="20"/>
                <w:szCs w:val="20"/>
              </w:rPr>
            </w:pP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3427FD5A" w14:textId="77777777" w:rsidR="00F11B00" w:rsidRPr="00A65A1A" w:rsidRDefault="00F11B00" w:rsidP="007019FE">
            <w:pPr>
              <w:jc w:val="center"/>
              <w:rPr>
                <w:rFonts w:ascii="Times New Roman" w:hAnsi="Times New Roman"/>
                <w:sz w:val="20"/>
                <w:szCs w:val="20"/>
              </w:rPr>
            </w:pPr>
          </w:p>
        </w:tc>
        <w:tc>
          <w:tcPr>
            <w:tcW w:w="1262" w:type="dxa"/>
            <w:tcBorders>
              <w:top w:val="single" w:sz="4" w:space="0" w:color="auto"/>
              <w:left w:val="single" w:sz="4" w:space="0" w:color="auto"/>
              <w:bottom w:val="single" w:sz="4" w:space="0" w:color="auto"/>
              <w:right w:val="single" w:sz="4" w:space="0" w:color="auto"/>
            </w:tcBorders>
            <w:noWrap/>
            <w:vAlign w:val="center"/>
            <w:hideMark/>
          </w:tcPr>
          <w:p w14:paraId="7D2F46B9" w14:textId="77777777" w:rsidR="00F11B00" w:rsidRPr="00A65A1A" w:rsidRDefault="00F11B00" w:rsidP="007019FE">
            <w:pPr>
              <w:jc w:val="center"/>
              <w:rPr>
                <w:rFonts w:ascii="Times New Roman" w:hAnsi="Times New Roman"/>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9B93007" w14:textId="77777777" w:rsidR="00F11B00" w:rsidRPr="00A65A1A" w:rsidRDefault="00F11B00" w:rsidP="007019FE">
            <w:pPr>
              <w:jc w:val="center"/>
              <w:rPr>
                <w:rFonts w:ascii="Times New Roman" w:hAnsi="Times New Roman"/>
                <w:sz w:val="20"/>
                <w:szCs w:val="20"/>
              </w:rPr>
            </w:pPr>
          </w:p>
        </w:tc>
      </w:tr>
      <w:tr w:rsidR="00F11B00" w:rsidRPr="00A65A1A" w14:paraId="193D0E69" w14:textId="77777777" w:rsidTr="00BD0E86">
        <w:trPr>
          <w:trHeight w:val="615"/>
          <w:jc w:val="center"/>
        </w:trPr>
        <w:tc>
          <w:tcPr>
            <w:tcW w:w="880" w:type="dxa"/>
            <w:tcBorders>
              <w:top w:val="single" w:sz="4" w:space="0" w:color="auto"/>
              <w:left w:val="single" w:sz="4" w:space="0" w:color="auto"/>
              <w:bottom w:val="single" w:sz="4" w:space="0" w:color="auto"/>
              <w:right w:val="single" w:sz="4" w:space="0" w:color="auto"/>
            </w:tcBorders>
            <w:noWrap/>
            <w:vAlign w:val="bottom"/>
            <w:hideMark/>
          </w:tcPr>
          <w:p w14:paraId="384B547C" w14:textId="514051D0" w:rsidR="00F11B00" w:rsidRPr="00A65A1A" w:rsidRDefault="00181709" w:rsidP="007019FE">
            <w:pPr>
              <w:jc w:val="right"/>
              <w:rPr>
                <w:rFonts w:cs="Arial"/>
                <w:b/>
                <w:bCs/>
                <w:color w:val="000000"/>
              </w:rPr>
            </w:pPr>
            <w:r>
              <w:rPr>
                <w:rFonts w:cs="Arial"/>
                <w:b/>
                <w:bCs/>
                <w:color w:val="000000"/>
              </w:rPr>
              <w:t>4</w:t>
            </w:r>
            <w:r w:rsidR="00F11B00" w:rsidRPr="00A65A1A">
              <w:rPr>
                <w:rFonts w:cs="Arial"/>
                <w:b/>
                <w:bCs/>
                <w:color w:val="000000"/>
              </w:rPr>
              <w:t>.1</w:t>
            </w:r>
          </w:p>
        </w:tc>
        <w:tc>
          <w:tcPr>
            <w:tcW w:w="1378" w:type="dxa"/>
            <w:tcBorders>
              <w:top w:val="single" w:sz="4" w:space="0" w:color="auto"/>
              <w:left w:val="single" w:sz="4" w:space="0" w:color="auto"/>
              <w:bottom w:val="single" w:sz="4" w:space="0" w:color="auto"/>
              <w:right w:val="single" w:sz="4" w:space="0" w:color="auto"/>
            </w:tcBorders>
            <w:vAlign w:val="bottom"/>
            <w:hideMark/>
          </w:tcPr>
          <w:p w14:paraId="3CF4E3E7" w14:textId="77777777" w:rsidR="00F11B00" w:rsidRPr="00A65A1A" w:rsidRDefault="00F11B00" w:rsidP="007019FE">
            <w:pPr>
              <w:jc w:val="center"/>
              <w:rPr>
                <w:rFonts w:cs="Arial"/>
                <w:color w:val="000000"/>
              </w:rPr>
            </w:pPr>
            <w:r w:rsidRPr="00A65A1A">
              <w:rPr>
                <w:rFonts w:cs="Arial"/>
                <w:color w:val="000000"/>
              </w:rPr>
              <w:t>Early Years block</w:t>
            </w:r>
          </w:p>
        </w:tc>
        <w:tc>
          <w:tcPr>
            <w:tcW w:w="1369" w:type="dxa"/>
            <w:tcBorders>
              <w:top w:val="single" w:sz="4" w:space="0" w:color="auto"/>
              <w:left w:val="single" w:sz="4" w:space="0" w:color="auto"/>
              <w:bottom w:val="single" w:sz="4" w:space="0" w:color="auto"/>
              <w:right w:val="single" w:sz="4" w:space="0" w:color="auto"/>
            </w:tcBorders>
            <w:vAlign w:val="bottom"/>
          </w:tcPr>
          <w:p w14:paraId="19D7DA01" w14:textId="77777777" w:rsidR="00F11B00" w:rsidRPr="00A65A1A" w:rsidRDefault="00AA7CA5" w:rsidP="007019FE">
            <w:pPr>
              <w:jc w:val="right"/>
              <w:rPr>
                <w:rFonts w:cs="Arial"/>
                <w:bCs/>
                <w:color w:val="000000"/>
              </w:rPr>
            </w:pPr>
            <w:r w:rsidRPr="00A65A1A">
              <w:rPr>
                <w:rFonts w:cs="Arial"/>
                <w:bCs/>
                <w:color w:val="000000"/>
              </w:rPr>
              <w:t>22,223</w:t>
            </w:r>
          </w:p>
        </w:tc>
        <w:tc>
          <w:tcPr>
            <w:tcW w:w="1428" w:type="dxa"/>
            <w:tcBorders>
              <w:top w:val="single" w:sz="4" w:space="0" w:color="auto"/>
              <w:left w:val="single" w:sz="4" w:space="0" w:color="auto"/>
              <w:bottom w:val="single" w:sz="4" w:space="0" w:color="auto"/>
              <w:right w:val="single" w:sz="4" w:space="0" w:color="auto"/>
            </w:tcBorders>
            <w:vAlign w:val="bottom"/>
          </w:tcPr>
          <w:p w14:paraId="08D31DFA" w14:textId="77777777" w:rsidR="00F11B00" w:rsidRPr="00A65A1A" w:rsidRDefault="008A12DB" w:rsidP="007019FE">
            <w:pPr>
              <w:jc w:val="right"/>
              <w:rPr>
                <w:rFonts w:cs="Arial"/>
                <w:bCs/>
                <w:color w:val="000000"/>
              </w:rPr>
            </w:pPr>
            <w:r w:rsidRPr="00A65A1A">
              <w:rPr>
                <w:rFonts w:cs="Arial"/>
                <w:bCs/>
                <w:color w:val="000000"/>
              </w:rPr>
              <w:t>-</w:t>
            </w:r>
          </w:p>
        </w:tc>
        <w:tc>
          <w:tcPr>
            <w:tcW w:w="1323" w:type="dxa"/>
            <w:tcBorders>
              <w:top w:val="single" w:sz="4" w:space="0" w:color="auto"/>
              <w:left w:val="single" w:sz="4" w:space="0" w:color="auto"/>
              <w:bottom w:val="single" w:sz="4" w:space="0" w:color="auto"/>
              <w:right w:val="single" w:sz="4" w:space="0" w:color="auto"/>
            </w:tcBorders>
            <w:vAlign w:val="bottom"/>
          </w:tcPr>
          <w:p w14:paraId="2631A97B" w14:textId="77777777" w:rsidR="00F11B00" w:rsidRPr="00A65A1A" w:rsidRDefault="008A12DB" w:rsidP="007019FE">
            <w:pPr>
              <w:jc w:val="right"/>
              <w:rPr>
                <w:rFonts w:cs="Arial"/>
                <w:bCs/>
                <w:color w:val="000000"/>
              </w:rPr>
            </w:pPr>
            <w:r w:rsidRPr="00A65A1A">
              <w:rPr>
                <w:rFonts w:cs="Arial"/>
                <w:bCs/>
                <w:color w:val="000000"/>
              </w:rPr>
              <w:t>-</w:t>
            </w:r>
          </w:p>
        </w:tc>
        <w:tc>
          <w:tcPr>
            <w:tcW w:w="1572" w:type="dxa"/>
            <w:tcBorders>
              <w:top w:val="single" w:sz="4" w:space="0" w:color="auto"/>
              <w:left w:val="single" w:sz="4" w:space="0" w:color="auto"/>
              <w:bottom w:val="single" w:sz="4" w:space="0" w:color="auto"/>
              <w:right w:val="single" w:sz="4" w:space="0" w:color="auto"/>
            </w:tcBorders>
            <w:vAlign w:val="bottom"/>
          </w:tcPr>
          <w:p w14:paraId="5A3FAD39" w14:textId="77777777" w:rsidR="00F11B00" w:rsidRPr="00A65A1A" w:rsidRDefault="00AA7CA5" w:rsidP="007019FE">
            <w:pPr>
              <w:jc w:val="right"/>
              <w:rPr>
                <w:rFonts w:cs="Arial"/>
                <w:bCs/>
                <w:color w:val="000000"/>
              </w:rPr>
            </w:pPr>
            <w:r w:rsidRPr="00A65A1A">
              <w:rPr>
                <w:rFonts w:cs="Arial"/>
                <w:bCs/>
                <w:color w:val="000000"/>
              </w:rPr>
              <w:t>22,223</w:t>
            </w:r>
          </w:p>
        </w:tc>
        <w:tc>
          <w:tcPr>
            <w:tcW w:w="1262" w:type="dxa"/>
            <w:tcBorders>
              <w:top w:val="single" w:sz="4" w:space="0" w:color="auto"/>
              <w:left w:val="single" w:sz="4" w:space="0" w:color="auto"/>
              <w:bottom w:val="single" w:sz="4" w:space="0" w:color="auto"/>
              <w:right w:val="single" w:sz="4" w:space="0" w:color="auto"/>
            </w:tcBorders>
            <w:vAlign w:val="bottom"/>
          </w:tcPr>
          <w:p w14:paraId="57E53FDE" w14:textId="77777777" w:rsidR="00F11B00" w:rsidRPr="00A65A1A" w:rsidRDefault="008A12DB" w:rsidP="007019FE">
            <w:pPr>
              <w:jc w:val="right"/>
              <w:rPr>
                <w:rFonts w:cs="Arial"/>
                <w:bCs/>
                <w:color w:val="000000"/>
              </w:rPr>
            </w:pPr>
            <w:r w:rsidRPr="00A65A1A">
              <w:rPr>
                <w:rFonts w:cs="Arial"/>
                <w:bCs/>
                <w:color w:val="000000"/>
              </w:rPr>
              <w:t>-</w:t>
            </w:r>
          </w:p>
        </w:tc>
        <w:tc>
          <w:tcPr>
            <w:tcW w:w="1309" w:type="dxa"/>
            <w:tcBorders>
              <w:top w:val="single" w:sz="4" w:space="0" w:color="auto"/>
              <w:left w:val="single" w:sz="4" w:space="0" w:color="auto"/>
              <w:bottom w:val="single" w:sz="4" w:space="0" w:color="auto"/>
              <w:right w:val="single" w:sz="4" w:space="0" w:color="auto"/>
            </w:tcBorders>
            <w:vAlign w:val="bottom"/>
          </w:tcPr>
          <w:p w14:paraId="10D01186" w14:textId="77777777" w:rsidR="00F11B00" w:rsidRPr="00A65A1A" w:rsidRDefault="008A12DB" w:rsidP="007019FE">
            <w:pPr>
              <w:jc w:val="right"/>
              <w:rPr>
                <w:rFonts w:cs="Arial"/>
                <w:bCs/>
                <w:color w:val="000000"/>
              </w:rPr>
            </w:pPr>
            <w:r w:rsidRPr="00A65A1A">
              <w:rPr>
                <w:rFonts w:cs="Arial"/>
                <w:bCs/>
                <w:color w:val="000000"/>
              </w:rPr>
              <w:t>22,223</w:t>
            </w:r>
          </w:p>
        </w:tc>
      </w:tr>
      <w:tr w:rsidR="00F11B00" w:rsidRPr="00A65A1A" w14:paraId="2F029BDA" w14:textId="77777777" w:rsidTr="00BD0E86">
        <w:trPr>
          <w:trHeight w:val="615"/>
          <w:jc w:val="center"/>
        </w:trPr>
        <w:tc>
          <w:tcPr>
            <w:tcW w:w="880" w:type="dxa"/>
            <w:tcBorders>
              <w:top w:val="single" w:sz="4" w:space="0" w:color="auto"/>
              <w:left w:val="single" w:sz="4" w:space="0" w:color="auto"/>
              <w:bottom w:val="single" w:sz="4" w:space="0" w:color="auto"/>
              <w:right w:val="single" w:sz="4" w:space="0" w:color="auto"/>
            </w:tcBorders>
            <w:noWrap/>
            <w:vAlign w:val="bottom"/>
            <w:hideMark/>
          </w:tcPr>
          <w:p w14:paraId="565E859F" w14:textId="2B8F8117" w:rsidR="00F11B00" w:rsidRPr="00A65A1A" w:rsidRDefault="00181709" w:rsidP="007019FE">
            <w:pPr>
              <w:jc w:val="right"/>
              <w:rPr>
                <w:rFonts w:cs="Arial"/>
                <w:b/>
                <w:bCs/>
                <w:color w:val="000000"/>
              </w:rPr>
            </w:pPr>
            <w:r>
              <w:rPr>
                <w:rFonts w:cs="Arial"/>
                <w:b/>
                <w:bCs/>
                <w:color w:val="000000"/>
              </w:rPr>
              <w:t>4</w:t>
            </w:r>
            <w:r w:rsidR="00F11B00" w:rsidRPr="00A65A1A">
              <w:rPr>
                <w:rFonts w:cs="Arial"/>
                <w:b/>
                <w:bCs/>
                <w:color w:val="000000"/>
              </w:rPr>
              <w:t>.2</w:t>
            </w:r>
          </w:p>
        </w:tc>
        <w:tc>
          <w:tcPr>
            <w:tcW w:w="1378" w:type="dxa"/>
            <w:tcBorders>
              <w:top w:val="single" w:sz="4" w:space="0" w:color="auto"/>
              <w:left w:val="single" w:sz="4" w:space="0" w:color="auto"/>
              <w:bottom w:val="single" w:sz="4" w:space="0" w:color="auto"/>
              <w:right w:val="single" w:sz="4" w:space="0" w:color="auto"/>
            </w:tcBorders>
            <w:vAlign w:val="bottom"/>
            <w:hideMark/>
          </w:tcPr>
          <w:p w14:paraId="0338F670" w14:textId="77777777" w:rsidR="00F11B00" w:rsidRPr="00A65A1A" w:rsidRDefault="00F11B00" w:rsidP="007019FE">
            <w:pPr>
              <w:jc w:val="center"/>
              <w:rPr>
                <w:rFonts w:cs="Arial"/>
                <w:color w:val="000000"/>
              </w:rPr>
            </w:pPr>
            <w:r w:rsidRPr="00A65A1A">
              <w:rPr>
                <w:rFonts w:cs="Arial"/>
                <w:color w:val="000000"/>
              </w:rPr>
              <w:t xml:space="preserve">High Needs block </w:t>
            </w:r>
          </w:p>
        </w:tc>
        <w:tc>
          <w:tcPr>
            <w:tcW w:w="1369" w:type="dxa"/>
            <w:tcBorders>
              <w:top w:val="single" w:sz="4" w:space="0" w:color="auto"/>
              <w:left w:val="single" w:sz="4" w:space="0" w:color="auto"/>
              <w:bottom w:val="single" w:sz="4" w:space="0" w:color="auto"/>
              <w:right w:val="single" w:sz="4" w:space="0" w:color="auto"/>
            </w:tcBorders>
            <w:vAlign w:val="bottom"/>
          </w:tcPr>
          <w:p w14:paraId="3B52D9B7" w14:textId="3B5811BE" w:rsidR="00F11B00" w:rsidRPr="00A65A1A" w:rsidRDefault="00181709" w:rsidP="007019FE">
            <w:pPr>
              <w:jc w:val="right"/>
              <w:rPr>
                <w:rFonts w:cs="Arial"/>
                <w:bCs/>
                <w:color w:val="000000"/>
              </w:rPr>
            </w:pPr>
            <w:r>
              <w:rPr>
                <w:rFonts w:cs="Arial"/>
                <w:bCs/>
                <w:color w:val="000000"/>
              </w:rPr>
              <w:t>28.097</w:t>
            </w:r>
          </w:p>
        </w:tc>
        <w:tc>
          <w:tcPr>
            <w:tcW w:w="1428" w:type="dxa"/>
            <w:tcBorders>
              <w:top w:val="single" w:sz="4" w:space="0" w:color="auto"/>
              <w:left w:val="single" w:sz="4" w:space="0" w:color="auto"/>
              <w:bottom w:val="single" w:sz="4" w:space="0" w:color="auto"/>
              <w:right w:val="single" w:sz="4" w:space="0" w:color="auto"/>
            </w:tcBorders>
            <w:vAlign w:val="bottom"/>
          </w:tcPr>
          <w:p w14:paraId="74770FB4" w14:textId="3CAD7D51" w:rsidR="00F11B00" w:rsidRPr="00A65A1A" w:rsidRDefault="00F11B00" w:rsidP="007019FE">
            <w:pPr>
              <w:jc w:val="right"/>
              <w:rPr>
                <w:rFonts w:cs="Arial"/>
                <w:bCs/>
                <w:color w:val="000000"/>
              </w:rPr>
            </w:pPr>
          </w:p>
        </w:tc>
        <w:tc>
          <w:tcPr>
            <w:tcW w:w="1323" w:type="dxa"/>
            <w:tcBorders>
              <w:top w:val="single" w:sz="4" w:space="0" w:color="auto"/>
              <w:left w:val="single" w:sz="4" w:space="0" w:color="auto"/>
              <w:bottom w:val="single" w:sz="4" w:space="0" w:color="auto"/>
              <w:right w:val="single" w:sz="4" w:space="0" w:color="auto"/>
            </w:tcBorders>
            <w:vAlign w:val="bottom"/>
          </w:tcPr>
          <w:p w14:paraId="16A27583" w14:textId="66AD575A" w:rsidR="00F11B00" w:rsidRPr="00A65A1A" w:rsidRDefault="00181709" w:rsidP="007019FE">
            <w:pPr>
              <w:jc w:val="right"/>
              <w:rPr>
                <w:rFonts w:cs="Arial"/>
                <w:bCs/>
                <w:color w:val="000000"/>
              </w:rPr>
            </w:pPr>
            <w:r>
              <w:rPr>
                <w:rFonts w:cs="Arial"/>
                <w:bCs/>
                <w:color w:val="000000"/>
              </w:rPr>
              <w:t>2.430</w:t>
            </w:r>
          </w:p>
        </w:tc>
        <w:tc>
          <w:tcPr>
            <w:tcW w:w="1572" w:type="dxa"/>
            <w:tcBorders>
              <w:top w:val="single" w:sz="4" w:space="0" w:color="auto"/>
              <w:left w:val="single" w:sz="4" w:space="0" w:color="auto"/>
              <w:bottom w:val="single" w:sz="4" w:space="0" w:color="auto"/>
              <w:right w:val="single" w:sz="4" w:space="0" w:color="auto"/>
            </w:tcBorders>
            <w:vAlign w:val="bottom"/>
          </w:tcPr>
          <w:p w14:paraId="7182E5A6" w14:textId="6079BC05" w:rsidR="00F11B00" w:rsidRPr="00A65A1A" w:rsidRDefault="00181709" w:rsidP="007019FE">
            <w:pPr>
              <w:jc w:val="right"/>
              <w:rPr>
                <w:rFonts w:cs="Arial"/>
                <w:bCs/>
                <w:color w:val="000000"/>
              </w:rPr>
            </w:pPr>
            <w:r>
              <w:rPr>
                <w:rFonts w:cs="Arial"/>
                <w:bCs/>
                <w:color w:val="000000"/>
              </w:rPr>
              <w:t>25.867</w:t>
            </w:r>
          </w:p>
        </w:tc>
        <w:tc>
          <w:tcPr>
            <w:tcW w:w="1262" w:type="dxa"/>
            <w:tcBorders>
              <w:top w:val="single" w:sz="4" w:space="0" w:color="auto"/>
              <w:left w:val="single" w:sz="4" w:space="0" w:color="auto"/>
              <w:bottom w:val="single" w:sz="4" w:space="0" w:color="auto"/>
              <w:right w:val="single" w:sz="4" w:space="0" w:color="auto"/>
            </w:tcBorders>
            <w:vAlign w:val="bottom"/>
          </w:tcPr>
          <w:p w14:paraId="45B100F3" w14:textId="77777777" w:rsidR="00F11B00" w:rsidRPr="00A65A1A" w:rsidRDefault="008A12DB" w:rsidP="007019FE">
            <w:pPr>
              <w:jc w:val="right"/>
              <w:rPr>
                <w:rFonts w:cs="Arial"/>
                <w:bCs/>
                <w:color w:val="000000"/>
              </w:rPr>
            </w:pPr>
            <w:r w:rsidRPr="00A65A1A">
              <w:rPr>
                <w:rFonts w:cs="Arial"/>
                <w:bCs/>
                <w:color w:val="000000"/>
              </w:rPr>
              <w:t>-</w:t>
            </w:r>
          </w:p>
        </w:tc>
        <w:tc>
          <w:tcPr>
            <w:tcW w:w="1309" w:type="dxa"/>
            <w:tcBorders>
              <w:top w:val="single" w:sz="4" w:space="0" w:color="auto"/>
              <w:left w:val="single" w:sz="4" w:space="0" w:color="auto"/>
              <w:bottom w:val="single" w:sz="4" w:space="0" w:color="auto"/>
              <w:right w:val="single" w:sz="4" w:space="0" w:color="auto"/>
            </w:tcBorders>
            <w:vAlign w:val="bottom"/>
          </w:tcPr>
          <w:p w14:paraId="327E36A1" w14:textId="5B82BDC8" w:rsidR="00F11B00" w:rsidRPr="00A65A1A" w:rsidRDefault="008A12DB" w:rsidP="007019FE">
            <w:pPr>
              <w:jc w:val="right"/>
              <w:rPr>
                <w:rFonts w:cs="Arial"/>
                <w:bCs/>
                <w:color w:val="000000"/>
              </w:rPr>
            </w:pPr>
            <w:r w:rsidRPr="00A65A1A">
              <w:rPr>
                <w:rFonts w:cs="Arial"/>
                <w:bCs/>
                <w:color w:val="000000"/>
              </w:rPr>
              <w:t>25,</w:t>
            </w:r>
            <w:r w:rsidR="00181709">
              <w:rPr>
                <w:rFonts w:cs="Arial"/>
                <w:bCs/>
                <w:color w:val="000000"/>
              </w:rPr>
              <w:t>867</w:t>
            </w:r>
          </w:p>
        </w:tc>
      </w:tr>
      <w:tr w:rsidR="00F11B00" w:rsidRPr="00A65A1A" w14:paraId="40CB2009" w14:textId="77777777" w:rsidTr="00BD0E86">
        <w:trPr>
          <w:trHeight w:val="645"/>
          <w:jc w:val="center"/>
        </w:trPr>
        <w:tc>
          <w:tcPr>
            <w:tcW w:w="880" w:type="dxa"/>
            <w:tcBorders>
              <w:top w:val="single" w:sz="4" w:space="0" w:color="auto"/>
              <w:left w:val="single" w:sz="4" w:space="0" w:color="auto"/>
              <w:bottom w:val="single" w:sz="4" w:space="0" w:color="auto"/>
              <w:right w:val="single" w:sz="4" w:space="0" w:color="auto"/>
            </w:tcBorders>
            <w:noWrap/>
            <w:vAlign w:val="bottom"/>
            <w:hideMark/>
          </w:tcPr>
          <w:p w14:paraId="1221BA1D" w14:textId="41B78F94" w:rsidR="00F11B00" w:rsidRPr="00A65A1A" w:rsidRDefault="00181709" w:rsidP="007019FE">
            <w:pPr>
              <w:jc w:val="right"/>
              <w:rPr>
                <w:rFonts w:cs="Arial"/>
                <w:b/>
                <w:bCs/>
                <w:color w:val="000000"/>
              </w:rPr>
            </w:pPr>
            <w:r>
              <w:rPr>
                <w:rFonts w:cs="Arial"/>
                <w:b/>
                <w:bCs/>
                <w:color w:val="000000"/>
              </w:rPr>
              <w:t>4</w:t>
            </w:r>
            <w:r w:rsidR="00F11B00" w:rsidRPr="00A65A1A">
              <w:rPr>
                <w:rFonts w:cs="Arial"/>
                <w:b/>
                <w:bCs/>
                <w:color w:val="000000"/>
              </w:rPr>
              <w:t>.3</w:t>
            </w:r>
          </w:p>
        </w:tc>
        <w:tc>
          <w:tcPr>
            <w:tcW w:w="1378" w:type="dxa"/>
            <w:tcBorders>
              <w:top w:val="single" w:sz="4" w:space="0" w:color="auto"/>
              <w:left w:val="single" w:sz="4" w:space="0" w:color="auto"/>
              <w:bottom w:val="single" w:sz="4" w:space="0" w:color="auto"/>
              <w:right w:val="single" w:sz="4" w:space="0" w:color="auto"/>
            </w:tcBorders>
            <w:vAlign w:val="bottom"/>
            <w:hideMark/>
          </w:tcPr>
          <w:p w14:paraId="32ED9BB0" w14:textId="77777777" w:rsidR="00F11B00" w:rsidRPr="00A65A1A" w:rsidRDefault="00F11B00" w:rsidP="007019FE">
            <w:pPr>
              <w:jc w:val="center"/>
              <w:rPr>
                <w:rFonts w:cs="Arial"/>
                <w:color w:val="000000"/>
              </w:rPr>
            </w:pPr>
            <w:r w:rsidRPr="00A65A1A">
              <w:rPr>
                <w:rFonts w:cs="Arial"/>
                <w:color w:val="000000"/>
              </w:rPr>
              <w:t>Schools block</w:t>
            </w:r>
          </w:p>
        </w:tc>
        <w:tc>
          <w:tcPr>
            <w:tcW w:w="1369" w:type="dxa"/>
            <w:tcBorders>
              <w:top w:val="single" w:sz="4" w:space="0" w:color="auto"/>
              <w:left w:val="single" w:sz="4" w:space="0" w:color="auto"/>
              <w:bottom w:val="single" w:sz="4" w:space="0" w:color="auto"/>
              <w:right w:val="single" w:sz="4" w:space="0" w:color="auto"/>
            </w:tcBorders>
            <w:vAlign w:val="bottom"/>
          </w:tcPr>
          <w:p w14:paraId="607A8EC5" w14:textId="77777777" w:rsidR="00F11B00" w:rsidRPr="00A65A1A" w:rsidRDefault="00AA7CA5" w:rsidP="007019FE">
            <w:pPr>
              <w:jc w:val="right"/>
              <w:rPr>
                <w:rFonts w:cs="Arial"/>
                <w:bCs/>
                <w:color w:val="000000"/>
              </w:rPr>
            </w:pPr>
            <w:r w:rsidRPr="00A65A1A">
              <w:rPr>
                <w:rFonts w:cs="Arial"/>
                <w:bCs/>
                <w:color w:val="000000"/>
              </w:rPr>
              <w:t>212,261</w:t>
            </w:r>
          </w:p>
        </w:tc>
        <w:tc>
          <w:tcPr>
            <w:tcW w:w="1428" w:type="dxa"/>
            <w:tcBorders>
              <w:top w:val="single" w:sz="4" w:space="0" w:color="auto"/>
              <w:left w:val="single" w:sz="4" w:space="0" w:color="auto"/>
              <w:bottom w:val="single" w:sz="4" w:space="0" w:color="auto"/>
              <w:right w:val="single" w:sz="4" w:space="0" w:color="auto"/>
            </w:tcBorders>
            <w:vAlign w:val="bottom"/>
          </w:tcPr>
          <w:p w14:paraId="58C4019E" w14:textId="77777777" w:rsidR="00F11B00" w:rsidRPr="00A65A1A" w:rsidRDefault="008A12DB" w:rsidP="007019FE">
            <w:pPr>
              <w:jc w:val="right"/>
              <w:rPr>
                <w:rFonts w:cs="Arial"/>
                <w:bCs/>
                <w:color w:val="000000"/>
              </w:rPr>
            </w:pPr>
            <w:r w:rsidRPr="00A65A1A">
              <w:rPr>
                <w:rFonts w:cs="Arial"/>
                <w:bCs/>
                <w:color w:val="000000"/>
              </w:rPr>
              <w:t>44,385</w:t>
            </w:r>
          </w:p>
        </w:tc>
        <w:tc>
          <w:tcPr>
            <w:tcW w:w="1323" w:type="dxa"/>
            <w:tcBorders>
              <w:top w:val="single" w:sz="4" w:space="0" w:color="auto"/>
              <w:left w:val="single" w:sz="4" w:space="0" w:color="auto"/>
              <w:bottom w:val="single" w:sz="4" w:space="0" w:color="auto"/>
              <w:right w:val="single" w:sz="4" w:space="0" w:color="auto"/>
            </w:tcBorders>
            <w:vAlign w:val="bottom"/>
          </w:tcPr>
          <w:p w14:paraId="727EF35F" w14:textId="77777777" w:rsidR="00F11B00" w:rsidRPr="00A65A1A" w:rsidRDefault="00F11B00" w:rsidP="007019FE">
            <w:pPr>
              <w:jc w:val="right"/>
              <w:rPr>
                <w:rFonts w:cs="Arial"/>
                <w:bCs/>
                <w:color w:val="000000"/>
              </w:rPr>
            </w:pPr>
          </w:p>
        </w:tc>
        <w:tc>
          <w:tcPr>
            <w:tcW w:w="1572" w:type="dxa"/>
            <w:tcBorders>
              <w:top w:val="single" w:sz="4" w:space="0" w:color="auto"/>
              <w:left w:val="single" w:sz="4" w:space="0" w:color="auto"/>
              <w:bottom w:val="single" w:sz="4" w:space="0" w:color="auto"/>
              <w:right w:val="single" w:sz="4" w:space="0" w:color="auto"/>
            </w:tcBorders>
            <w:vAlign w:val="bottom"/>
          </w:tcPr>
          <w:p w14:paraId="0B4B6FB6" w14:textId="77777777" w:rsidR="00F11B00" w:rsidRPr="00A65A1A" w:rsidRDefault="00AA7CA5" w:rsidP="007019FE">
            <w:pPr>
              <w:jc w:val="right"/>
              <w:rPr>
                <w:rFonts w:cs="Arial"/>
                <w:bCs/>
                <w:color w:val="000000"/>
              </w:rPr>
            </w:pPr>
            <w:r w:rsidRPr="00A65A1A">
              <w:rPr>
                <w:rFonts w:cs="Arial"/>
                <w:bCs/>
                <w:color w:val="000000"/>
              </w:rPr>
              <w:t>167,876</w:t>
            </w:r>
          </w:p>
        </w:tc>
        <w:tc>
          <w:tcPr>
            <w:tcW w:w="1262" w:type="dxa"/>
            <w:tcBorders>
              <w:top w:val="single" w:sz="4" w:space="0" w:color="auto"/>
              <w:left w:val="single" w:sz="4" w:space="0" w:color="auto"/>
              <w:bottom w:val="single" w:sz="4" w:space="0" w:color="auto"/>
              <w:right w:val="single" w:sz="4" w:space="0" w:color="auto"/>
            </w:tcBorders>
            <w:vAlign w:val="bottom"/>
          </w:tcPr>
          <w:p w14:paraId="680957AE" w14:textId="77777777" w:rsidR="00F11B00" w:rsidRPr="00A65A1A" w:rsidRDefault="008A12DB" w:rsidP="007019FE">
            <w:pPr>
              <w:jc w:val="right"/>
              <w:rPr>
                <w:rFonts w:cs="Arial"/>
                <w:bCs/>
                <w:color w:val="000000"/>
              </w:rPr>
            </w:pPr>
            <w:r w:rsidRPr="00A65A1A">
              <w:rPr>
                <w:rFonts w:cs="Arial"/>
                <w:bCs/>
                <w:color w:val="000000"/>
              </w:rPr>
              <w:t>-</w:t>
            </w:r>
          </w:p>
        </w:tc>
        <w:tc>
          <w:tcPr>
            <w:tcW w:w="1309" w:type="dxa"/>
            <w:tcBorders>
              <w:top w:val="single" w:sz="4" w:space="0" w:color="auto"/>
              <w:left w:val="single" w:sz="4" w:space="0" w:color="auto"/>
              <w:bottom w:val="single" w:sz="4" w:space="0" w:color="auto"/>
              <w:right w:val="single" w:sz="4" w:space="0" w:color="auto"/>
            </w:tcBorders>
            <w:vAlign w:val="bottom"/>
          </w:tcPr>
          <w:p w14:paraId="4975A1C0" w14:textId="77777777" w:rsidR="00F11B00" w:rsidRPr="00A65A1A" w:rsidRDefault="008A12DB" w:rsidP="007019FE">
            <w:pPr>
              <w:jc w:val="right"/>
              <w:rPr>
                <w:rFonts w:cs="Arial"/>
                <w:bCs/>
                <w:color w:val="000000"/>
              </w:rPr>
            </w:pPr>
            <w:r w:rsidRPr="00A65A1A">
              <w:rPr>
                <w:rFonts w:cs="Arial"/>
                <w:bCs/>
                <w:color w:val="000000"/>
              </w:rPr>
              <w:t>167,876</w:t>
            </w:r>
          </w:p>
        </w:tc>
      </w:tr>
      <w:tr w:rsidR="009D6D7B" w:rsidRPr="00A65A1A" w14:paraId="2680B047" w14:textId="77777777" w:rsidTr="00BD0E86">
        <w:trPr>
          <w:trHeight w:val="645"/>
          <w:jc w:val="center"/>
        </w:trPr>
        <w:tc>
          <w:tcPr>
            <w:tcW w:w="880" w:type="dxa"/>
            <w:tcBorders>
              <w:top w:val="single" w:sz="4" w:space="0" w:color="auto"/>
              <w:left w:val="single" w:sz="4" w:space="0" w:color="auto"/>
              <w:bottom w:val="single" w:sz="4" w:space="0" w:color="auto"/>
              <w:right w:val="single" w:sz="4" w:space="0" w:color="auto"/>
            </w:tcBorders>
            <w:noWrap/>
            <w:vAlign w:val="bottom"/>
          </w:tcPr>
          <w:p w14:paraId="4B98D894" w14:textId="3A0BE626" w:rsidR="009D6D7B" w:rsidRPr="00A65A1A" w:rsidRDefault="00181709" w:rsidP="007019FE">
            <w:pPr>
              <w:jc w:val="right"/>
              <w:rPr>
                <w:rFonts w:cs="Arial"/>
                <w:b/>
                <w:bCs/>
                <w:color w:val="000000"/>
              </w:rPr>
            </w:pPr>
            <w:r>
              <w:rPr>
                <w:rFonts w:cs="Arial"/>
                <w:b/>
                <w:bCs/>
                <w:color w:val="000000"/>
              </w:rPr>
              <w:t>4</w:t>
            </w:r>
            <w:r w:rsidR="009D6D7B" w:rsidRPr="00A65A1A">
              <w:rPr>
                <w:rFonts w:cs="Arial"/>
                <w:b/>
                <w:bCs/>
                <w:color w:val="000000"/>
              </w:rPr>
              <w:t>.4</w:t>
            </w:r>
          </w:p>
        </w:tc>
        <w:tc>
          <w:tcPr>
            <w:tcW w:w="1378" w:type="dxa"/>
            <w:tcBorders>
              <w:top w:val="single" w:sz="4" w:space="0" w:color="auto"/>
              <w:left w:val="single" w:sz="4" w:space="0" w:color="auto"/>
              <w:bottom w:val="single" w:sz="4" w:space="0" w:color="auto"/>
              <w:right w:val="single" w:sz="4" w:space="0" w:color="auto"/>
            </w:tcBorders>
            <w:vAlign w:val="bottom"/>
          </w:tcPr>
          <w:p w14:paraId="41B98167" w14:textId="77777777" w:rsidR="009D6D7B" w:rsidRPr="00A65A1A" w:rsidRDefault="009D6D7B" w:rsidP="007019FE">
            <w:pPr>
              <w:jc w:val="center"/>
              <w:rPr>
                <w:rFonts w:cs="Arial"/>
                <w:color w:val="000000"/>
              </w:rPr>
            </w:pPr>
            <w:r w:rsidRPr="00A65A1A">
              <w:rPr>
                <w:rFonts w:cs="Arial"/>
                <w:color w:val="000000"/>
              </w:rPr>
              <w:t>Central Schools Services Block</w:t>
            </w:r>
          </w:p>
        </w:tc>
        <w:tc>
          <w:tcPr>
            <w:tcW w:w="1369" w:type="dxa"/>
            <w:tcBorders>
              <w:top w:val="single" w:sz="4" w:space="0" w:color="auto"/>
              <w:left w:val="single" w:sz="4" w:space="0" w:color="auto"/>
              <w:bottom w:val="single" w:sz="4" w:space="0" w:color="auto"/>
              <w:right w:val="single" w:sz="4" w:space="0" w:color="auto"/>
            </w:tcBorders>
            <w:vAlign w:val="bottom"/>
          </w:tcPr>
          <w:p w14:paraId="04A62BE1" w14:textId="77777777" w:rsidR="009D6D7B" w:rsidRPr="00A65A1A" w:rsidRDefault="00AA7CA5" w:rsidP="007019FE">
            <w:pPr>
              <w:jc w:val="right"/>
              <w:rPr>
                <w:rFonts w:cs="Arial"/>
                <w:bCs/>
                <w:color w:val="000000"/>
              </w:rPr>
            </w:pPr>
            <w:r w:rsidRPr="00A65A1A">
              <w:rPr>
                <w:rFonts w:cs="Arial"/>
                <w:bCs/>
                <w:color w:val="000000"/>
              </w:rPr>
              <w:t>2,559</w:t>
            </w:r>
          </w:p>
        </w:tc>
        <w:tc>
          <w:tcPr>
            <w:tcW w:w="1428" w:type="dxa"/>
            <w:tcBorders>
              <w:top w:val="single" w:sz="4" w:space="0" w:color="auto"/>
              <w:left w:val="single" w:sz="4" w:space="0" w:color="auto"/>
              <w:bottom w:val="single" w:sz="4" w:space="0" w:color="auto"/>
              <w:right w:val="single" w:sz="4" w:space="0" w:color="auto"/>
            </w:tcBorders>
            <w:vAlign w:val="bottom"/>
          </w:tcPr>
          <w:p w14:paraId="75EE19F2" w14:textId="77777777" w:rsidR="009D6D7B" w:rsidRPr="00A65A1A" w:rsidRDefault="008A12DB" w:rsidP="007019FE">
            <w:pPr>
              <w:jc w:val="right"/>
              <w:rPr>
                <w:rFonts w:cs="Arial"/>
                <w:bCs/>
                <w:color w:val="000000"/>
              </w:rPr>
            </w:pPr>
            <w:r w:rsidRPr="00A65A1A">
              <w:rPr>
                <w:rFonts w:cs="Arial"/>
                <w:bCs/>
                <w:color w:val="000000"/>
              </w:rPr>
              <w:t>-</w:t>
            </w:r>
          </w:p>
        </w:tc>
        <w:tc>
          <w:tcPr>
            <w:tcW w:w="1323" w:type="dxa"/>
            <w:tcBorders>
              <w:top w:val="single" w:sz="4" w:space="0" w:color="auto"/>
              <w:left w:val="single" w:sz="4" w:space="0" w:color="auto"/>
              <w:bottom w:val="single" w:sz="4" w:space="0" w:color="auto"/>
              <w:right w:val="single" w:sz="4" w:space="0" w:color="auto"/>
            </w:tcBorders>
            <w:vAlign w:val="bottom"/>
          </w:tcPr>
          <w:p w14:paraId="4A66567E" w14:textId="77777777" w:rsidR="009D6D7B" w:rsidRPr="00A65A1A" w:rsidRDefault="009D6D7B" w:rsidP="007019FE">
            <w:pPr>
              <w:jc w:val="right"/>
              <w:rPr>
                <w:rFonts w:cs="Arial"/>
                <w:bCs/>
                <w:color w:val="000000"/>
              </w:rPr>
            </w:pPr>
          </w:p>
        </w:tc>
        <w:tc>
          <w:tcPr>
            <w:tcW w:w="1572" w:type="dxa"/>
            <w:tcBorders>
              <w:top w:val="single" w:sz="4" w:space="0" w:color="auto"/>
              <w:left w:val="single" w:sz="4" w:space="0" w:color="auto"/>
              <w:bottom w:val="single" w:sz="4" w:space="0" w:color="auto"/>
              <w:right w:val="single" w:sz="4" w:space="0" w:color="auto"/>
            </w:tcBorders>
            <w:vAlign w:val="bottom"/>
          </w:tcPr>
          <w:p w14:paraId="53110A19" w14:textId="77777777" w:rsidR="009D6D7B" w:rsidRPr="00A65A1A" w:rsidRDefault="00AA7CA5" w:rsidP="007019FE">
            <w:pPr>
              <w:jc w:val="right"/>
              <w:rPr>
                <w:rFonts w:cs="Arial"/>
                <w:bCs/>
                <w:color w:val="000000"/>
              </w:rPr>
            </w:pPr>
            <w:r w:rsidRPr="00A65A1A">
              <w:rPr>
                <w:rFonts w:cs="Arial"/>
                <w:bCs/>
                <w:color w:val="000000"/>
              </w:rPr>
              <w:t>2,559</w:t>
            </w:r>
          </w:p>
        </w:tc>
        <w:tc>
          <w:tcPr>
            <w:tcW w:w="1262" w:type="dxa"/>
            <w:tcBorders>
              <w:top w:val="single" w:sz="4" w:space="0" w:color="auto"/>
              <w:left w:val="single" w:sz="4" w:space="0" w:color="auto"/>
              <w:bottom w:val="single" w:sz="4" w:space="0" w:color="auto"/>
              <w:right w:val="single" w:sz="4" w:space="0" w:color="auto"/>
            </w:tcBorders>
            <w:vAlign w:val="bottom"/>
          </w:tcPr>
          <w:p w14:paraId="4FBD3141" w14:textId="77777777" w:rsidR="009D6D7B" w:rsidRPr="00A65A1A" w:rsidRDefault="008A12DB" w:rsidP="007019FE">
            <w:pPr>
              <w:jc w:val="right"/>
              <w:rPr>
                <w:rFonts w:cs="Arial"/>
                <w:bCs/>
                <w:color w:val="000000"/>
              </w:rPr>
            </w:pPr>
            <w:r w:rsidRPr="00A65A1A">
              <w:rPr>
                <w:rFonts w:cs="Arial"/>
                <w:bCs/>
                <w:color w:val="000000"/>
              </w:rPr>
              <w:t>-</w:t>
            </w:r>
          </w:p>
        </w:tc>
        <w:tc>
          <w:tcPr>
            <w:tcW w:w="1309" w:type="dxa"/>
            <w:tcBorders>
              <w:top w:val="single" w:sz="4" w:space="0" w:color="auto"/>
              <w:left w:val="single" w:sz="4" w:space="0" w:color="auto"/>
              <w:bottom w:val="single" w:sz="4" w:space="0" w:color="auto"/>
              <w:right w:val="single" w:sz="4" w:space="0" w:color="auto"/>
            </w:tcBorders>
            <w:vAlign w:val="bottom"/>
          </w:tcPr>
          <w:p w14:paraId="28177217" w14:textId="77777777" w:rsidR="009D6D7B" w:rsidRPr="00A65A1A" w:rsidRDefault="008A12DB" w:rsidP="007019FE">
            <w:pPr>
              <w:jc w:val="right"/>
              <w:rPr>
                <w:rFonts w:cs="Arial"/>
                <w:bCs/>
                <w:color w:val="000000"/>
              </w:rPr>
            </w:pPr>
            <w:r w:rsidRPr="00A65A1A">
              <w:rPr>
                <w:rFonts w:cs="Arial"/>
                <w:bCs/>
                <w:color w:val="000000"/>
              </w:rPr>
              <w:t>2,559</w:t>
            </w:r>
          </w:p>
        </w:tc>
      </w:tr>
      <w:tr w:rsidR="00F11B00" w:rsidRPr="00A65A1A" w14:paraId="3A62E42E" w14:textId="77777777" w:rsidTr="00BD0E86">
        <w:trPr>
          <w:trHeight w:val="315"/>
          <w:jc w:val="center"/>
        </w:trPr>
        <w:tc>
          <w:tcPr>
            <w:tcW w:w="880" w:type="dxa"/>
            <w:tcBorders>
              <w:top w:val="nil"/>
              <w:left w:val="nil"/>
              <w:bottom w:val="nil"/>
              <w:right w:val="nil"/>
            </w:tcBorders>
            <w:noWrap/>
            <w:vAlign w:val="bottom"/>
            <w:hideMark/>
          </w:tcPr>
          <w:p w14:paraId="31F7580E" w14:textId="77777777" w:rsidR="00F11B00" w:rsidRPr="00A65A1A" w:rsidRDefault="00F11B00" w:rsidP="007019FE">
            <w:pPr>
              <w:jc w:val="right"/>
              <w:rPr>
                <w:rFonts w:cs="Arial"/>
                <w:b/>
                <w:bCs/>
                <w:color w:val="000000"/>
              </w:rPr>
            </w:pPr>
          </w:p>
        </w:tc>
        <w:tc>
          <w:tcPr>
            <w:tcW w:w="1378" w:type="dxa"/>
            <w:tcBorders>
              <w:top w:val="single" w:sz="4" w:space="0" w:color="auto"/>
              <w:left w:val="single" w:sz="4" w:space="0" w:color="auto"/>
              <w:bottom w:val="single" w:sz="4" w:space="0" w:color="auto"/>
              <w:right w:val="single" w:sz="4" w:space="0" w:color="auto"/>
            </w:tcBorders>
            <w:vAlign w:val="bottom"/>
            <w:hideMark/>
          </w:tcPr>
          <w:p w14:paraId="78F9D6C4" w14:textId="77777777" w:rsidR="00F11B00" w:rsidRPr="00A65A1A" w:rsidRDefault="00F11B00" w:rsidP="007019FE">
            <w:pPr>
              <w:jc w:val="center"/>
              <w:rPr>
                <w:rFonts w:cs="Arial"/>
                <w:b/>
                <w:bCs/>
                <w:color w:val="000000"/>
              </w:rPr>
            </w:pPr>
            <w:r w:rsidRPr="00A65A1A">
              <w:rPr>
                <w:rFonts w:cs="Arial"/>
                <w:b/>
                <w:bCs/>
                <w:color w:val="000000"/>
              </w:rPr>
              <w:t>TOTAL</w:t>
            </w:r>
          </w:p>
        </w:tc>
        <w:tc>
          <w:tcPr>
            <w:tcW w:w="1369" w:type="dxa"/>
            <w:tcBorders>
              <w:top w:val="single" w:sz="4" w:space="0" w:color="auto"/>
              <w:left w:val="single" w:sz="4" w:space="0" w:color="auto"/>
              <w:bottom w:val="single" w:sz="4" w:space="0" w:color="auto"/>
              <w:right w:val="single" w:sz="4" w:space="0" w:color="auto"/>
            </w:tcBorders>
            <w:vAlign w:val="bottom"/>
          </w:tcPr>
          <w:p w14:paraId="23B11A8F" w14:textId="75892149" w:rsidR="00F11B00" w:rsidRPr="00A65A1A" w:rsidRDefault="008A12DB" w:rsidP="007019FE">
            <w:pPr>
              <w:jc w:val="right"/>
              <w:rPr>
                <w:rFonts w:cs="Arial"/>
                <w:b/>
                <w:bCs/>
                <w:color w:val="000000"/>
              </w:rPr>
            </w:pPr>
            <w:r w:rsidRPr="00A65A1A">
              <w:rPr>
                <w:rFonts w:cs="Arial"/>
                <w:b/>
                <w:bCs/>
                <w:color w:val="000000"/>
              </w:rPr>
              <w:t>265,14</w:t>
            </w:r>
            <w:r w:rsidR="00181709">
              <w:rPr>
                <w:rFonts w:cs="Arial"/>
                <w:b/>
                <w:bCs/>
                <w:color w:val="000000"/>
              </w:rPr>
              <w:t>0</w:t>
            </w:r>
          </w:p>
        </w:tc>
        <w:tc>
          <w:tcPr>
            <w:tcW w:w="1428" w:type="dxa"/>
            <w:tcBorders>
              <w:top w:val="single" w:sz="4" w:space="0" w:color="auto"/>
              <w:left w:val="single" w:sz="4" w:space="0" w:color="auto"/>
              <w:bottom w:val="single" w:sz="4" w:space="0" w:color="auto"/>
              <w:right w:val="single" w:sz="4" w:space="0" w:color="auto"/>
            </w:tcBorders>
            <w:vAlign w:val="bottom"/>
          </w:tcPr>
          <w:p w14:paraId="5C54B571" w14:textId="77777777" w:rsidR="00F11B00" w:rsidRPr="00A65A1A" w:rsidRDefault="008A12DB" w:rsidP="007019FE">
            <w:pPr>
              <w:jc w:val="right"/>
              <w:rPr>
                <w:rFonts w:cs="Arial"/>
                <w:b/>
                <w:bCs/>
                <w:color w:val="000000"/>
              </w:rPr>
            </w:pPr>
            <w:r w:rsidRPr="00A65A1A">
              <w:rPr>
                <w:rFonts w:cs="Arial"/>
                <w:b/>
                <w:bCs/>
                <w:color w:val="000000"/>
              </w:rPr>
              <w:t>44,385</w:t>
            </w:r>
          </w:p>
        </w:tc>
        <w:tc>
          <w:tcPr>
            <w:tcW w:w="1323" w:type="dxa"/>
            <w:tcBorders>
              <w:top w:val="single" w:sz="4" w:space="0" w:color="auto"/>
              <w:left w:val="single" w:sz="4" w:space="0" w:color="auto"/>
              <w:bottom w:val="single" w:sz="4" w:space="0" w:color="auto"/>
              <w:right w:val="single" w:sz="4" w:space="0" w:color="auto"/>
            </w:tcBorders>
            <w:vAlign w:val="bottom"/>
          </w:tcPr>
          <w:p w14:paraId="38C1938E" w14:textId="28CED36C" w:rsidR="00F11B00" w:rsidRPr="00A65A1A" w:rsidRDefault="008A12DB" w:rsidP="007019FE">
            <w:pPr>
              <w:jc w:val="right"/>
              <w:rPr>
                <w:rFonts w:cs="Arial"/>
                <w:b/>
                <w:bCs/>
                <w:color w:val="000000"/>
              </w:rPr>
            </w:pPr>
            <w:r w:rsidRPr="00A65A1A">
              <w:rPr>
                <w:rFonts w:cs="Arial"/>
                <w:b/>
                <w:bCs/>
                <w:color w:val="000000"/>
              </w:rPr>
              <w:t>2,</w:t>
            </w:r>
            <w:r w:rsidR="00181709">
              <w:rPr>
                <w:rFonts w:cs="Arial"/>
                <w:b/>
                <w:bCs/>
                <w:color w:val="000000"/>
              </w:rPr>
              <w:t>430</w:t>
            </w:r>
          </w:p>
        </w:tc>
        <w:tc>
          <w:tcPr>
            <w:tcW w:w="1572" w:type="dxa"/>
            <w:tcBorders>
              <w:top w:val="single" w:sz="4" w:space="0" w:color="auto"/>
              <w:left w:val="single" w:sz="4" w:space="0" w:color="auto"/>
              <w:bottom w:val="single" w:sz="4" w:space="0" w:color="auto"/>
              <w:right w:val="single" w:sz="4" w:space="0" w:color="auto"/>
            </w:tcBorders>
            <w:vAlign w:val="bottom"/>
          </w:tcPr>
          <w:p w14:paraId="754690D0" w14:textId="2191B146" w:rsidR="00F11B00" w:rsidRPr="00A65A1A" w:rsidRDefault="008A12DB" w:rsidP="007019FE">
            <w:pPr>
              <w:jc w:val="right"/>
              <w:rPr>
                <w:rFonts w:cs="Arial"/>
                <w:b/>
                <w:bCs/>
                <w:color w:val="000000"/>
              </w:rPr>
            </w:pPr>
            <w:r w:rsidRPr="00A65A1A">
              <w:rPr>
                <w:rFonts w:cs="Arial"/>
                <w:b/>
                <w:bCs/>
                <w:color w:val="000000"/>
              </w:rPr>
              <w:t>218,</w:t>
            </w:r>
            <w:r w:rsidR="00181709">
              <w:rPr>
                <w:rFonts w:cs="Arial"/>
                <w:b/>
                <w:bCs/>
                <w:color w:val="000000"/>
              </w:rPr>
              <w:t>524</w:t>
            </w:r>
          </w:p>
        </w:tc>
        <w:tc>
          <w:tcPr>
            <w:tcW w:w="1262" w:type="dxa"/>
            <w:tcBorders>
              <w:top w:val="single" w:sz="4" w:space="0" w:color="auto"/>
              <w:left w:val="single" w:sz="4" w:space="0" w:color="auto"/>
              <w:bottom w:val="single" w:sz="4" w:space="0" w:color="auto"/>
              <w:right w:val="single" w:sz="4" w:space="0" w:color="auto"/>
            </w:tcBorders>
            <w:vAlign w:val="bottom"/>
          </w:tcPr>
          <w:p w14:paraId="2F2E80C9" w14:textId="77777777" w:rsidR="00F11B00" w:rsidRPr="00A65A1A" w:rsidRDefault="008A12DB" w:rsidP="007019FE">
            <w:pPr>
              <w:jc w:val="right"/>
              <w:rPr>
                <w:rFonts w:cs="Arial"/>
                <w:b/>
                <w:bCs/>
                <w:color w:val="000000"/>
              </w:rPr>
            </w:pPr>
            <w:r w:rsidRPr="00A65A1A">
              <w:rPr>
                <w:rFonts w:cs="Arial"/>
                <w:b/>
                <w:bCs/>
                <w:color w:val="000000"/>
              </w:rPr>
              <w:t>-</w:t>
            </w:r>
          </w:p>
        </w:tc>
        <w:tc>
          <w:tcPr>
            <w:tcW w:w="1309" w:type="dxa"/>
            <w:tcBorders>
              <w:top w:val="single" w:sz="4" w:space="0" w:color="auto"/>
              <w:left w:val="single" w:sz="4" w:space="0" w:color="auto"/>
              <w:bottom w:val="single" w:sz="4" w:space="0" w:color="auto"/>
              <w:right w:val="single" w:sz="4" w:space="0" w:color="auto"/>
            </w:tcBorders>
            <w:vAlign w:val="bottom"/>
          </w:tcPr>
          <w:p w14:paraId="260F775D" w14:textId="6D4A9881" w:rsidR="00F11B00" w:rsidRPr="00A65A1A" w:rsidRDefault="008A12DB" w:rsidP="007019FE">
            <w:pPr>
              <w:jc w:val="right"/>
              <w:rPr>
                <w:rFonts w:cs="Arial"/>
                <w:b/>
                <w:bCs/>
                <w:color w:val="000000"/>
              </w:rPr>
            </w:pPr>
            <w:r w:rsidRPr="00A65A1A">
              <w:rPr>
                <w:rFonts w:cs="Arial"/>
                <w:b/>
                <w:bCs/>
                <w:color w:val="000000"/>
              </w:rPr>
              <w:t>218,</w:t>
            </w:r>
            <w:r w:rsidR="00181709">
              <w:rPr>
                <w:rFonts w:cs="Arial"/>
                <w:b/>
                <w:bCs/>
                <w:color w:val="000000"/>
              </w:rPr>
              <w:t>524</w:t>
            </w:r>
          </w:p>
        </w:tc>
      </w:tr>
    </w:tbl>
    <w:p w14:paraId="7ED897CB" w14:textId="77777777" w:rsidR="00F11B00" w:rsidRPr="00A65A1A" w:rsidRDefault="00F11B00" w:rsidP="00294D66">
      <w:pPr>
        <w:ind w:left="1429" w:hanging="709"/>
        <w:rPr>
          <w:rFonts w:cs="Arial"/>
        </w:rPr>
      </w:pPr>
    </w:p>
    <w:p w14:paraId="564433D7" w14:textId="77777777" w:rsidR="00067F01" w:rsidRPr="00A65A1A" w:rsidRDefault="00067F01" w:rsidP="006A0F95"/>
    <w:p w14:paraId="1185AAEE" w14:textId="77777777" w:rsidR="00DE1A11" w:rsidRPr="00A65A1A" w:rsidRDefault="00DE1A11" w:rsidP="00A940DD">
      <w:pPr>
        <w:pStyle w:val="ListParagraph"/>
        <w:numPr>
          <w:ilvl w:val="1"/>
          <w:numId w:val="2"/>
        </w:numPr>
        <w:tabs>
          <w:tab w:val="clear" w:pos="360"/>
        </w:tabs>
        <w:ind w:left="567" w:hanging="567"/>
      </w:pPr>
      <w:r w:rsidRPr="00A65A1A">
        <w:t xml:space="preserve">Local Authorities are allocated Early Years funding on the basis of indicative pupil numbers.  Actual allocations are then adjusted retrospectively the following financial year on basis actual headcounts.  In 2017/18, the actual pupil numbers were less than the indicative numbers used to allocate the funding and as a result there is expected to be a clawback by the DfE.  Local Authorities would be advised of these adjustments in due course. </w:t>
      </w:r>
    </w:p>
    <w:p w14:paraId="4FFB2E8C" w14:textId="77777777" w:rsidR="00A940DD" w:rsidRPr="00A65A1A" w:rsidRDefault="00A940DD" w:rsidP="00A940DD">
      <w:pPr>
        <w:pStyle w:val="ListParagraph"/>
        <w:ind w:left="567" w:hanging="567"/>
      </w:pPr>
    </w:p>
    <w:p w14:paraId="723592A3" w14:textId="61C9710A" w:rsidR="00A940DD" w:rsidRPr="00A65A1A" w:rsidRDefault="00A940DD" w:rsidP="00A940DD">
      <w:pPr>
        <w:pStyle w:val="ListParagraph"/>
        <w:numPr>
          <w:ilvl w:val="1"/>
          <w:numId w:val="2"/>
        </w:numPr>
        <w:tabs>
          <w:tab w:val="clear" w:pos="360"/>
        </w:tabs>
        <w:ind w:left="567" w:hanging="567"/>
      </w:pPr>
      <w:r w:rsidRPr="00A65A1A">
        <w:t>The High Needs deduction of £2,</w:t>
      </w:r>
      <w:r w:rsidR="00181709">
        <w:t>430</w:t>
      </w:r>
      <w:r w:rsidRPr="00A65A1A">
        <w:t>K relates to direct place funding of places by the Education Schools Funding Agency (ESFA).  This is in respect of high need places at academies commissioned by the local authorities and place funding for post-16.</w:t>
      </w:r>
    </w:p>
    <w:p w14:paraId="0C4778FE" w14:textId="77777777" w:rsidR="00A940DD" w:rsidRPr="00A65A1A" w:rsidRDefault="00A940DD" w:rsidP="00A940DD">
      <w:pPr>
        <w:pStyle w:val="ListParagraph"/>
        <w:ind w:left="567" w:hanging="567"/>
      </w:pPr>
    </w:p>
    <w:p w14:paraId="2CF972D4" w14:textId="77777777" w:rsidR="00826DB7" w:rsidRPr="00A65A1A" w:rsidRDefault="00A940DD" w:rsidP="00826DB7">
      <w:pPr>
        <w:pStyle w:val="ListParagraph"/>
        <w:numPr>
          <w:ilvl w:val="1"/>
          <w:numId w:val="2"/>
        </w:numPr>
        <w:tabs>
          <w:tab w:val="clear" w:pos="360"/>
        </w:tabs>
        <w:ind w:left="567" w:hanging="567"/>
      </w:pPr>
      <w:r w:rsidRPr="00A65A1A">
        <w:t>Funding for academies are recouped from the DSG as these establishments receive funding direct from the ESFA.  There is likely to be other minor in-year adjustments in respect of rates and growth funding</w:t>
      </w:r>
      <w:r w:rsidR="002B51C7" w:rsidRPr="00A65A1A">
        <w:t xml:space="preserve"> adjustments for academies that are not captured in the Authority Performa Toolkit (APT)</w:t>
      </w:r>
    </w:p>
    <w:p w14:paraId="78B6FE96" w14:textId="77777777" w:rsidR="00826DB7" w:rsidRPr="00A65A1A" w:rsidRDefault="00826DB7" w:rsidP="00826DB7">
      <w:pPr>
        <w:pStyle w:val="ListParagraph"/>
        <w:rPr>
          <w:sz w:val="23"/>
          <w:szCs w:val="23"/>
        </w:rPr>
      </w:pPr>
    </w:p>
    <w:p w14:paraId="1F51BCF3" w14:textId="77777777" w:rsidR="002B51C7" w:rsidRPr="00A65A1A" w:rsidRDefault="002B51C7" w:rsidP="00826DB7">
      <w:pPr>
        <w:pStyle w:val="ListParagraph"/>
        <w:numPr>
          <w:ilvl w:val="1"/>
          <w:numId w:val="2"/>
        </w:numPr>
        <w:tabs>
          <w:tab w:val="clear" w:pos="360"/>
        </w:tabs>
        <w:ind w:left="567" w:hanging="567"/>
      </w:pPr>
      <w:r w:rsidRPr="00A65A1A">
        <w:rPr>
          <w:sz w:val="23"/>
          <w:szCs w:val="23"/>
        </w:rPr>
        <w:t xml:space="preserve">The Central School Services Block (CSSB) was introduced in 2018 to 2019, to fund local authorities for the statutory duties they hold for both maintained schools, and academies. It brings together funding previously allocated through the retained duties element of the education services grant (ESG), and funding for ongoing central functions, such as admissions, previously top-sliced from the </w:t>
      </w:r>
      <w:proofErr w:type="gramStart"/>
      <w:r w:rsidRPr="00A65A1A">
        <w:rPr>
          <w:sz w:val="23"/>
          <w:szCs w:val="23"/>
        </w:rPr>
        <w:t>schools</w:t>
      </w:r>
      <w:proofErr w:type="gramEnd"/>
      <w:r w:rsidRPr="00A65A1A">
        <w:rPr>
          <w:sz w:val="23"/>
          <w:szCs w:val="23"/>
        </w:rPr>
        <w:t xml:space="preserve"> block, and residual funding for historic commitments, previously top-sliced from the schools block</w:t>
      </w:r>
      <w:r w:rsidR="00826DB7" w:rsidRPr="00A65A1A">
        <w:rPr>
          <w:sz w:val="23"/>
          <w:szCs w:val="23"/>
        </w:rPr>
        <w:t>.</w:t>
      </w:r>
    </w:p>
    <w:p w14:paraId="1DCA84E1" w14:textId="77777777" w:rsidR="00826DB7" w:rsidRDefault="00826DB7" w:rsidP="00826DB7">
      <w:pPr>
        <w:pStyle w:val="ListParagraph"/>
      </w:pPr>
    </w:p>
    <w:p w14:paraId="7D5873F7" w14:textId="77777777" w:rsidR="00F416AE" w:rsidRPr="00A65A1A" w:rsidRDefault="0035103D" w:rsidP="0035103D">
      <w:pPr>
        <w:pStyle w:val="ListParagraph"/>
        <w:numPr>
          <w:ilvl w:val="0"/>
          <w:numId w:val="2"/>
        </w:numPr>
        <w:jc w:val="both"/>
        <w:rPr>
          <w:rFonts w:cs="Arial"/>
          <w:b/>
        </w:rPr>
      </w:pPr>
      <w:r w:rsidRPr="00A65A1A">
        <w:rPr>
          <w:rFonts w:cs="Arial"/>
          <w:b/>
        </w:rPr>
        <w:t>Falling Rolls</w:t>
      </w:r>
    </w:p>
    <w:p w14:paraId="4565CED4" w14:textId="77777777" w:rsidR="0035103D" w:rsidRPr="00BD0E86" w:rsidRDefault="0035103D" w:rsidP="00BD0E86">
      <w:pPr>
        <w:pStyle w:val="ListParagraph"/>
        <w:ind w:left="567"/>
      </w:pPr>
    </w:p>
    <w:p w14:paraId="6DBC7DD8" w14:textId="77777777" w:rsidR="00BD0E86" w:rsidRDefault="0068027C" w:rsidP="00BD0E86">
      <w:pPr>
        <w:pStyle w:val="ListParagraph"/>
        <w:numPr>
          <w:ilvl w:val="1"/>
          <w:numId w:val="2"/>
        </w:numPr>
        <w:tabs>
          <w:tab w:val="clear" w:pos="360"/>
        </w:tabs>
        <w:ind w:left="567" w:hanging="567"/>
      </w:pPr>
      <w:r w:rsidRPr="00034204">
        <w:t xml:space="preserve">Schools Forum recommended that a </w:t>
      </w:r>
      <w:r w:rsidR="00357988" w:rsidRPr="00034204">
        <w:t xml:space="preserve">sub group </w:t>
      </w:r>
      <w:r w:rsidRPr="00034204">
        <w:t>meet to consider the issues faced by schools experiencing falling rolls. Meetings of this sub group have taken place since January 2018. Scott Halliwell (chair of this sub group) will pr</w:t>
      </w:r>
      <w:r w:rsidR="009129B6">
        <w:t xml:space="preserve">ovide a </w:t>
      </w:r>
      <w:r w:rsidR="00A65A1A" w:rsidRPr="00BD0E86">
        <w:t xml:space="preserve">verbal update </w:t>
      </w:r>
      <w:r w:rsidR="009129B6">
        <w:t xml:space="preserve">to </w:t>
      </w:r>
      <w:r w:rsidRPr="00034204">
        <w:t xml:space="preserve">Schools Forum on </w:t>
      </w:r>
      <w:r w:rsidR="009129B6">
        <w:t xml:space="preserve">areas discussed and issues identified by </w:t>
      </w:r>
      <w:r w:rsidRPr="00034204">
        <w:t xml:space="preserve">schools </w:t>
      </w:r>
      <w:r w:rsidR="00BE608F">
        <w:t>e</w:t>
      </w:r>
      <w:r w:rsidRPr="00034204">
        <w:t xml:space="preserve">ffected </w:t>
      </w:r>
      <w:r w:rsidR="009129B6">
        <w:t>by falling rolls</w:t>
      </w:r>
      <w:r w:rsidR="00353EE6">
        <w:t xml:space="preserve">. The proposal put forward at Schools Forum in March 2018 was to </w:t>
      </w:r>
      <w:r w:rsidR="00F55768">
        <w:lastRenderedPageBreak/>
        <w:t>prepare a strategic plan of implementing a temporary reduction in PAN</w:t>
      </w:r>
      <w:r w:rsidR="00353EE6">
        <w:t xml:space="preserve"> which would </w:t>
      </w:r>
      <w:r w:rsidR="00F55768">
        <w:t xml:space="preserve">inform the admissions for 2019/20 (using October 2018 census). </w:t>
      </w:r>
    </w:p>
    <w:p w14:paraId="7334B7B5" w14:textId="77777777" w:rsidR="00BD0E86" w:rsidRDefault="00BD0E86" w:rsidP="00BD0E86">
      <w:pPr>
        <w:pStyle w:val="ListParagraph"/>
        <w:ind w:left="567"/>
      </w:pPr>
    </w:p>
    <w:p w14:paraId="48789EDA" w14:textId="77777777" w:rsidR="00BD0E86" w:rsidRDefault="00A65A1A" w:rsidP="00BD0E86">
      <w:pPr>
        <w:pStyle w:val="ListParagraph"/>
        <w:numPr>
          <w:ilvl w:val="1"/>
          <w:numId w:val="2"/>
        </w:numPr>
        <w:tabs>
          <w:tab w:val="clear" w:pos="360"/>
        </w:tabs>
        <w:ind w:left="567" w:hanging="567"/>
      </w:pPr>
      <w:r>
        <w:t xml:space="preserve">However as a </w:t>
      </w:r>
      <w:proofErr w:type="gramStart"/>
      <w:r>
        <w:t>short term</w:t>
      </w:r>
      <w:proofErr w:type="gramEnd"/>
      <w:r>
        <w:t xml:space="preserve"> measure</w:t>
      </w:r>
      <w:r w:rsidR="00BD0E86">
        <w:t xml:space="preserve"> for 2018/19 </w:t>
      </w:r>
      <w:r>
        <w:t xml:space="preserve"> it is proposed to set up a fund for schools experiencing short term financial difficulties as a result of a temporary fall in roll.  This will be funded as additional funding rather than a loan.  This be come from the brought forward growth fund and it is proposed to </w:t>
      </w:r>
      <w:r w:rsidRPr="00BD0E86">
        <w:rPr>
          <w:b/>
        </w:rPr>
        <w:t>allocate up to £300k</w:t>
      </w:r>
      <w:r>
        <w:t xml:space="preserve"> for this purpose.  </w:t>
      </w:r>
    </w:p>
    <w:p w14:paraId="5672F406" w14:textId="77777777" w:rsidR="00BD0E86" w:rsidRDefault="00BD0E86" w:rsidP="00BD0E86">
      <w:pPr>
        <w:pStyle w:val="ListParagraph"/>
      </w:pPr>
    </w:p>
    <w:p w14:paraId="13087A6D" w14:textId="77777777" w:rsidR="00A65A1A" w:rsidRDefault="00A65A1A" w:rsidP="00BD0E86">
      <w:pPr>
        <w:pStyle w:val="ListParagraph"/>
        <w:numPr>
          <w:ilvl w:val="1"/>
          <w:numId w:val="2"/>
        </w:numPr>
        <w:tabs>
          <w:tab w:val="clear" w:pos="360"/>
        </w:tabs>
        <w:ind w:left="567" w:hanging="567"/>
      </w:pPr>
      <w:r>
        <w:t>The proposed criteria are as follows:</w:t>
      </w:r>
    </w:p>
    <w:p w14:paraId="474D5ED2" w14:textId="77777777" w:rsidR="003379E5" w:rsidRDefault="003379E5" w:rsidP="003379E5">
      <w:pPr>
        <w:pStyle w:val="ListParagraph"/>
        <w:numPr>
          <w:ilvl w:val="0"/>
          <w:numId w:val="35"/>
        </w:numPr>
      </w:pPr>
      <w:r>
        <w:t>Only good or outstanding schools (this is a DfE requirement)</w:t>
      </w:r>
    </w:p>
    <w:p w14:paraId="7E3B731B" w14:textId="77777777" w:rsidR="003379E5" w:rsidRDefault="003379E5" w:rsidP="003379E5">
      <w:pPr>
        <w:pStyle w:val="ListParagraph"/>
        <w:numPr>
          <w:ilvl w:val="0"/>
          <w:numId w:val="35"/>
        </w:numPr>
      </w:pPr>
      <w:r>
        <w:t xml:space="preserve">Confirmation from the Schools Planning team that numbers are expected to rise again within three years.  This is expected to be the case for all schools in the local area.  </w:t>
      </w:r>
    </w:p>
    <w:p w14:paraId="49BBC453" w14:textId="77777777" w:rsidR="003379E5" w:rsidRDefault="003379E5" w:rsidP="003379E5">
      <w:pPr>
        <w:pStyle w:val="ListParagraph"/>
        <w:numPr>
          <w:ilvl w:val="0"/>
          <w:numId w:val="35"/>
        </w:numPr>
      </w:pPr>
      <w:r>
        <w:t>A significant reduction in numbers on roll (see below for more information)</w:t>
      </w:r>
    </w:p>
    <w:p w14:paraId="4367852F" w14:textId="77777777" w:rsidR="003379E5" w:rsidRDefault="003379E5" w:rsidP="003379E5">
      <w:pPr>
        <w:pStyle w:val="ListParagraph"/>
        <w:numPr>
          <w:ilvl w:val="0"/>
          <w:numId w:val="35"/>
        </w:numPr>
      </w:pPr>
      <w:r>
        <w:t>Either school balances are below a minimum of 3%</w:t>
      </w:r>
    </w:p>
    <w:p w14:paraId="756D3E87" w14:textId="77777777" w:rsidR="003379E5" w:rsidRDefault="003379E5" w:rsidP="003379E5">
      <w:pPr>
        <w:pStyle w:val="ListParagraph"/>
        <w:numPr>
          <w:ilvl w:val="0"/>
          <w:numId w:val="35"/>
        </w:numPr>
      </w:pPr>
      <w:r>
        <w:t>Or the school can evidence that the existing funding cannot support an appropriate curriculum for the children at the school.</w:t>
      </w:r>
    </w:p>
    <w:p w14:paraId="7B04B4CE" w14:textId="77777777" w:rsidR="003379E5" w:rsidRDefault="003379E5" w:rsidP="003379E5">
      <w:pPr>
        <w:pStyle w:val="ListParagraph"/>
      </w:pPr>
    </w:p>
    <w:p w14:paraId="7E993519" w14:textId="7612F21F" w:rsidR="003379E5" w:rsidRDefault="003379E5" w:rsidP="003379E5">
      <w:pPr>
        <w:pStyle w:val="ListParagraph"/>
        <w:numPr>
          <w:ilvl w:val="1"/>
          <w:numId w:val="2"/>
        </w:numPr>
        <w:tabs>
          <w:tab w:val="clear" w:pos="360"/>
        </w:tabs>
        <w:ind w:left="567" w:hanging="567"/>
      </w:pPr>
      <w:r>
        <w:t>It is proposed that the assistance should mirror the growth fund as a lump sum amount of £68k for one year (or a lesser amount if that would be sufficient to support the curriculum</w:t>
      </w:r>
      <w:r w:rsidR="007668A0">
        <w:t>.)</w:t>
      </w:r>
    </w:p>
    <w:p w14:paraId="5697006F" w14:textId="77777777" w:rsidR="003379E5" w:rsidRDefault="003379E5" w:rsidP="003379E5">
      <w:pPr>
        <w:pStyle w:val="ListParagraph"/>
        <w:ind w:left="567"/>
      </w:pPr>
    </w:p>
    <w:p w14:paraId="79F88201" w14:textId="27D86181" w:rsidR="007922ED" w:rsidRDefault="007922ED" w:rsidP="003379E5">
      <w:pPr>
        <w:pStyle w:val="ListParagraph"/>
        <w:numPr>
          <w:ilvl w:val="1"/>
          <w:numId w:val="2"/>
        </w:numPr>
        <w:tabs>
          <w:tab w:val="clear" w:pos="360"/>
        </w:tabs>
        <w:ind w:left="567" w:hanging="567"/>
      </w:pPr>
      <w:r>
        <w:t xml:space="preserve">It is recommended that the assessment of whether a school can support an appropriate curriculum be delegated to the Schools </w:t>
      </w:r>
      <w:r w:rsidR="007668A0">
        <w:t>Financial Monitoring</w:t>
      </w:r>
      <w:r>
        <w:t xml:space="preserve"> Group as this includes both finance and headteachers.  </w:t>
      </w:r>
    </w:p>
    <w:p w14:paraId="4DA05ED7" w14:textId="77777777" w:rsidR="003379E5" w:rsidRDefault="003379E5" w:rsidP="003379E5">
      <w:pPr>
        <w:pStyle w:val="ListParagraph"/>
      </w:pPr>
    </w:p>
    <w:p w14:paraId="1C634F53" w14:textId="77777777" w:rsidR="003379E5" w:rsidRDefault="003379E5" w:rsidP="003379E5">
      <w:pPr>
        <w:pStyle w:val="ListParagraph"/>
        <w:numPr>
          <w:ilvl w:val="1"/>
          <w:numId w:val="2"/>
        </w:numPr>
        <w:tabs>
          <w:tab w:val="clear" w:pos="360"/>
        </w:tabs>
        <w:ind w:left="567" w:hanging="567"/>
      </w:pPr>
      <w:r>
        <w:t>There are two options for the definition of “a significant reduction” and the opinion of Schools Forum is sought as to which is more relevant.</w:t>
      </w:r>
    </w:p>
    <w:p w14:paraId="28E6E83D" w14:textId="77777777" w:rsidR="003379E5" w:rsidRDefault="003379E5" w:rsidP="003379E5">
      <w:pPr>
        <w:pStyle w:val="ListParagraph"/>
      </w:pPr>
    </w:p>
    <w:p w14:paraId="3D6831C5" w14:textId="77777777" w:rsidR="003379E5" w:rsidRPr="00E16343" w:rsidRDefault="003379E5" w:rsidP="003379E5">
      <w:pPr>
        <w:pStyle w:val="ListParagraph"/>
        <w:numPr>
          <w:ilvl w:val="2"/>
          <w:numId w:val="2"/>
        </w:numPr>
        <w:rPr>
          <w:b/>
        </w:rPr>
      </w:pPr>
      <w:r w:rsidRPr="003379E5">
        <w:rPr>
          <w:b/>
        </w:rPr>
        <w:t xml:space="preserve">Option One </w:t>
      </w:r>
      <w:r>
        <w:rPr>
          <w:b/>
        </w:rPr>
        <w:t xml:space="preserve">- </w:t>
      </w:r>
      <w:r>
        <w:t xml:space="preserve"> where a school has seen a reduction of more than 5% in numbers on roll as measured by the Census except where this is the result of a bulge class having worked through and out (since this should have been planned for.)  </w:t>
      </w:r>
    </w:p>
    <w:p w14:paraId="741DD464" w14:textId="3E101BCF" w:rsidR="003379E5" w:rsidRPr="007668A0" w:rsidRDefault="00E16343" w:rsidP="007668A0">
      <w:pPr>
        <w:pStyle w:val="ListParagraph"/>
        <w:numPr>
          <w:ilvl w:val="2"/>
          <w:numId w:val="2"/>
        </w:numPr>
        <w:rPr>
          <w:b/>
        </w:rPr>
      </w:pPr>
      <w:r>
        <w:rPr>
          <w:b/>
        </w:rPr>
        <w:t xml:space="preserve">Option Two </w:t>
      </w:r>
      <w:r>
        <w:t xml:space="preserve">– where a school has more than </w:t>
      </w:r>
      <w:r w:rsidR="006B37BD">
        <w:t>12% vacancies against their PAN (if in years other than the admissions yea</w:t>
      </w:r>
      <w:r w:rsidR="007668A0">
        <w:t>r</w:t>
      </w:r>
      <w:r w:rsidR="006B37BD">
        <w:t xml:space="preserve"> the nearest number of whole classes will be used rather than the historic PAN.)  </w:t>
      </w:r>
    </w:p>
    <w:p w14:paraId="78FC4F37" w14:textId="77777777" w:rsidR="007922ED" w:rsidRDefault="007922ED" w:rsidP="007922ED">
      <w:pPr>
        <w:pStyle w:val="ListParagraph"/>
      </w:pPr>
    </w:p>
    <w:p w14:paraId="0277F203" w14:textId="4A13C8A7" w:rsidR="007922ED" w:rsidRPr="00B02481" w:rsidRDefault="007922ED" w:rsidP="00B02481">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sidRPr="00B02481">
        <w:rPr>
          <w:rFonts w:cs="Arial"/>
          <w:b/>
          <w:i/>
        </w:rPr>
        <w:t xml:space="preserve">Schools Forum </w:t>
      </w:r>
      <w:r w:rsidR="00181709">
        <w:rPr>
          <w:rFonts w:cs="Arial"/>
          <w:b/>
          <w:i/>
        </w:rPr>
        <w:t>to</w:t>
      </w:r>
      <w:r w:rsidRPr="00B02481">
        <w:rPr>
          <w:rFonts w:cs="Arial"/>
          <w:b/>
          <w:i/>
        </w:rPr>
        <w:t xml:space="preserve"> approve the establishment of a fund of £300k for Schools with Falling Rolls</w:t>
      </w:r>
    </w:p>
    <w:p w14:paraId="4E8C0879" w14:textId="0277FC28" w:rsidR="007922ED" w:rsidRDefault="007922ED" w:rsidP="00B02481">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Pr>
          <w:rFonts w:cs="Arial"/>
          <w:b/>
          <w:i/>
        </w:rPr>
        <w:t>Schools Forum are asked to approve the recommended criteria</w:t>
      </w:r>
    </w:p>
    <w:p w14:paraId="50113FA8" w14:textId="643838CE" w:rsidR="007668A0" w:rsidRDefault="007668A0" w:rsidP="00B02481">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Pr>
          <w:rFonts w:cs="Arial"/>
          <w:b/>
          <w:i/>
        </w:rPr>
        <w:t>Schools Forum are asked to approve the lump sum of £68k</w:t>
      </w:r>
    </w:p>
    <w:p w14:paraId="6D2DEA51" w14:textId="37D6C1BD" w:rsidR="007922ED" w:rsidRPr="00A32B8D" w:rsidRDefault="006B37BD" w:rsidP="007922ED">
      <w:pPr>
        <w:pStyle w:val="ListParagraph"/>
        <w:numPr>
          <w:ilvl w:val="0"/>
          <w:numId w:val="29"/>
        </w:numPr>
        <w:pBdr>
          <w:top w:val="single" w:sz="4" w:space="1" w:color="auto"/>
          <w:left w:val="single" w:sz="4" w:space="4" w:color="auto"/>
          <w:bottom w:val="single" w:sz="4" w:space="1" w:color="auto"/>
          <w:right w:val="single" w:sz="4" w:space="4" w:color="auto"/>
        </w:pBdr>
        <w:jc w:val="both"/>
        <w:rPr>
          <w:rFonts w:cs="Arial"/>
          <w:b/>
          <w:i/>
        </w:rPr>
      </w:pPr>
      <w:r>
        <w:rPr>
          <w:rFonts w:cs="Arial"/>
          <w:b/>
          <w:i/>
        </w:rPr>
        <w:t>Schools Forum are asked to vote on their preferred definition of significant falls</w:t>
      </w:r>
      <w:r w:rsidR="00CD5208">
        <w:rPr>
          <w:rFonts w:cs="Arial"/>
          <w:b/>
          <w:i/>
        </w:rPr>
        <w:t xml:space="preserve"> in rol</w:t>
      </w:r>
      <w:r w:rsidR="007668A0">
        <w:rPr>
          <w:rFonts w:cs="Arial"/>
          <w:b/>
          <w:i/>
        </w:rPr>
        <w:t>l</w:t>
      </w:r>
      <w:r w:rsidR="00CD5208">
        <w:rPr>
          <w:rFonts w:cs="Arial"/>
          <w:b/>
          <w:i/>
        </w:rPr>
        <w:t>s</w:t>
      </w:r>
      <w:r>
        <w:rPr>
          <w:rFonts w:cs="Arial"/>
          <w:b/>
          <w:i/>
        </w:rPr>
        <w:t xml:space="preserve">.  </w:t>
      </w:r>
    </w:p>
    <w:p w14:paraId="15830689" w14:textId="77777777" w:rsidR="00A63AF4" w:rsidRPr="00E906BB" w:rsidRDefault="00A63AF4" w:rsidP="00E906BB">
      <w:pPr>
        <w:pStyle w:val="ListParagraph"/>
        <w:ind w:left="1080"/>
        <w:jc w:val="both"/>
        <w:rPr>
          <w:rFonts w:cs="Arial"/>
        </w:rPr>
      </w:pPr>
    </w:p>
    <w:p w14:paraId="5E9E78D4" w14:textId="77777777" w:rsidR="002F7D9D" w:rsidRDefault="002F7D9D" w:rsidP="006B62D5">
      <w:pPr>
        <w:jc w:val="both"/>
        <w:rPr>
          <w:rFonts w:cs="Arial"/>
        </w:rPr>
      </w:pPr>
      <w:r>
        <w:rPr>
          <w:rFonts w:cs="Arial"/>
        </w:rPr>
        <w:t xml:space="preserve">  </w:t>
      </w:r>
    </w:p>
    <w:p w14:paraId="008E4CAA" w14:textId="4030ECDE" w:rsidR="00743D8E" w:rsidRPr="00743D8E" w:rsidRDefault="007668A0" w:rsidP="001E3036">
      <w:pPr>
        <w:pStyle w:val="Default"/>
        <w:rPr>
          <w:b/>
        </w:rPr>
      </w:pPr>
      <w:r>
        <w:rPr>
          <w:b/>
        </w:rPr>
        <w:t>6</w:t>
      </w:r>
      <w:r w:rsidR="004667B4">
        <w:rPr>
          <w:b/>
        </w:rPr>
        <w:t>.</w:t>
      </w:r>
      <w:r w:rsidR="004667B4">
        <w:rPr>
          <w:b/>
        </w:rPr>
        <w:tab/>
      </w:r>
      <w:r w:rsidR="00B63C58">
        <w:rPr>
          <w:b/>
        </w:rPr>
        <w:t>High Needs</w:t>
      </w:r>
      <w:r w:rsidR="00F14731" w:rsidRPr="00743D8E">
        <w:rPr>
          <w:b/>
        </w:rPr>
        <w:t xml:space="preserve"> Block (HNB) </w:t>
      </w:r>
    </w:p>
    <w:p w14:paraId="6E1FBB98" w14:textId="77777777" w:rsidR="008C063C" w:rsidRDefault="008C063C" w:rsidP="004667B4">
      <w:pPr>
        <w:ind w:left="720" w:hanging="720"/>
        <w:jc w:val="both"/>
      </w:pPr>
    </w:p>
    <w:p w14:paraId="526CAC02" w14:textId="69B7F913" w:rsidR="004D2C7A" w:rsidRDefault="007668A0" w:rsidP="00B63C58">
      <w:pPr>
        <w:ind w:left="720" w:hanging="720"/>
      </w:pPr>
      <w:r>
        <w:t>6</w:t>
      </w:r>
      <w:r w:rsidR="00B63C58">
        <w:t>.1</w:t>
      </w:r>
      <w:r w:rsidR="00B63C58">
        <w:tab/>
        <w:t xml:space="preserve">The High Needs Working Group met </w:t>
      </w:r>
      <w:r w:rsidR="004D2C7A" w:rsidRPr="00B63C58">
        <w:t xml:space="preserve">on </w:t>
      </w:r>
      <w:r w:rsidR="00B63C58" w:rsidRPr="00B63C58">
        <w:t xml:space="preserve">the </w:t>
      </w:r>
      <w:r w:rsidR="00B50A27">
        <w:t>7th</w:t>
      </w:r>
      <w:r w:rsidR="00F11B00">
        <w:t xml:space="preserve"> June</w:t>
      </w:r>
      <w:r w:rsidR="004D2C7A" w:rsidRPr="00B63C58">
        <w:t xml:space="preserve"> and discussed with representatives</w:t>
      </w:r>
      <w:r w:rsidR="00B63C58" w:rsidRPr="00B63C58">
        <w:t xml:space="preserve"> the following:</w:t>
      </w:r>
    </w:p>
    <w:p w14:paraId="2E0F9C6C" w14:textId="77777777" w:rsidR="0051664A" w:rsidRDefault="0051664A" w:rsidP="00B63C58">
      <w:pPr>
        <w:ind w:left="720" w:hanging="720"/>
      </w:pPr>
    </w:p>
    <w:p w14:paraId="27F0B0F4" w14:textId="62E62F49" w:rsidR="007922ED" w:rsidRDefault="007668A0" w:rsidP="00A32B8D">
      <w:pPr>
        <w:ind w:left="720" w:hanging="720"/>
        <w:rPr>
          <w:rFonts w:cs="Arial"/>
        </w:rPr>
      </w:pPr>
      <w:r>
        <w:rPr>
          <w:rFonts w:cs="Arial"/>
          <w:b/>
        </w:rPr>
        <w:lastRenderedPageBreak/>
        <w:t>6</w:t>
      </w:r>
      <w:r w:rsidR="00A32B8D">
        <w:rPr>
          <w:rFonts w:cs="Arial"/>
          <w:b/>
        </w:rPr>
        <w:t>.2</w:t>
      </w:r>
      <w:r w:rsidR="00A32B8D">
        <w:rPr>
          <w:rFonts w:cs="Arial"/>
          <w:b/>
        </w:rPr>
        <w:tab/>
      </w:r>
      <w:r w:rsidR="007922ED">
        <w:rPr>
          <w:rFonts w:cs="Arial"/>
        </w:rPr>
        <w:t>The High Needs block (HNB) sub working group have met twice since the last School Forum, 23</w:t>
      </w:r>
      <w:r w:rsidR="007922ED" w:rsidRPr="00C36EFB">
        <w:rPr>
          <w:rFonts w:cs="Arial"/>
          <w:vertAlign w:val="superscript"/>
        </w:rPr>
        <w:t>rd</w:t>
      </w:r>
      <w:r w:rsidR="007922ED">
        <w:rPr>
          <w:rFonts w:cs="Arial"/>
        </w:rPr>
        <w:t xml:space="preserve"> April 2018 including meeting with relevant budget holders managing HNB budgets plus a detailed meeting 7</w:t>
      </w:r>
      <w:r w:rsidR="007922ED" w:rsidRPr="00C36EFB">
        <w:rPr>
          <w:rFonts w:cs="Arial"/>
          <w:vertAlign w:val="superscript"/>
        </w:rPr>
        <w:t>th</w:t>
      </w:r>
      <w:r w:rsidR="007922ED">
        <w:rPr>
          <w:rFonts w:cs="Arial"/>
        </w:rPr>
        <w:t xml:space="preserve"> June 2018.  The sub working group identified and propose two options for managing the forecast pressures for 2018-19 and subsequent years:</w:t>
      </w:r>
    </w:p>
    <w:p w14:paraId="57C152B0" w14:textId="23A47E89" w:rsidR="00A32B8D" w:rsidRDefault="007668A0" w:rsidP="00A32B8D">
      <w:pPr>
        <w:ind w:left="720" w:hanging="720"/>
        <w:rPr>
          <w:rFonts w:cs="Arial"/>
        </w:rPr>
      </w:pPr>
      <w:r>
        <w:rPr>
          <w:rFonts w:cs="Arial"/>
          <w:b/>
        </w:rPr>
        <w:t>6</w:t>
      </w:r>
      <w:r w:rsidR="00A32B8D">
        <w:rPr>
          <w:rFonts w:cs="Arial"/>
          <w:b/>
        </w:rPr>
        <w:t>.2.1</w:t>
      </w:r>
      <w:r w:rsidR="00A32B8D">
        <w:rPr>
          <w:rFonts w:cs="Arial"/>
          <w:b/>
        </w:rPr>
        <w:tab/>
      </w:r>
      <w:r w:rsidR="007922ED" w:rsidRPr="00E20437">
        <w:rPr>
          <w:rFonts w:cs="Arial"/>
          <w:b/>
        </w:rPr>
        <w:t>Option 1 – do nothing</w:t>
      </w:r>
      <w:r w:rsidR="007922ED">
        <w:rPr>
          <w:rFonts w:cs="Arial"/>
        </w:rPr>
        <w:t xml:space="preserve"> that includes current expenditure forecast of c£2.3m to c£2.5m pressure, use Dedicated School Grant (DSG) reserves to offset overspends this year and subsequent years until all DSG reserves have been utilised, then top slice from schools’ block any future overspend (not met from reserves) but due to the DSG regulations this would exceed the 0.5% allowance, so submit a dis-application request to the Secretary of State for approval in the reporting financial year.</w:t>
      </w:r>
    </w:p>
    <w:p w14:paraId="2E8DFFCF" w14:textId="77777777" w:rsidR="00A32B8D" w:rsidRDefault="00A32B8D" w:rsidP="00A32B8D">
      <w:pPr>
        <w:ind w:left="720" w:hanging="720"/>
        <w:rPr>
          <w:rFonts w:cs="Arial"/>
          <w:b/>
        </w:rPr>
      </w:pPr>
    </w:p>
    <w:p w14:paraId="189B61D2" w14:textId="5636E71D" w:rsidR="007922ED" w:rsidRDefault="007668A0" w:rsidP="00A32B8D">
      <w:pPr>
        <w:ind w:left="720" w:hanging="720"/>
        <w:rPr>
          <w:rFonts w:cs="Arial"/>
        </w:rPr>
      </w:pPr>
      <w:r>
        <w:rPr>
          <w:rFonts w:cs="Arial"/>
          <w:b/>
        </w:rPr>
        <w:t>6</w:t>
      </w:r>
      <w:r w:rsidR="00A32B8D">
        <w:rPr>
          <w:rFonts w:cs="Arial"/>
          <w:b/>
        </w:rPr>
        <w:t>.2.2</w:t>
      </w:r>
      <w:r w:rsidR="00A32B8D">
        <w:rPr>
          <w:rFonts w:cs="Arial"/>
          <w:b/>
        </w:rPr>
        <w:tab/>
      </w:r>
      <w:r w:rsidR="007922ED" w:rsidRPr="007303A5">
        <w:rPr>
          <w:rFonts w:cs="Arial"/>
          <w:b/>
        </w:rPr>
        <w:t xml:space="preserve">Option </w:t>
      </w:r>
      <w:r w:rsidR="007922ED">
        <w:rPr>
          <w:rFonts w:cs="Arial"/>
          <w:b/>
        </w:rPr>
        <w:t>2</w:t>
      </w:r>
      <w:r w:rsidR="007922ED" w:rsidRPr="007303A5">
        <w:rPr>
          <w:rFonts w:cs="Arial"/>
          <w:b/>
        </w:rPr>
        <w:t xml:space="preserve"> – proposed action shopping list</w:t>
      </w:r>
      <w:r w:rsidR="007922ED">
        <w:rPr>
          <w:rFonts w:cs="Arial"/>
          <w:b/>
        </w:rPr>
        <w:t xml:space="preserve"> </w:t>
      </w:r>
      <w:r w:rsidR="007922ED">
        <w:rPr>
          <w:rFonts w:cs="Arial"/>
        </w:rPr>
        <w:t>that reviews some budget areas and changes in some service deliverables:</w:t>
      </w:r>
    </w:p>
    <w:p w14:paraId="1C0482EB" w14:textId="77777777" w:rsidR="007922ED" w:rsidRDefault="007922ED" w:rsidP="007922ED">
      <w:pPr>
        <w:pStyle w:val="ListParagraph"/>
        <w:numPr>
          <w:ilvl w:val="0"/>
          <w:numId w:val="33"/>
        </w:numPr>
        <w:spacing w:after="160" w:line="259" w:lineRule="auto"/>
        <w:contextualSpacing/>
        <w:rPr>
          <w:rFonts w:cs="Arial"/>
        </w:rPr>
      </w:pPr>
      <w:r w:rsidRPr="007303A5">
        <w:rPr>
          <w:rFonts w:cs="Arial"/>
          <w:b/>
        </w:rPr>
        <w:t>Start review of Alternative Provision (AP)</w:t>
      </w:r>
      <w:r w:rsidRPr="007303A5">
        <w:rPr>
          <w:rFonts w:cs="Arial"/>
        </w:rPr>
        <w:t xml:space="preserve"> including children who attend this support and are funded on school census, </w:t>
      </w:r>
      <w:r>
        <w:rPr>
          <w:rFonts w:cs="Arial"/>
        </w:rPr>
        <w:t xml:space="preserve">the </w:t>
      </w:r>
      <w:r w:rsidRPr="007303A5">
        <w:rPr>
          <w:rFonts w:cs="Arial"/>
        </w:rPr>
        <w:t xml:space="preserve">school will be recharged for </w:t>
      </w:r>
      <w:r>
        <w:rPr>
          <w:rFonts w:cs="Arial"/>
        </w:rPr>
        <w:t>Average Weighted Pupil Unit (</w:t>
      </w:r>
      <w:r w:rsidRPr="007303A5">
        <w:rPr>
          <w:rFonts w:cs="Arial"/>
        </w:rPr>
        <w:t>AWPU</w:t>
      </w:r>
      <w:r>
        <w:rPr>
          <w:rFonts w:cs="Arial"/>
        </w:rPr>
        <w:t>)</w:t>
      </w:r>
      <w:r w:rsidRPr="007303A5">
        <w:rPr>
          <w:rFonts w:cs="Arial"/>
        </w:rPr>
        <w:t xml:space="preserve">, plus 20% pupil characteristics, plus </w:t>
      </w:r>
      <w:r>
        <w:rPr>
          <w:rFonts w:cs="Arial"/>
        </w:rPr>
        <w:t>P</w:t>
      </w:r>
      <w:r w:rsidRPr="007303A5">
        <w:rPr>
          <w:rFonts w:cs="Arial"/>
        </w:rPr>
        <w:t xml:space="preserve">upil </w:t>
      </w:r>
      <w:r>
        <w:rPr>
          <w:rFonts w:cs="Arial"/>
        </w:rPr>
        <w:t>P</w:t>
      </w:r>
      <w:r w:rsidRPr="007303A5">
        <w:rPr>
          <w:rFonts w:cs="Arial"/>
        </w:rPr>
        <w:t>remium grant (PPG)</w:t>
      </w:r>
      <w:r w:rsidRPr="007303A5">
        <w:rPr>
          <w:rFonts w:cs="Arial"/>
          <w:i/>
        </w:rPr>
        <w:t xml:space="preserve"> if applicable</w:t>
      </w:r>
      <w:r w:rsidRPr="007303A5">
        <w:rPr>
          <w:rFonts w:cs="Arial"/>
        </w:rPr>
        <w:t xml:space="preserve"> and pro-rota for length of provision provided to the child</w:t>
      </w:r>
      <w:r>
        <w:rPr>
          <w:rFonts w:cs="Arial"/>
        </w:rPr>
        <w:t xml:space="preserve"> (placement) in accordance with school census funding;</w:t>
      </w:r>
    </w:p>
    <w:p w14:paraId="741F2BBD" w14:textId="77777777" w:rsidR="007922ED" w:rsidRDefault="007922ED" w:rsidP="007922ED">
      <w:pPr>
        <w:pStyle w:val="ListParagraph"/>
        <w:numPr>
          <w:ilvl w:val="0"/>
          <w:numId w:val="33"/>
        </w:numPr>
        <w:spacing w:after="160" w:line="259" w:lineRule="auto"/>
        <w:contextualSpacing/>
        <w:rPr>
          <w:rFonts w:cs="Arial"/>
        </w:rPr>
      </w:pPr>
      <w:r>
        <w:rPr>
          <w:rFonts w:cs="Arial"/>
          <w:b/>
        </w:rPr>
        <w:t xml:space="preserve">2% and 4% savings on top up payments </w:t>
      </w:r>
      <w:r>
        <w:rPr>
          <w:rFonts w:cs="Arial"/>
        </w:rPr>
        <w:t>consult with all schools, parents and providers;</w:t>
      </w:r>
    </w:p>
    <w:p w14:paraId="6ADDDE9B" w14:textId="77777777" w:rsidR="007922ED" w:rsidRDefault="007922ED" w:rsidP="007922ED">
      <w:pPr>
        <w:pStyle w:val="ListParagraph"/>
        <w:numPr>
          <w:ilvl w:val="0"/>
          <w:numId w:val="33"/>
        </w:numPr>
        <w:spacing w:after="160" w:line="259" w:lineRule="auto"/>
        <w:contextualSpacing/>
        <w:rPr>
          <w:rFonts w:cs="Arial"/>
        </w:rPr>
      </w:pPr>
      <w:r>
        <w:rPr>
          <w:rFonts w:cs="Arial"/>
          <w:b/>
        </w:rPr>
        <w:t>Establish post16 panel meetings</w:t>
      </w:r>
      <w:r>
        <w:rPr>
          <w:rFonts w:cs="Arial"/>
        </w:rPr>
        <w:t xml:space="preserve"> to align all additional funding decisions in accordance with early years, primary and secondary practices including a full review of post16 current placements;</w:t>
      </w:r>
    </w:p>
    <w:p w14:paraId="5CB1BE58" w14:textId="77777777" w:rsidR="007922ED" w:rsidRDefault="007922ED" w:rsidP="007922ED">
      <w:pPr>
        <w:pStyle w:val="ListParagraph"/>
        <w:numPr>
          <w:ilvl w:val="0"/>
          <w:numId w:val="33"/>
        </w:numPr>
        <w:spacing w:after="160" w:line="259" w:lineRule="auto"/>
        <w:contextualSpacing/>
        <w:rPr>
          <w:rFonts w:cs="Arial"/>
        </w:rPr>
      </w:pPr>
      <w:r>
        <w:rPr>
          <w:rFonts w:cs="Arial"/>
          <w:b/>
        </w:rPr>
        <w:t>Dowry funding allocation (budget)</w:t>
      </w:r>
      <w:r>
        <w:rPr>
          <w:rFonts w:cs="Arial"/>
        </w:rPr>
        <w:t xml:space="preserve"> to transfer to top up panel meetings;</w:t>
      </w:r>
    </w:p>
    <w:p w14:paraId="29E00E50" w14:textId="77777777" w:rsidR="007922ED" w:rsidRDefault="007922ED" w:rsidP="007922ED">
      <w:pPr>
        <w:pStyle w:val="ListParagraph"/>
        <w:numPr>
          <w:ilvl w:val="0"/>
          <w:numId w:val="33"/>
        </w:numPr>
        <w:spacing w:after="160" w:line="259" w:lineRule="auto"/>
        <w:contextualSpacing/>
        <w:rPr>
          <w:rFonts w:cs="Arial"/>
        </w:rPr>
      </w:pPr>
      <w:r>
        <w:rPr>
          <w:rFonts w:cs="Arial"/>
          <w:b/>
        </w:rPr>
        <w:t xml:space="preserve">Out of borough and SEN(D) placements </w:t>
      </w:r>
      <w:r>
        <w:rPr>
          <w:rFonts w:cs="Arial"/>
        </w:rPr>
        <w:t>continue on-going savings and review work;</w:t>
      </w:r>
    </w:p>
    <w:p w14:paraId="1391CC76" w14:textId="77777777" w:rsidR="007922ED" w:rsidRDefault="007922ED" w:rsidP="007922ED">
      <w:pPr>
        <w:pStyle w:val="ListParagraph"/>
        <w:numPr>
          <w:ilvl w:val="0"/>
          <w:numId w:val="33"/>
        </w:numPr>
        <w:spacing w:after="160" w:line="259" w:lineRule="auto"/>
        <w:contextualSpacing/>
        <w:rPr>
          <w:rFonts w:cs="Arial"/>
        </w:rPr>
      </w:pPr>
      <w:r>
        <w:rPr>
          <w:rFonts w:cs="Arial"/>
          <w:b/>
        </w:rPr>
        <w:t xml:space="preserve">Vacant ARP places </w:t>
      </w:r>
      <w:r>
        <w:rPr>
          <w:rFonts w:cs="Arial"/>
        </w:rPr>
        <w:t>review and reduce commissioned unfilled places;</w:t>
      </w:r>
    </w:p>
    <w:p w14:paraId="5B5D8396" w14:textId="77777777" w:rsidR="007922ED" w:rsidRPr="006A4E51" w:rsidRDefault="007922ED" w:rsidP="007922ED">
      <w:pPr>
        <w:pStyle w:val="ListParagraph"/>
        <w:numPr>
          <w:ilvl w:val="0"/>
          <w:numId w:val="33"/>
        </w:numPr>
        <w:spacing w:after="160" w:line="259" w:lineRule="auto"/>
        <w:contextualSpacing/>
        <w:rPr>
          <w:rFonts w:cs="Arial"/>
          <w:b/>
        </w:rPr>
      </w:pPr>
      <w:r w:rsidRPr="006A4E51">
        <w:rPr>
          <w:rFonts w:cs="Arial"/>
          <w:b/>
        </w:rPr>
        <w:t>Free school</w:t>
      </w:r>
      <w:r>
        <w:rPr>
          <w:rFonts w:cs="Arial"/>
        </w:rPr>
        <w:t xml:space="preserve"> opening part year savings with some placements returning to in-borough, and proposed new school opening next academic year to assist and support in year savings on existing and future placements;</w:t>
      </w:r>
    </w:p>
    <w:p w14:paraId="2D8DFE97" w14:textId="77777777" w:rsidR="007922ED" w:rsidRPr="00A32B8D" w:rsidRDefault="007922ED" w:rsidP="007922ED">
      <w:pPr>
        <w:pStyle w:val="ListParagraph"/>
        <w:numPr>
          <w:ilvl w:val="0"/>
          <w:numId w:val="33"/>
        </w:numPr>
        <w:spacing w:after="160" w:line="259" w:lineRule="auto"/>
        <w:contextualSpacing/>
        <w:rPr>
          <w:rFonts w:cs="Arial"/>
          <w:b/>
        </w:rPr>
      </w:pPr>
      <w:r>
        <w:rPr>
          <w:rFonts w:cs="Arial"/>
          <w:b/>
        </w:rPr>
        <w:t>Use DSG switch funding 750k</w:t>
      </w:r>
      <w:r>
        <w:rPr>
          <w:rFonts w:cs="Arial"/>
        </w:rPr>
        <w:t xml:space="preserve"> approved by School forum 16</w:t>
      </w:r>
      <w:r w:rsidRPr="006A4E51">
        <w:rPr>
          <w:rFonts w:cs="Arial"/>
          <w:vertAlign w:val="superscript"/>
        </w:rPr>
        <w:t>th</w:t>
      </w:r>
      <w:r>
        <w:rPr>
          <w:rFonts w:cs="Arial"/>
        </w:rPr>
        <w:t xml:space="preserve"> January from schools’ block to HNB. </w:t>
      </w:r>
    </w:p>
    <w:p w14:paraId="3B6CAC51" w14:textId="14609007" w:rsidR="00A32B8D" w:rsidRPr="00A32B8D" w:rsidRDefault="007668A0" w:rsidP="00A32B8D">
      <w:pPr>
        <w:spacing w:after="160" w:line="259" w:lineRule="auto"/>
        <w:ind w:left="720" w:hanging="720"/>
        <w:contextualSpacing/>
        <w:rPr>
          <w:rFonts w:cs="Arial"/>
        </w:rPr>
      </w:pPr>
      <w:r>
        <w:rPr>
          <w:rFonts w:cs="Arial"/>
          <w:b/>
        </w:rPr>
        <w:t>6</w:t>
      </w:r>
      <w:r w:rsidR="00A32B8D">
        <w:rPr>
          <w:rFonts w:cs="Arial"/>
          <w:b/>
        </w:rPr>
        <w:t>.3</w:t>
      </w:r>
      <w:r w:rsidR="00A32B8D">
        <w:rPr>
          <w:rFonts w:cs="Arial"/>
          <w:b/>
        </w:rPr>
        <w:tab/>
      </w:r>
      <w:r w:rsidR="00A32B8D">
        <w:rPr>
          <w:rFonts w:cs="Arial"/>
        </w:rPr>
        <w:t xml:space="preserve">In the light of the continuing pressures on this block, the Working Group will need to continue to meet for the foreseeable future.  It is therefore requested that a new Chair of the Group be nominated to ensure that the momentum on this important work is maintained. </w:t>
      </w:r>
    </w:p>
    <w:p w14:paraId="531B6183" w14:textId="77777777" w:rsidR="00A32B8D" w:rsidRPr="00A32B8D" w:rsidRDefault="00A32B8D" w:rsidP="00A32B8D">
      <w:pPr>
        <w:spacing w:after="160" w:line="259" w:lineRule="auto"/>
        <w:contextualSpacing/>
        <w:rPr>
          <w:rFonts w:cs="Arial"/>
          <w:b/>
        </w:rPr>
      </w:pPr>
    </w:p>
    <w:p w14:paraId="5C78C05F" w14:textId="230040D3" w:rsidR="007922ED" w:rsidRDefault="007922ED" w:rsidP="007922ED">
      <w:pPr>
        <w:pBdr>
          <w:top w:val="single" w:sz="4" w:space="1" w:color="auto"/>
          <w:left w:val="single" w:sz="4" w:space="4" w:color="auto"/>
          <w:bottom w:val="single" w:sz="4" w:space="1" w:color="auto"/>
          <w:right w:val="single" w:sz="4" w:space="4" w:color="auto"/>
        </w:pBdr>
        <w:rPr>
          <w:rFonts w:cs="Arial"/>
          <w:b/>
        </w:rPr>
      </w:pPr>
      <w:r w:rsidRPr="00284F0E">
        <w:rPr>
          <w:rFonts w:cs="Arial"/>
          <w:b/>
        </w:rPr>
        <w:t xml:space="preserve">Decision </w:t>
      </w:r>
      <w:r w:rsidR="00B02481">
        <w:rPr>
          <w:rFonts w:cs="Arial"/>
          <w:b/>
          <w:highlight w:val="yellow"/>
        </w:rPr>
        <w:t>(</w:t>
      </w:r>
      <w:r w:rsidR="00A1314C">
        <w:rPr>
          <w:rFonts w:cs="Arial"/>
          <w:b/>
          <w:highlight w:val="yellow"/>
        </w:rPr>
        <w:t>ix</w:t>
      </w:r>
      <w:r w:rsidR="00B02481">
        <w:rPr>
          <w:rFonts w:cs="Arial"/>
          <w:b/>
          <w:highlight w:val="yellow"/>
        </w:rPr>
        <w:t>)</w:t>
      </w:r>
      <w:r>
        <w:rPr>
          <w:rFonts w:cs="Arial"/>
          <w:b/>
        </w:rPr>
        <w:t xml:space="preserve"> – School Forum to approve either Option 1 or Option 2 proposals from the HNB sub working group.</w:t>
      </w:r>
    </w:p>
    <w:p w14:paraId="1F78D7ED" w14:textId="5BC3B5B8" w:rsidR="00A32B8D" w:rsidRPr="00284F0E" w:rsidRDefault="00A32B8D" w:rsidP="007922ED">
      <w:pPr>
        <w:pBdr>
          <w:top w:val="single" w:sz="4" w:space="1" w:color="auto"/>
          <w:left w:val="single" w:sz="4" w:space="4" w:color="auto"/>
          <w:bottom w:val="single" w:sz="4" w:space="1" w:color="auto"/>
          <w:right w:val="single" w:sz="4" w:space="4" w:color="auto"/>
        </w:pBdr>
        <w:rPr>
          <w:rFonts w:cs="Arial"/>
          <w:b/>
        </w:rPr>
      </w:pPr>
      <w:r>
        <w:rPr>
          <w:rFonts w:cs="Arial"/>
          <w:b/>
        </w:rPr>
        <w:t>Decision (</w:t>
      </w:r>
      <w:r w:rsidR="00FC09EA">
        <w:rPr>
          <w:rFonts w:cs="Arial"/>
          <w:b/>
        </w:rPr>
        <w:t>x</w:t>
      </w:r>
      <w:r>
        <w:rPr>
          <w:rFonts w:cs="Arial"/>
          <w:b/>
        </w:rPr>
        <w:t>)</w:t>
      </w:r>
      <w:r>
        <w:rPr>
          <w:rFonts w:cs="Arial"/>
          <w:b/>
        </w:rPr>
        <w:tab/>
        <w:t xml:space="preserve">Nominations for the Chair of the High Needs Working Group are requested.  </w:t>
      </w:r>
    </w:p>
    <w:p w14:paraId="7A0069A6" w14:textId="77777777" w:rsidR="00AE19A7" w:rsidRPr="00825B5E" w:rsidRDefault="00AE19A7" w:rsidP="00825B5E">
      <w:pPr>
        <w:rPr>
          <w:rFonts w:cs="Arial"/>
        </w:rPr>
      </w:pPr>
    </w:p>
    <w:p w14:paraId="7CE1FB3D" w14:textId="34B015DA" w:rsidR="00825B5E" w:rsidRPr="00825B5E" w:rsidRDefault="007668A0" w:rsidP="00825B5E">
      <w:pPr>
        <w:pStyle w:val="Default"/>
        <w:rPr>
          <w:b/>
        </w:rPr>
      </w:pPr>
      <w:r>
        <w:rPr>
          <w:b/>
        </w:rPr>
        <w:t>7</w:t>
      </w:r>
      <w:r w:rsidR="00AE19A7">
        <w:rPr>
          <w:b/>
        </w:rPr>
        <w:t>.</w:t>
      </w:r>
      <w:r w:rsidR="00AE19A7">
        <w:rPr>
          <w:b/>
        </w:rPr>
        <w:tab/>
        <w:t xml:space="preserve">Early Years </w:t>
      </w:r>
      <w:r w:rsidR="00825B5E">
        <w:rPr>
          <w:b/>
        </w:rPr>
        <w:t xml:space="preserve">- </w:t>
      </w:r>
      <w:r w:rsidR="00825B5E" w:rsidRPr="00825B5E">
        <w:rPr>
          <w:b/>
        </w:rPr>
        <w:t xml:space="preserve">30-hour childcare update </w:t>
      </w:r>
    </w:p>
    <w:p w14:paraId="04704FC5" w14:textId="412EA5F2" w:rsidR="00825B5E" w:rsidRDefault="007668A0" w:rsidP="00825B5E">
      <w:pPr>
        <w:pStyle w:val="BodyText1"/>
        <w:numPr>
          <w:ilvl w:val="0"/>
          <w:numId w:val="0"/>
        </w:numPr>
        <w:ind w:left="720" w:hanging="720"/>
      </w:pPr>
      <w:r>
        <w:rPr>
          <w:rFonts w:eastAsia="Times New Roman"/>
          <w:lang w:eastAsia="en-GB"/>
        </w:rPr>
        <w:t>7</w:t>
      </w:r>
      <w:r w:rsidR="00825B5E" w:rsidRPr="00825B5E">
        <w:rPr>
          <w:rFonts w:eastAsia="Times New Roman"/>
          <w:lang w:eastAsia="en-GB"/>
        </w:rPr>
        <w:t>.1</w:t>
      </w:r>
      <w:r w:rsidR="00825B5E" w:rsidRPr="00825B5E">
        <w:rPr>
          <w:rFonts w:eastAsia="Times New Roman"/>
          <w:lang w:eastAsia="en-GB"/>
        </w:rPr>
        <w:tab/>
        <w:t>The 30-hour offer provides childcare for working parents. With up to 1,600 families potentially eligible for the 30-hour offer, many families stand to benefit from lower childcare</w:t>
      </w:r>
      <w:r w:rsidR="00825B5E">
        <w:t xml:space="preserve"> costs. In addition, the offer will act as an incentive for many parents to either take up work or increase working hours. </w:t>
      </w:r>
    </w:p>
    <w:p w14:paraId="63B0EEBD" w14:textId="77777777" w:rsidR="00825B5E" w:rsidRDefault="00825B5E" w:rsidP="00825B5E">
      <w:pPr>
        <w:pStyle w:val="BodyText1"/>
        <w:numPr>
          <w:ilvl w:val="0"/>
          <w:numId w:val="0"/>
        </w:numPr>
        <w:ind w:left="720"/>
      </w:pPr>
      <w:r>
        <w:lastRenderedPageBreak/>
        <w:t>Childcare and early years providers across Barking and Dagenham also stand to benefit from the offer in that more places will be needed to meet a potentially increased demand for childcare.</w:t>
      </w:r>
    </w:p>
    <w:p w14:paraId="15C3AF04" w14:textId="00E1FB38" w:rsidR="00825B5E" w:rsidRPr="00825B5E" w:rsidRDefault="007668A0" w:rsidP="00825B5E">
      <w:pPr>
        <w:pStyle w:val="MainHeading"/>
        <w:numPr>
          <w:ilvl w:val="0"/>
          <w:numId w:val="0"/>
        </w:numPr>
        <w:ind w:left="720" w:hanging="720"/>
        <w:rPr>
          <w:b w:val="0"/>
          <w:sz w:val="24"/>
        </w:rPr>
      </w:pPr>
      <w:r>
        <w:rPr>
          <w:b w:val="0"/>
          <w:sz w:val="24"/>
        </w:rPr>
        <w:t>7</w:t>
      </w:r>
      <w:r w:rsidR="00825B5E" w:rsidRPr="00825B5E">
        <w:rPr>
          <w:b w:val="0"/>
          <w:sz w:val="24"/>
        </w:rPr>
        <w:t>.2</w:t>
      </w:r>
      <w:r w:rsidR="00825B5E" w:rsidRPr="00825B5E">
        <w:rPr>
          <w:b w:val="0"/>
          <w:sz w:val="24"/>
        </w:rPr>
        <w:tab/>
        <w:t>Progress</w:t>
      </w:r>
    </w:p>
    <w:p w14:paraId="0F1DE494" w14:textId="77777777" w:rsidR="00825B5E" w:rsidRDefault="00825B5E" w:rsidP="00825B5E">
      <w:pPr>
        <w:pStyle w:val="BodyText1"/>
        <w:numPr>
          <w:ilvl w:val="0"/>
          <w:numId w:val="0"/>
        </w:numPr>
        <w:ind w:left="720"/>
      </w:pPr>
      <w:r>
        <w:t xml:space="preserve">From September 2017 working parents of 3 and 4-year-olds meeting set eligibility criteria were able to access up to 30 hours of free childcare per week. </w:t>
      </w:r>
    </w:p>
    <w:p w14:paraId="08D6B71E" w14:textId="77777777" w:rsidR="00825B5E" w:rsidRDefault="00825B5E" w:rsidP="00825B5E">
      <w:pPr>
        <w:pStyle w:val="BodyText1"/>
        <w:numPr>
          <w:ilvl w:val="0"/>
          <w:numId w:val="0"/>
        </w:numPr>
        <w:ind w:left="720"/>
      </w:pPr>
      <w:r>
        <w:t xml:space="preserve">During the Autumn term, 572 parents in Barking and Dagenham accessed the 30 hours. This has increased to 838 in the Spring term. 21% of children access a place in school setting with 79% children accessing a place in a private, voluntary and independent (PVI) setting. </w:t>
      </w:r>
    </w:p>
    <w:p w14:paraId="303BB9F7" w14:textId="77777777" w:rsidR="00825B5E" w:rsidRDefault="00825B5E" w:rsidP="00825B5E">
      <w:pPr>
        <w:pStyle w:val="BodyText1"/>
        <w:numPr>
          <w:ilvl w:val="0"/>
          <w:numId w:val="0"/>
        </w:numPr>
        <w:ind w:left="720"/>
      </w:pPr>
      <w:r>
        <w:t>To continue to increase awareness of the offer, a new 40 second video has been produced. This is embedded on the 30-hour page on the Barking and Dagenham website and is being shown in the main Post Office and on Barking and Dagenham’s social media pages.</w:t>
      </w:r>
    </w:p>
    <w:p w14:paraId="7E59F7D1" w14:textId="77777777" w:rsidR="00825B5E" w:rsidRDefault="00825B5E" w:rsidP="00825B5E">
      <w:pPr>
        <w:pStyle w:val="BodyText1"/>
        <w:numPr>
          <w:ilvl w:val="0"/>
          <w:numId w:val="0"/>
        </w:numPr>
        <w:ind w:left="720"/>
      </w:pPr>
      <w:r>
        <w:t>Barking and Dagenham was awarded funding for three capital projects to develop capacity to meet demand for 30 hours. The first extension at Barney Bears in Upney Lane has now been completed. The second capital project at Kingsley Hall was completed in April 2018. The third project, which is a new build 53 place nursery on the Riverside school site is being built off site at the moment and should be completed by June 2018.</w:t>
      </w:r>
    </w:p>
    <w:p w14:paraId="5C850AE1" w14:textId="77777777" w:rsidR="00825B5E" w:rsidRDefault="00825B5E" w:rsidP="00825B5E">
      <w:pPr>
        <w:pStyle w:val="BodyText1"/>
        <w:numPr>
          <w:ilvl w:val="0"/>
          <w:numId w:val="0"/>
        </w:numPr>
        <w:ind w:left="720"/>
      </w:pPr>
      <w:r>
        <w:t>In addition, Barking and Dagenham has received funding from the Department for Education’s delivery support fund for 30 hours. Funding was awarded to increase capacity in the early years team, provide staff training, upgrade IT systems and for a small-scale capital project (£10K) at Village Infants. This school was chosen as it was offering the highest number of 30-hour places at the time of the bid. The total amount of funding awarded was just over £79k.</w:t>
      </w:r>
    </w:p>
    <w:p w14:paraId="76FF409D" w14:textId="5D8FD3E5" w:rsidR="00825B5E" w:rsidRPr="003E152D" w:rsidRDefault="007668A0" w:rsidP="003E152D">
      <w:pPr>
        <w:pStyle w:val="MainHeading"/>
        <w:numPr>
          <w:ilvl w:val="0"/>
          <w:numId w:val="0"/>
        </w:numPr>
        <w:rPr>
          <w:b w:val="0"/>
          <w:sz w:val="24"/>
        </w:rPr>
      </w:pPr>
      <w:r>
        <w:rPr>
          <w:b w:val="0"/>
          <w:sz w:val="24"/>
        </w:rPr>
        <w:t>7</w:t>
      </w:r>
      <w:r w:rsidR="003E152D" w:rsidRPr="003E152D">
        <w:rPr>
          <w:b w:val="0"/>
          <w:sz w:val="24"/>
        </w:rPr>
        <w:t>.3</w:t>
      </w:r>
      <w:r w:rsidR="003E152D" w:rsidRPr="003E152D">
        <w:rPr>
          <w:b w:val="0"/>
          <w:sz w:val="24"/>
        </w:rPr>
        <w:tab/>
      </w:r>
      <w:r w:rsidR="00825B5E" w:rsidRPr="003E152D">
        <w:rPr>
          <w:b w:val="0"/>
          <w:sz w:val="24"/>
        </w:rPr>
        <w:t>Challenges</w:t>
      </w:r>
    </w:p>
    <w:p w14:paraId="395EAFEF" w14:textId="77777777" w:rsidR="00825B5E" w:rsidRDefault="00825B5E" w:rsidP="00825B5E">
      <w:pPr>
        <w:pStyle w:val="BodyText1"/>
        <w:numPr>
          <w:ilvl w:val="0"/>
          <w:numId w:val="0"/>
        </w:numPr>
        <w:ind w:left="720"/>
      </w:pPr>
      <w:r>
        <w:t>Many parents are still struggling to get their 30-hour eligibility codes due to issues with the Government’s ‘Childcare Choices’ website. It continues to be widely reported that many parents have not been able to get a code to complete their application. It is unknown how many parents have not been able to get their codes and how many applications were aborted half way through, but anecdotal evidence suggests that some parents may have given up applying due to the complexity of the application process. Unfortunately, the local authority has had no way to support parents applying for their eligibility code. The Government established the ‘Childcare Choices’ helpline, which has been criticised by the press and parents alike as not providing the support parents need.</w:t>
      </w:r>
    </w:p>
    <w:p w14:paraId="0090490E" w14:textId="77777777" w:rsidR="0038769D" w:rsidRDefault="00825B5E" w:rsidP="005C50C6">
      <w:pPr>
        <w:pStyle w:val="BodyText1"/>
        <w:numPr>
          <w:ilvl w:val="0"/>
          <w:numId w:val="0"/>
        </w:numPr>
        <w:ind w:left="720"/>
      </w:pPr>
      <w:r>
        <w:t xml:space="preserve">With increased marketing of the offer, it is envisaged that take up will improve and that most eligible parents will wish to take up the offer. This will mean increased funding for the local authority as well as increased occupancy and investment in our early years and childcare sector. </w:t>
      </w:r>
    </w:p>
    <w:p w14:paraId="3A4F60C6" w14:textId="77777777" w:rsidR="00C22B5A" w:rsidRPr="005C50C6" w:rsidRDefault="00C22B5A" w:rsidP="005C50C6">
      <w:pPr>
        <w:pStyle w:val="BodyText1"/>
        <w:numPr>
          <w:ilvl w:val="0"/>
          <w:numId w:val="0"/>
        </w:numPr>
        <w:ind w:left="720"/>
      </w:pPr>
    </w:p>
    <w:p w14:paraId="124058BC" w14:textId="101AADFE" w:rsidR="005C50C6" w:rsidRPr="00B02481" w:rsidRDefault="007668A0" w:rsidP="005C50C6">
      <w:pPr>
        <w:autoSpaceDE w:val="0"/>
        <w:autoSpaceDN w:val="0"/>
        <w:adjustRightInd w:val="0"/>
        <w:rPr>
          <w:rFonts w:cs="Arial"/>
          <w:b/>
        </w:rPr>
      </w:pPr>
      <w:r>
        <w:rPr>
          <w:rFonts w:cs="Arial"/>
          <w:b/>
        </w:rPr>
        <w:t>8</w:t>
      </w:r>
      <w:r w:rsidR="005C50C6" w:rsidRPr="00B02481">
        <w:rPr>
          <w:rFonts w:cs="Arial"/>
          <w:b/>
        </w:rPr>
        <w:t>.</w:t>
      </w:r>
      <w:r w:rsidR="005C50C6" w:rsidRPr="00B02481">
        <w:rPr>
          <w:rFonts w:cs="Arial"/>
          <w:b/>
        </w:rPr>
        <w:tab/>
        <w:t xml:space="preserve">Draft Constitution and Terms of Reference </w:t>
      </w:r>
    </w:p>
    <w:p w14:paraId="4998EA34" w14:textId="77777777" w:rsidR="005C50C6" w:rsidRPr="00B02481" w:rsidRDefault="005C50C6" w:rsidP="005C50C6">
      <w:pPr>
        <w:pStyle w:val="Default"/>
        <w:rPr>
          <w:b/>
        </w:rPr>
      </w:pPr>
    </w:p>
    <w:p w14:paraId="0A5DB8CA" w14:textId="6EC44898" w:rsidR="005C50C6" w:rsidRPr="00B02481" w:rsidRDefault="007668A0" w:rsidP="009D6D7B">
      <w:pPr>
        <w:pStyle w:val="Default"/>
        <w:ind w:left="720" w:hanging="720"/>
        <w:rPr>
          <w:bCs/>
        </w:rPr>
      </w:pPr>
      <w:r>
        <w:rPr>
          <w:bCs/>
        </w:rPr>
        <w:t>8</w:t>
      </w:r>
      <w:r w:rsidR="005C50C6" w:rsidRPr="00B02481">
        <w:rPr>
          <w:bCs/>
        </w:rPr>
        <w:t>.1</w:t>
      </w:r>
      <w:r w:rsidR="005C50C6" w:rsidRPr="00B02481">
        <w:rPr>
          <w:bCs/>
        </w:rPr>
        <w:tab/>
      </w:r>
      <w:r w:rsidR="005C50C6" w:rsidRPr="00B02481">
        <w:rPr>
          <w:b/>
          <w:bCs/>
        </w:rPr>
        <w:t xml:space="preserve">Appendix B </w:t>
      </w:r>
      <w:r w:rsidR="005C50C6" w:rsidRPr="00B02481">
        <w:rPr>
          <w:bCs/>
        </w:rPr>
        <w:t>includes the draft con</w:t>
      </w:r>
      <w:r w:rsidR="009D6D7B" w:rsidRPr="00B02481">
        <w:rPr>
          <w:bCs/>
        </w:rPr>
        <w:t xml:space="preserve">stitution and Terms of Reference for Schools Forum. </w:t>
      </w:r>
      <w:r w:rsidR="00A32B8D">
        <w:rPr>
          <w:bCs/>
        </w:rPr>
        <w:t xml:space="preserve"> Members should note that the composition will be reviewed annually and adjusted in line with student numbers in the various phases.  </w:t>
      </w:r>
    </w:p>
    <w:p w14:paraId="4886E670" w14:textId="77777777" w:rsidR="009D6D7B" w:rsidRPr="00B02481" w:rsidRDefault="009D6D7B" w:rsidP="009D6D7B">
      <w:pPr>
        <w:pStyle w:val="Default"/>
        <w:ind w:left="720" w:hanging="720"/>
        <w:rPr>
          <w:b/>
        </w:rPr>
      </w:pPr>
    </w:p>
    <w:p w14:paraId="7A433458" w14:textId="3C713A53" w:rsidR="009D6D7B" w:rsidRPr="00A1314C" w:rsidRDefault="009D6D7B" w:rsidP="00A1314C">
      <w:pPr>
        <w:pStyle w:val="ListParagraph"/>
        <w:numPr>
          <w:ilvl w:val="0"/>
          <w:numId w:val="37"/>
        </w:numPr>
        <w:pBdr>
          <w:top w:val="single" w:sz="4" w:space="1" w:color="auto"/>
          <w:left w:val="single" w:sz="4" w:space="4" w:color="auto"/>
          <w:bottom w:val="single" w:sz="4" w:space="1" w:color="auto"/>
          <w:right w:val="single" w:sz="4" w:space="4" w:color="auto"/>
        </w:pBdr>
        <w:jc w:val="both"/>
        <w:rPr>
          <w:rFonts w:cs="Arial"/>
          <w:b/>
          <w:i/>
        </w:rPr>
      </w:pPr>
      <w:r w:rsidRPr="00A1314C">
        <w:rPr>
          <w:rFonts w:cs="Arial"/>
          <w:b/>
          <w:i/>
        </w:rPr>
        <w:t>Decision: Schools Forum are asked to review the draft Constitution and Schools Forum Constitution and make recommend changes before adoption.</w:t>
      </w:r>
    </w:p>
    <w:p w14:paraId="7F3C161E" w14:textId="77777777" w:rsidR="009D6D7B" w:rsidRDefault="009D6D7B" w:rsidP="009D6D7B">
      <w:pPr>
        <w:pStyle w:val="Default"/>
        <w:ind w:left="720" w:hanging="720"/>
        <w:rPr>
          <w:b/>
        </w:rPr>
      </w:pPr>
    </w:p>
    <w:p w14:paraId="3F296A5E" w14:textId="77777777" w:rsidR="005C50C6" w:rsidRDefault="005C50C6" w:rsidP="005C50C6">
      <w:pPr>
        <w:pStyle w:val="Default"/>
        <w:rPr>
          <w:b/>
        </w:rPr>
      </w:pPr>
    </w:p>
    <w:p w14:paraId="32E28086" w14:textId="5BCEC350" w:rsidR="009D6D7B" w:rsidRPr="006D60D1" w:rsidRDefault="007668A0" w:rsidP="009D6D7B">
      <w:pPr>
        <w:autoSpaceDE w:val="0"/>
        <w:autoSpaceDN w:val="0"/>
        <w:adjustRightInd w:val="0"/>
        <w:rPr>
          <w:rFonts w:cs="Arial"/>
          <w:b/>
        </w:rPr>
      </w:pPr>
      <w:r>
        <w:rPr>
          <w:rFonts w:cs="Arial"/>
          <w:b/>
        </w:rPr>
        <w:t>9</w:t>
      </w:r>
      <w:r w:rsidR="009D6D7B">
        <w:rPr>
          <w:rFonts w:cs="Arial"/>
          <w:b/>
        </w:rPr>
        <w:t>.</w:t>
      </w:r>
      <w:r w:rsidR="009D6D7B">
        <w:rPr>
          <w:rFonts w:cs="Arial"/>
          <w:b/>
        </w:rPr>
        <w:tab/>
        <w:t>Future Work Plan</w:t>
      </w:r>
      <w:r w:rsidR="009D6D7B" w:rsidRPr="006D60D1">
        <w:rPr>
          <w:rFonts w:cs="Arial"/>
          <w:b/>
        </w:rPr>
        <w:t xml:space="preserve"> </w:t>
      </w:r>
    </w:p>
    <w:p w14:paraId="36696F7E" w14:textId="77777777" w:rsidR="00F11B00" w:rsidRDefault="00F11B00" w:rsidP="00F11B00">
      <w:pPr>
        <w:pStyle w:val="ListParagraph"/>
        <w:ind w:left="709"/>
        <w:rPr>
          <w:b/>
          <w:u w:val="single"/>
        </w:rPr>
      </w:pPr>
    </w:p>
    <w:p w14:paraId="05E71450" w14:textId="59230467" w:rsidR="00F11B00" w:rsidRDefault="007668A0" w:rsidP="00F11B00">
      <w:pPr>
        <w:pStyle w:val="ListParagraph"/>
        <w:ind w:left="709" w:hanging="709"/>
      </w:pPr>
      <w:r>
        <w:t>9</w:t>
      </w:r>
      <w:r w:rsidR="00F11B00">
        <w:t>.1</w:t>
      </w:r>
      <w:r w:rsidR="00F11B00">
        <w:tab/>
      </w:r>
      <w:r>
        <w:t xml:space="preserve">The following are the proposed dates for Forum meetings next year.  </w:t>
      </w:r>
    </w:p>
    <w:p w14:paraId="0D02E4E2" w14:textId="77777777" w:rsidR="00F11B00" w:rsidRDefault="00F11B00" w:rsidP="00F11B00">
      <w:pPr>
        <w:pStyle w:val="ListParagraph"/>
        <w:ind w:left="709"/>
      </w:pPr>
    </w:p>
    <w:p w14:paraId="5929FC13" w14:textId="77777777" w:rsidR="00F11B00" w:rsidRDefault="00EA75E0" w:rsidP="00F11B00">
      <w:pPr>
        <w:pStyle w:val="ListParagraph"/>
        <w:numPr>
          <w:ilvl w:val="0"/>
          <w:numId w:val="24"/>
        </w:numPr>
      </w:pPr>
      <w:r>
        <w:t>23</w:t>
      </w:r>
      <w:r w:rsidR="00F11B00">
        <w:t xml:space="preserve"> October 201</w:t>
      </w:r>
      <w:r>
        <w:t>8</w:t>
      </w:r>
    </w:p>
    <w:p w14:paraId="3AB857EB" w14:textId="77777777" w:rsidR="00F11B00" w:rsidRDefault="00F11B00" w:rsidP="00F11B00">
      <w:pPr>
        <w:pStyle w:val="ListParagraph"/>
        <w:numPr>
          <w:ilvl w:val="0"/>
          <w:numId w:val="24"/>
        </w:numPr>
      </w:pPr>
      <w:r>
        <w:t>1</w:t>
      </w:r>
      <w:r w:rsidR="00EA75E0">
        <w:t>5</w:t>
      </w:r>
      <w:r>
        <w:t xml:space="preserve"> January 201</w:t>
      </w:r>
      <w:r w:rsidR="00EA75E0">
        <w:t>9</w:t>
      </w:r>
    </w:p>
    <w:p w14:paraId="4D11A53E" w14:textId="77777777" w:rsidR="00F11B00" w:rsidRDefault="00EA75E0" w:rsidP="00F11B00">
      <w:pPr>
        <w:pStyle w:val="ListParagraph"/>
        <w:numPr>
          <w:ilvl w:val="0"/>
          <w:numId w:val="24"/>
        </w:numPr>
      </w:pPr>
      <w:r>
        <w:t>19</w:t>
      </w:r>
      <w:r w:rsidR="00F11B00">
        <w:t xml:space="preserve"> March 201</w:t>
      </w:r>
      <w:r>
        <w:t>9</w:t>
      </w:r>
    </w:p>
    <w:p w14:paraId="73331677" w14:textId="2E5E0365" w:rsidR="006E145D" w:rsidRPr="007668A0" w:rsidRDefault="00F11B00" w:rsidP="007668A0">
      <w:pPr>
        <w:pStyle w:val="ListParagraph"/>
        <w:numPr>
          <w:ilvl w:val="0"/>
          <w:numId w:val="24"/>
        </w:numPr>
        <w:rPr>
          <w:sz w:val="23"/>
          <w:szCs w:val="23"/>
        </w:rPr>
      </w:pPr>
      <w:r>
        <w:t>1</w:t>
      </w:r>
      <w:r w:rsidR="00EA75E0">
        <w:t>8</w:t>
      </w:r>
      <w:r>
        <w:t xml:space="preserve"> June 201</w:t>
      </w:r>
      <w:r w:rsidR="00EA75E0">
        <w:t>9</w:t>
      </w:r>
    </w:p>
    <w:p w14:paraId="09F1BBC2" w14:textId="77777777" w:rsidR="006E145D" w:rsidRDefault="006E145D" w:rsidP="001370FE">
      <w:pPr>
        <w:autoSpaceDE w:val="0"/>
        <w:autoSpaceDN w:val="0"/>
        <w:adjustRightInd w:val="0"/>
        <w:ind w:left="709" w:hanging="709"/>
        <w:rPr>
          <w:rFonts w:cs="Arial"/>
        </w:rPr>
      </w:pPr>
    </w:p>
    <w:p w14:paraId="19BCC3F1" w14:textId="77777777" w:rsidR="00627CCF" w:rsidRPr="00D347A7" w:rsidRDefault="003B6AE6" w:rsidP="000B3C9B">
      <w:pPr>
        <w:autoSpaceDE w:val="0"/>
        <w:autoSpaceDN w:val="0"/>
        <w:adjustRightInd w:val="0"/>
        <w:rPr>
          <w:rFonts w:cs="Arial"/>
          <w:b/>
        </w:rPr>
      </w:pPr>
      <w:r>
        <w:rPr>
          <w:rFonts w:cs="Arial"/>
          <w:b/>
        </w:rPr>
        <w:t>10</w:t>
      </w:r>
      <w:r w:rsidR="000B3C9B" w:rsidRPr="00D347A7">
        <w:rPr>
          <w:rFonts w:cs="Arial"/>
          <w:b/>
        </w:rPr>
        <w:t>.</w:t>
      </w:r>
      <w:r w:rsidR="000B3C9B" w:rsidRPr="00D347A7">
        <w:rPr>
          <w:rFonts w:cs="Arial"/>
          <w:b/>
        </w:rPr>
        <w:tab/>
      </w:r>
      <w:r w:rsidR="00B448CA" w:rsidRPr="00D347A7">
        <w:rPr>
          <w:rFonts w:cs="Arial"/>
          <w:b/>
          <w:u w:val="single"/>
        </w:rPr>
        <w:t>Financial I</w:t>
      </w:r>
      <w:r w:rsidR="006E145D" w:rsidRPr="00D347A7">
        <w:rPr>
          <w:rFonts w:cs="Arial"/>
          <w:b/>
          <w:u w:val="single"/>
        </w:rPr>
        <w:t>mplications</w:t>
      </w:r>
      <w:r w:rsidR="00627CCF" w:rsidRPr="00D347A7">
        <w:rPr>
          <w:rFonts w:cs="Arial"/>
          <w:b/>
        </w:rPr>
        <w:t xml:space="preserve"> </w:t>
      </w:r>
    </w:p>
    <w:p w14:paraId="79B5AC72" w14:textId="77777777" w:rsidR="00B448CA" w:rsidRPr="00B448CA" w:rsidRDefault="00B448CA" w:rsidP="001370FE">
      <w:pPr>
        <w:autoSpaceDE w:val="0"/>
        <w:autoSpaceDN w:val="0"/>
        <w:adjustRightInd w:val="0"/>
        <w:ind w:left="709" w:hanging="709"/>
        <w:rPr>
          <w:rFonts w:cs="Arial"/>
        </w:rPr>
      </w:pPr>
    </w:p>
    <w:p w14:paraId="49A57E96" w14:textId="77777777" w:rsidR="00B448CA" w:rsidRPr="00AE6678" w:rsidRDefault="00A14F53" w:rsidP="00AE6678">
      <w:pPr>
        <w:pStyle w:val="ListParagraph"/>
        <w:rPr>
          <w:rFonts w:cs="Arial"/>
          <w:color w:val="0000FF"/>
        </w:rPr>
      </w:pPr>
      <w:r w:rsidRPr="00AE6678">
        <w:rPr>
          <w:rFonts w:cs="Arial"/>
        </w:rPr>
        <w:t>The School Funding Formula is contained within the Dedicated Schools Grant</w:t>
      </w:r>
    </w:p>
    <w:p w14:paraId="6CF60CFE" w14:textId="77777777" w:rsidR="00B448CA" w:rsidRDefault="00B448CA" w:rsidP="001370FE">
      <w:pPr>
        <w:autoSpaceDE w:val="0"/>
        <w:autoSpaceDN w:val="0"/>
        <w:adjustRightInd w:val="0"/>
        <w:ind w:left="709" w:hanging="709"/>
        <w:rPr>
          <w:rFonts w:cs="Arial"/>
        </w:rPr>
      </w:pPr>
    </w:p>
    <w:p w14:paraId="365D5792" w14:textId="77777777" w:rsidR="000404CF" w:rsidRDefault="000404CF" w:rsidP="001370FE">
      <w:pPr>
        <w:autoSpaceDE w:val="0"/>
        <w:autoSpaceDN w:val="0"/>
        <w:adjustRightInd w:val="0"/>
        <w:ind w:left="709" w:hanging="709"/>
        <w:rPr>
          <w:rFonts w:cs="Arial"/>
        </w:rPr>
      </w:pPr>
    </w:p>
    <w:p w14:paraId="35F55A13" w14:textId="77777777" w:rsidR="00627CCF" w:rsidRPr="00D347A7" w:rsidRDefault="00CA619C" w:rsidP="000B3C9B">
      <w:pPr>
        <w:autoSpaceDE w:val="0"/>
        <w:autoSpaceDN w:val="0"/>
        <w:adjustRightInd w:val="0"/>
        <w:rPr>
          <w:rFonts w:cs="Arial"/>
          <w:b/>
        </w:rPr>
      </w:pPr>
      <w:r>
        <w:rPr>
          <w:rFonts w:cs="Arial"/>
          <w:b/>
        </w:rPr>
        <w:t>1</w:t>
      </w:r>
      <w:r w:rsidR="003B6AE6">
        <w:rPr>
          <w:rFonts w:cs="Arial"/>
          <w:b/>
        </w:rPr>
        <w:t>1</w:t>
      </w:r>
      <w:r w:rsidR="000B3C9B" w:rsidRPr="00D347A7">
        <w:rPr>
          <w:rFonts w:cs="Arial"/>
          <w:b/>
        </w:rPr>
        <w:tab/>
      </w:r>
      <w:r w:rsidR="00B448CA" w:rsidRPr="00D347A7">
        <w:rPr>
          <w:rFonts w:cs="Arial"/>
          <w:b/>
          <w:u w:val="single"/>
        </w:rPr>
        <w:t xml:space="preserve">Legal </w:t>
      </w:r>
      <w:r w:rsidR="006E145D" w:rsidRPr="00D347A7">
        <w:rPr>
          <w:rFonts w:cs="Arial"/>
          <w:b/>
          <w:u w:val="single"/>
        </w:rPr>
        <w:t>Implications</w:t>
      </w:r>
      <w:r w:rsidR="006E145D" w:rsidRPr="00D347A7">
        <w:rPr>
          <w:rFonts w:cs="Arial"/>
          <w:b/>
        </w:rPr>
        <w:t xml:space="preserve"> </w:t>
      </w:r>
    </w:p>
    <w:p w14:paraId="208D632C" w14:textId="77777777" w:rsidR="007C1C4A" w:rsidRDefault="007C1C4A" w:rsidP="001370FE">
      <w:pPr>
        <w:autoSpaceDE w:val="0"/>
        <w:autoSpaceDN w:val="0"/>
        <w:adjustRightInd w:val="0"/>
        <w:ind w:left="709" w:hanging="709"/>
        <w:rPr>
          <w:rFonts w:cs="Arial"/>
          <w:b/>
        </w:rPr>
      </w:pPr>
    </w:p>
    <w:p w14:paraId="6B224169" w14:textId="1B982A38" w:rsidR="00B42641" w:rsidRDefault="00CA619C" w:rsidP="001370FE">
      <w:pPr>
        <w:ind w:left="709" w:hanging="709"/>
        <w:rPr>
          <w:rFonts w:cs="Arial"/>
        </w:rPr>
      </w:pPr>
      <w:r>
        <w:rPr>
          <w:rFonts w:cs="Arial"/>
        </w:rPr>
        <w:t>1</w:t>
      </w:r>
      <w:r w:rsidR="003B6AE6">
        <w:rPr>
          <w:rFonts w:cs="Arial"/>
        </w:rPr>
        <w:t>1</w:t>
      </w:r>
      <w:r>
        <w:rPr>
          <w:rFonts w:cs="Arial"/>
        </w:rPr>
        <w:t>.</w:t>
      </w:r>
      <w:r w:rsidR="00197808">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Pr>
          <w:rFonts w:cs="Arial"/>
        </w:rPr>
        <w:t>, for</w:t>
      </w:r>
      <w:r w:rsidR="00D804FB">
        <w:rPr>
          <w:rFonts w:cs="Arial"/>
        </w:rPr>
        <w:t xml:space="preserve"> the financial year </w:t>
      </w:r>
      <w:r w:rsidR="002A2692">
        <w:rPr>
          <w:rFonts w:cs="Arial"/>
        </w:rPr>
        <w:t xml:space="preserve">2013/14 and </w:t>
      </w:r>
      <w:r w:rsidR="007668A0">
        <w:rPr>
          <w:rFonts w:cs="Arial"/>
        </w:rPr>
        <w:t xml:space="preserve">all </w:t>
      </w:r>
      <w:r w:rsidR="002A2692">
        <w:rPr>
          <w:rFonts w:cs="Arial"/>
        </w:rPr>
        <w:t>subsequent years including 2018/19</w:t>
      </w:r>
      <w:r w:rsidR="00D804FB">
        <w:rPr>
          <w:rFonts w:cs="Arial"/>
        </w:rPr>
        <w:t xml:space="preserve">  </w:t>
      </w:r>
    </w:p>
    <w:p w14:paraId="1C343C5A" w14:textId="77777777" w:rsidR="0083710B" w:rsidRDefault="0083710B" w:rsidP="001370FE">
      <w:pPr>
        <w:ind w:left="709" w:hanging="709"/>
        <w:rPr>
          <w:rFonts w:cs="Arial"/>
          <w:color w:val="1F497D"/>
        </w:rPr>
      </w:pPr>
    </w:p>
    <w:p w14:paraId="1AFC0F0E" w14:textId="77777777" w:rsidR="00944FB8" w:rsidRDefault="00944FB8" w:rsidP="001370FE">
      <w:pPr>
        <w:autoSpaceDE w:val="0"/>
        <w:autoSpaceDN w:val="0"/>
        <w:adjustRightInd w:val="0"/>
        <w:ind w:left="709" w:hanging="709"/>
        <w:rPr>
          <w:rFonts w:cs="Arial"/>
          <w:color w:val="000000"/>
        </w:rPr>
      </w:pPr>
    </w:p>
    <w:p w14:paraId="52DA5511" w14:textId="77777777" w:rsidR="003B6610" w:rsidRPr="00FF0EFC" w:rsidRDefault="00CA619C" w:rsidP="000B3C9B">
      <w:pPr>
        <w:autoSpaceDE w:val="0"/>
        <w:autoSpaceDN w:val="0"/>
        <w:adjustRightInd w:val="0"/>
        <w:rPr>
          <w:rFonts w:cs="Arial"/>
          <w:color w:val="000000"/>
          <w:u w:val="single"/>
        </w:rPr>
      </w:pPr>
      <w:r>
        <w:rPr>
          <w:rFonts w:cs="Arial"/>
          <w:b/>
        </w:rPr>
        <w:t>1</w:t>
      </w:r>
      <w:r w:rsidR="003B6AE6">
        <w:rPr>
          <w:rFonts w:cs="Arial"/>
          <w:b/>
        </w:rPr>
        <w:t>2</w:t>
      </w:r>
      <w:r w:rsidR="000B3C9B">
        <w:rPr>
          <w:rFonts w:cs="Arial"/>
          <w:b/>
        </w:rPr>
        <w:t>.</w:t>
      </w:r>
      <w:r w:rsidR="00B448CA">
        <w:rPr>
          <w:rFonts w:cs="Arial"/>
          <w:b/>
        </w:rPr>
        <w:tab/>
      </w:r>
      <w:r w:rsidR="003B6610" w:rsidRPr="00FF0EFC">
        <w:rPr>
          <w:rFonts w:cs="Arial"/>
          <w:b/>
          <w:u w:val="single"/>
        </w:rPr>
        <w:t>Other Implications</w:t>
      </w:r>
    </w:p>
    <w:p w14:paraId="1CFE43DF" w14:textId="77777777" w:rsidR="003B6610" w:rsidRDefault="003B6610" w:rsidP="001370FE">
      <w:pPr>
        <w:autoSpaceDE w:val="0"/>
        <w:autoSpaceDN w:val="0"/>
        <w:adjustRightInd w:val="0"/>
        <w:ind w:left="709" w:hanging="709"/>
        <w:rPr>
          <w:rFonts w:cs="Arial"/>
          <w:color w:val="0000FF"/>
        </w:rPr>
      </w:pPr>
    </w:p>
    <w:p w14:paraId="617E7B8E" w14:textId="77777777" w:rsidR="00B448CA" w:rsidRPr="001102BC" w:rsidRDefault="00B448CA" w:rsidP="00295280">
      <w:pPr>
        <w:numPr>
          <w:ilvl w:val="1"/>
          <w:numId w:val="6"/>
        </w:numPr>
        <w:autoSpaceDE w:val="0"/>
        <w:autoSpaceDN w:val="0"/>
        <w:adjustRightInd w:val="0"/>
        <w:ind w:left="709" w:hanging="709"/>
        <w:rPr>
          <w:rFonts w:cs="Arial"/>
        </w:rPr>
      </w:pPr>
      <w:r>
        <w:rPr>
          <w:rFonts w:cs="Arial"/>
          <w:b/>
        </w:rPr>
        <w:t xml:space="preserve">Risk Management </w:t>
      </w:r>
      <w:r w:rsidR="001102BC">
        <w:rPr>
          <w:rFonts w:cs="Arial"/>
          <w:b/>
        </w:rPr>
        <w:t xml:space="preserve">- </w:t>
      </w:r>
      <w:r w:rsidR="001102BC">
        <w:rPr>
          <w:rFonts w:cs="Arial"/>
        </w:rPr>
        <w:t>None</w:t>
      </w:r>
    </w:p>
    <w:p w14:paraId="4C56E39B" w14:textId="77777777" w:rsidR="000D030E" w:rsidRDefault="000D030E" w:rsidP="001370FE">
      <w:pPr>
        <w:autoSpaceDE w:val="0"/>
        <w:autoSpaceDN w:val="0"/>
        <w:adjustRightInd w:val="0"/>
        <w:ind w:left="709" w:hanging="709"/>
        <w:rPr>
          <w:rFonts w:cs="Arial"/>
        </w:rPr>
      </w:pPr>
    </w:p>
    <w:p w14:paraId="3C66962A" w14:textId="77777777" w:rsid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14:paraId="469B8F77" w14:textId="77777777" w:rsidR="0046701F" w:rsidRDefault="0046701F" w:rsidP="0046701F">
      <w:pPr>
        <w:pStyle w:val="ListParagraph"/>
        <w:rPr>
          <w:rFonts w:cs="Arial"/>
        </w:rPr>
      </w:pPr>
    </w:p>
    <w:p w14:paraId="58DBA9A3" w14:textId="77777777" w:rsidR="00B448CA" w:rsidRP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14:paraId="7E07B125" w14:textId="77777777" w:rsidR="00E86584" w:rsidRDefault="00E86584" w:rsidP="001370FE">
      <w:pPr>
        <w:pStyle w:val="ListParagraph"/>
        <w:ind w:left="709" w:hanging="709"/>
        <w:rPr>
          <w:rFonts w:cs="Arial"/>
        </w:rPr>
      </w:pPr>
    </w:p>
    <w:p w14:paraId="0823DDF8" w14:textId="77777777" w:rsidR="00B448CA" w:rsidRDefault="00B448CA" w:rsidP="00295280">
      <w:pPr>
        <w:numPr>
          <w:ilvl w:val="1"/>
          <w:numId w:val="6"/>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14:paraId="63071A94" w14:textId="77777777" w:rsidR="00E86584" w:rsidRDefault="00E86584" w:rsidP="001370FE">
      <w:pPr>
        <w:pStyle w:val="ListParagraph"/>
        <w:ind w:left="709" w:hanging="709"/>
        <w:rPr>
          <w:rFonts w:cs="Arial"/>
        </w:rPr>
      </w:pPr>
    </w:p>
    <w:p w14:paraId="22939568" w14:textId="77777777" w:rsidR="00E86584" w:rsidRDefault="00E86584" w:rsidP="00295280">
      <w:pPr>
        <w:numPr>
          <w:ilvl w:val="1"/>
          <w:numId w:val="6"/>
        </w:numPr>
        <w:autoSpaceDE w:val="0"/>
        <w:autoSpaceDN w:val="0"/>
        <w:adjustRightInd w:val="0"/>
        <w:ind w:left="709" w:hanging="709"/>
        <w:rPr>
          <w:rFonts w:cs="Arial"/>
        </w:rPr>
      </w:pPr>
      <w:r w:rsidRPr="00E86584">
        <w:rPr>
          <w:rFonts w:cs="Arial"/>
          <w:b/>
        </w:rPr>
        <w:t>Safeguarding Children-</w:t>
      </w:r>
      <w:r>
        <w:rPr>
          <w:rFonts w:cs="Arial"/>
        </w:rPr>
        <w:t xml:space="preserve"> None</w:t>
      </w:r>
    </w:p>
    <w:p w14:paraId="12D77101" w14:textId="77777777" w:rsidR="00E86584" w:rsidRDefault="00E86584" w:rsidP="001370FE">
      <w:pPr>
        <w:pStyle w:val="ListParagraph"/>
        <w:ind w:left="709" w:hanging="709"/>
        <w:rPr>
          <w:rFonts w:cs="Arial"/>
        </w:rPr>
      </w:pPr>
    </w:p>
    <w:p w14:paraId="6E16EC02" w14:textId="77777777" w:rsidR="00E86584" w:rsidRPr="00E86584" w:rsidRDefault="00E86584" w:rsidP="00295280">
      <w:pPr>
        <w:numPr>
          <w:ilvl w:val="1"/>
          <w:numId w:val="6"/>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14:paraId="0068EEDC" w14:textId="77777777" w:rsidR="00E86584" w:rsidRDefault="00E86584" w:rsidP="001370FE">
      <w:pPr>
        <w:pStyle w:val="ListParagraph"/>
        <w:ind w:left="709" w:hanging="709"/>
        <w:rPr>
          <w:rFonts w:cs="Arial"/>
        </w:rPr>
      </w:pPr>
    </w:p>
    <w:p w14:paraId="54A01136" w14:textId="77777777" w:rsidR="00E86584" w:rsidRPr="00E86584" w:rsidRDefault="00E86584" w:rsidP="00295280">
      <w:pPr>
        <w:numPr>
          <w:ilvl w:val="1"/>
          <w:numId w:val="6"/>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14:paraId="1BC133AA" w14:textId="77777777" w:rsidR="00E86584" w:rsidRDefault="00E86584" w:rsidP="001370FE">
      <w:pPr>
        <w:pStyle w:val="ListParagraph"/>
        <w:ind w:left="709" w:hanging="709"/>
        <w:rPr>
          <w:rFonts w:cs="Arial"/>
        </w:rPr>
      </w:pPr>
    </w:p>
    <w:p w14:paraId="5DE7C9F6" w14:textId="77777777" w:rsidR="00E86584" w:rsidRDefault="001601D1" w:rsidP="00295280">
      <w:pPr>
        <w:numPr>
          <w:ilvl w:val="1"/>
          <w:numId w:val="6"/>
        </w:numPr>
        <w:autoSpaceDE w:val="0"/>
        <w:autoSpaceDN w:val="0"/>
        <w:adjustRightInd w:val="0"/>
        <w:ind w:left="709" w:hanging="709"/>
        <w:rPr>
          <w:rFonts w:cs="Arial"/>
        </w:rPr>
      </w:pPr>
      <w:r>
        <w:rPr>
          <w:rFonts w:cs="Arial"/>
          <w:b/>
        </w:rPr>
        <w:lastRenderedPageBreak/>
        <w:t>Property / Asset Issues</w:t>
      </w:r>
      <w:r>
        <w:rPr>
          <w:rFonts w:cs="Arial"/>
        </w:rPr>
        <w:t xml:space="preserve"> – None</w:t>
      </w:r>
    </w:p>
    <w:p w14:paraId="203BCDF7" w14:textId="77777777" w:rsidR="000404CF" w:rsidRDefault="000404CF" w:rsidP="001370FE">
      <w:pPr>
        <w:autoSpaceDE w:val="0"/>
        <w:autoSpaceDN w:val="0"/>
        <w:adjustRightInd w:val="0"/>
        <w:ind w:left="709" w:hanging="709"/>
        <w:rPr>
          <w:rFonts w:cs="Arial"/>
          <w:b/>
        </w:rPr>
      </w:pPr>
    </w:p>
    <w:p w14:paraId="31595047" w14:textId="77777777" w:rsidR="009D2E10" w:rsidRDefault="009D2E10" w:rsidP="001370FE">
      <w:pPr>
        <w:autoSpaceDE w:val="0"/>
        <w:autoSpaceDN w:val="0"/>
        <w:adjustRightInd w:val="0"/>
        <w:ind w:left="709" w:hanging="709"/>
        <w:rPr>
          <w:b/>
        </w:rPr>
      </w:pPr>
    </w:p>
    <w:p w14:paraId="4A697B93" w14:textId="77777777"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14:paraId="4BB690B1" w14:textId="77777777" w:rsidR="00EA0621" w:rsidRPr="007432B9" w:rsidRDefault="00EA0621" w:rsidP="001370FE">
      <w:pPr>
        <w:autoSpaceDE w:val="0"/>
        <w:autoSpaceDN w:val="0"/>
        <w:adjustRightInd w:val="0"/>
        <w:ind w:left="709" w:hanging="709"/>
        <w:rPr>
          <w:rFonts w:cs="Arial"/>
          <w:b/>
        </w:rPr>
      </w:pPr>
    </w:p>
    <w:p w14:paraId="35D9AB6C" w14:textId="77777777" w:rsidR="00237113" w:rsidRPr="00C673B3" w:rsidRDefault="00612CCC" w:rsidP="001370FE">
      <w:pPr>
        <w:ind w:left="709" w:hanging="709"/>
        <w:rPr>
          <w:rFonts w:cs="Arial"/>
          <w:color w:val="0000FF"/>
        </w:rPr>
      </w:pPr>
      <w:r>
        <w:rPr>
          <w:rFonts w:cs="Arial"/>
          <w:color w:val="000000"/>
        </w:rPr>
        <w:t xml:space="preserve">None. </w:t>
      </w:r>
    </w:p>
    <w:p w14:paraId="7A920EE5" w14:textId="77777777" w:rsidR="000F14B0" w:rsidRDefault="000F14B0" w:rsidP="001370FE">
      <w:pPr>
        <w:autoSpaceDE w:val="0"/>
        <w:autoSpaceDN w:val="0"/>
        <w:adjustRightInd w:val="0"/>
        <w:ind w:left="709" w:hanging="709"/>
        <w:rPr>
          <w:rFonts w:cs="Arial"/>
          <w:b/>
        </w:rPr>
      </w:pPr>
    </w:p>
    <w:p w14:paraId="50525E07" w14:textId="77777777" w:rsidR="00E22338" w:rsidRDefault="000F14B0" w:rsidP="003413C8">
      <w:pPr>
        <w:autoSpaceDE w:val="0"/>
        <w:autoSpaceDN w:val="0"/>
        <w:adjustRightInd w:val="0"/>
        <w:rPr>
          <w:b/>
        </w:rPr>
      </w:pPr>
      <w:r>
        <w:rPr>
          <w:rFonts w:cs="Arial"/>
          <w:b/>
        </w:rPr>
        <w:t>List of appendices</w:t>
      </w:r>
      <w:r>
        <w:rPr>
          <w:b/>
        </w:rPr>
        <w:t>:</w:t>
      </w:r>
    </w:p>
    <w:p w14:paraId="02EE0FAF" w14:textId="77777777" w:rsidR="002815B1" w:rsidRDefault="002815B1" w:rsidP="003413C8">
      <w:pPr>
        <w:autoSpaceDE w:val="0"/>
        <w:autoSpaceDN w:val="0"/>
        <w:adjustRightInd w:val="0"/>
        <w:rPr>
          <w:b/>
        </w:rPr>
      </w:pPr>
    </w:p>
    <w:p w14:paraId="01DC5796" w14:textId="77777777" w:rsidR="002815B1" w:rsidRDefault="00016BE0" w:rsidP="002815B1">
      <w:pPr>
        <w:jc w:val="both"/>
      </w:pPr>
      <w:r w:rsidRPr="00551BA4">
        <w:t xml:space="preserve">Appendix </w:t>
      </w:r>
      <w:r w:rsidR="00551BA4" w:rsidRPr="00551BA4">
        <w:t>A</w:t>
      </w:r>
      <w:r w:rsidR="00551BA4">
        <w:t xml:space="preserve"> : School Balances</w:t>
      </w:r>
    </w:p>
    <w:p w14:paraId="7D18D302" w14:textId="77777777" w:rsidR="00551BA4" w:rsidRDefault="00551BA4" w:rsidP="002815B1">
      <w:pPr>
        <w:jc w:val="both"/>
      </w:pPr>
    </w:p>
    <w:p w14:paraId="3C63E96F" w14:textId="77777777" w:rsidR="00551BA4" w:rsidRPr="00551BA4" w:rsidRDefault="00551BA4" w:rsidP="002815B1">
      <w:pPr>
        <w:jc w:val="both"/>
      </w:pPr>
      <w:r>
        <w:t>Appendix B: Draft Constitution</w:t>
      </w:r>
    </w:p>
    <w:p w14:paraId="5FFF274E" w14:textId="77777777" w:rsidR="00A31D5E" w:rsidRDefault="00A31D5E" w:rsidP="002815B1">
      <w:pPr>
        <w:jc w:val="both"/>
      </w:pPr>
    </w:p>
    <w:p w14:paraId="5A93CF53" w14:textId="77777777" w:rsidR="00F62408" w:rsidRDefault="00F62408" w:rsidP="002815B1">
      <w:pPr>
        <w:jc w:val="both"/>
      </w:pPr>
    </w:p>
    <w:p w14:paraId="7E3BAEF4" w14:textId="77777777" w:rsidR="009A2052" w:rsidRDefault="009A2052" w:rsidP="00191E9D"/>
    <w:p w14:paraId="52B3C5F1" w14:textId="77777777" w:rsidR="009A2052" w:rsidRDefault="009A2052" w:rsidP="00191E9D"/>
    <w:p w14:paraId="55BD9FC4" w14:textId="77777777" w:rsidR="007100A3" w:rsidRDefault="007100A3" w:rsidP="00191E9D"/>
    <w:p w14:paraId="66A70DA6" w14:textId="77777777" w:rsidR="00FF6CC0" w:rsidRDefault="00FF6CC0" w:rsidP="00191E9D">
      <w:pPr>
        <w:rPr>
          <w:rFonts w:cs="Arial"/>
        </w:rPr>
      </w:pPr>
    </w:p>
    <w:sectPr w:rsidR="00FF6CC0" w:rsidSect="003617A5">
      <w:footerReference w:type="default" r:id="rId8"/>
      <w:pgSz w:w="11909" w:h="16834" w:code="9"/>
      <w:pgMar w:top="851"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8C4C" w14:textId="77777777" w:rsidR="00E74088" w:rsidRDefault="00E74088">
      <w:r>
        <w:separator/>
      </w:r>
    </w:p>
  </w:endnote>
  <w:endnote w:type="continuationSeparator" w:id="0">
    <w:p w14:paraId="0AC69EA9" w14:textId="77777777" w:rsidR="00E74088" w:rsidRDefault="00E7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2065" w14:textId="77777777" w:rsidR="00E25F94" w:rsidRDefault="00E25F94">
    <w:pPr>
      <w:pStyle w:val="Footer"/>
      <w:jc w:val="center"/>
    </w:pPr>
    <w:r>
      <w:fldChar w:fldCharType="begin"/>
    </w:r>
    <w:r>
      <w:instrText xml:space="preserve"> PAGE   \* MERGEFORMAT </w:instrText>
    </w:r>
    <w:r>
      <w:fldChar w:fldCharType="separate"/>
    </w:r>
    <w:r w:rsidR="001C0B69">
      <w:rPr>
        <w:noProof/>
      </w:rPr>
      <w:t>5</w:t>
    </w:r>
    <w:r>
      <w:rPr>
        <w:noProof/>
      </w:rPr>
      <w:fldChar w:fldCharType="end"/>
    </w:r>
  </w:p>
  <w:p w14:paraId="151A8DC6" w14:textId="77777777" w:rsidR="00E25F94" w:rsidRDefault="00E2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C85C9" w14:textId="77777777" w:rsidR="00E74088" w:rsidRDefault="00E74088">
      <w:r>
        <w:separator/>
      </w:r>
    </w:p>
  </w:footnote>
  <w:footnote w:type="continuationSeparator" w:id="0">
    <w:p w14:paraId="73AD1075" w14:textId="77777777" w:rsidR="00E74088" w:rsidRDefault="00E7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A29"/>
    <w:multiLevelType w:val="multilevel"/>
    <w:tmpl w:val="BE600BC8"/>
    <w:lvl w:ilvl="0">
      <w:start w:val="1"/>
      <w:numFmt w:val="decimal"/>
      <w:pStyle w:val="Level1"/>
      <w:lvlText w:val="%1."/>
      <w:lvlJc w:val="left"/>
      <w:pPr>
        <w:tabs>
          <w:tab w:val="num" w:pos="906"/>
        </w:tabs>
        <w:ind w:left="906" w:hanging="1200"/>
      </w:pPr>
      <w:rPr>
        <w:rFonts w:hint="default"/>
        <w:b w:val="0"/>
        <w:i w:val="0"/>
        <w:caps w:val="0"/>
        <w:strike w:val="0"/>
        <w:dstrike w:val="0"/>
        <w:vanish w:val="0"/>
        <w:color w:val="0070C0"/>
        <w:sz w:val="30"/>
        <w:szCs w:val="30"/>
        <w:u w:val="none"/>
        <w:vertAlign w:val="baseline"/>
      </w:rPr>
    </w:lvl>
    <w:lvl w:ilvl="1">
      <w:start w:val="1"/>
      <w:numFmt w:val="decimal"/>
      <w:pStyle w:val="Level2"/>
      <w:lvlText w:val="%1.%2."/>
      <w:lvlJc w:val="left"/>
      <w:pPr>
        <w:tabs>
          <w:tab w:val="num" w:pos="622"/>
        </w:tabs>
        <w:ind w:left="622" w:hanging="1200"/>
      </w:pPr>
      <w:rPr>
        <w:rFonts w:cs="Times New Roman"/>
        <w:b w:val="0"/>
        <w:bCs w:val="0"/>
        <w:i w:val="0"/>
        <w:iCs w:val="0"/>
        <w:caps w:val="0"/>
        <w:smallCaps w:val="0"/>
        <w:strike w:val="0"/>
        <w:dstrike w:val="0"/>
        <w:noProof w:val="0"/>
        <w:vanish w:val="0"/>
        <w:color w:val="262626"/>
        <w:spacing w:val="0"/>
        <w:kern w:val="0"/>
        <w:position w:val="0"/>
        <w:u w:val="none"/>
        <w:vertAlign w:val="baseline"/>
        <w:em w:val="none"/>
      </w:rPr>
    </w:lvl>
    <w:lvl w:ilvl="2">
      <w:start w:val="1"/>
      <w:numFmt w:val="decimal"/>
      <w:lvlText w:val="%1.%2.%3."/>
      <w:lvlJc w:val="left"/>
      <w:pPr>
        <w:tabs>
          <w:tab w:val="num" w:pos="906"/>
        </w:tabs>
        <w:ind w:left="906"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506"/>
        </w:tabs>
        <w:ind w:left="506" w:hanging="400"/>
      </w:pPr>
      <w:rPr>
        <w:rFonts w:ascii="Symbol" w:hAnsi="Symbol" w:hint="default"/>
        <w:color w:val="auto"/>
      </w:rPr>
    </w:lvl>
    <w:lvl w:ilvl="4">
      <w:start w:val="1"/>
      <w:numFmt w:val="decimal"/>
      <w:lvlText w:val="%1.%2.%3.%4.%5."/>
      <w:lvlJc w:val="left"/>
      <w:pPr>
        <w:tabs>
          <w:tab w:val="num" w:pos="2586"/>
        </w:tabs>
        <w:ind w:left="1938" w:hanging="792"/>
      </w:pPr>
      <w:rPr>
        <w:rFonts w:hint="default"/>
      </w:rPr>
    </w:lvl>
    <w:lvl w:ilvl="5">
      <w:start w:val="1"/>
      <w:numFmt w:val="decimal"/>
      <w:lvlText w:val="%1.%2.%3.%4.%5.%6."/>
      <w:lvlJc w:val="left"/>
      <w:pPr>
        <w:tabs>
          <w:tab w:val="num" w:pos="3306"/>
        </w:tabs>
        <w:ind w:left="2442" w:hanging="936"/>
      </w:pPr>
      <w:rPr>
        <w:rFonts w:hint="default"/>
      </w:rPr>
    </w:lvl>
    <w:lvl w:ilvl="6">
      <w:start w:val="1"/>
      <w:numFmt w:val="decimal"/>
      <w:lvlText w:val="%1.%2.%3.%4.%5.%6.%7."/>
      <w:lvlJc w:val="left"/>
      <w:pPr>
        <w:tabs>
          <w:tab w:val="num" w:pos="4026"/>
        </w:tabs>
        <w:ind w:left="2946" w:hanging="1080"/>
      </w:pPr>
      <w:rPr>
        <w:rFonts w:hint="default"/>
      </w:rPr>
    </w:lvl>
    <w:lvl w:ilvl="7">
      <w:start w:val="1"/>
      <w:numFmt w:val="decimal"/>
      <w:lvlText w:val="%1.%2.%3.%4.%5.%6.%7.%8."/>
      <w:lvlJc w:val="left"/>
      <w:pPr>
        <w:tabs>
          <w:tab w:val="num" w:pos="4746"/>
        </w:tabs>
        <w:ind w:left="3450" w:hanging="1224"/>
      </w:pPr>
      <w:rPr>
        <w:rFonts w:hint="default"/>
      </w:rPr>
    </w:lvl>
    <w:lvl w:ilvl="8">
      <w:start w:val="1"/>
      <w:numFmt w:val="decimal"/>
      <w:lvlText w:val="%1.%2.%3.%4.%5.%6.%7.%8.%9."/>
      <w:lvlJc w:val="left"/>
      <w:pPr>
        <w:tabs>
          <w:tab w:val="num" w:pos="5466"/>
        </w:tabs>
        <w:ind w:left="4026" w:hanging="1440"/>
      </w:pPr>
      <w:rPr>
        <w:rFonts w:hint="default"/>
      </w:rPr>
    </w:lvl>
  </w:abstractNum>
  <w:abstractNum w:abstractNumId="1" w15:restartNumberingAfterBreak="0">
    <w:nsid w:val="043B7E1E"/>
    <w:multiLevelType w:val="hybridMultilevel"/>
    <w:tmpl w:val="807A254C"/>
    <w:lvl w:ilvl="0" w:tplc="0809001B">
      <w:start w:val="1"/>
      <w:numFmt w:val="lowerRoman"/>
      <w:lvlText w:val="%1."/>
      <w:lvlJc w:val="righ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5DC78B2"/>
    <w:multiLevelType w:val="hybridMultilevel"/>
    <w:tmpl w:val="4B52E8C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26580"/>
    <w:multiLevelType w:val="hybridMultilevel"/>
    <w:tmpl w:val="716825FC"/>
    <w:lvl w:ilvl="0" w:tplc="13085916">
      <w:start w:val="3"/>
      <w:numFmt w:val="lowerRoman"/>
      <w:lvlText w:val="(%1)"/>
      <w:lvlJc w:val="left"/>
      <w:pPr>
        <w:ind w:left="100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0A8D0415"/>
    <w:multiLevelType w:val="hybridMultilevel"/>
    <w:tmpl w:val="EBC68F6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B4535B"/>
    <w:multiLevelType w:val="hybridMultilevel"/>
    <w:tmpl w:val="12D00E06"/>
    <w:lvl w:ilvl="0" w:tplc="ED50A05A">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52FF3"/>
    <w:multiLevelType w:val="hybridMultilevel"/>
    <w:tmpl w:val="944E0D7E"/>
    <w:lvl w:ilvl="0" w:tplc="A2C621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946262"/>
    <w:multiLevelType w:val="hybridMultilevel"/>
    <w:tmpl w:val="38B24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22831"/>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3F7975"/>
    <w:multiLevelType w:val="hybridMultilevel"/>
    <w:tmpl w:val="8ADE11BA"/>
    <w:lvl w:ilvl="0" w:tplc="2B3036E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9318E2"/>
    <w:multiLevelType w:val="multilevel"/>
    <w:tmpl w:val="A13E5E20"/>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D5F0BA1"/>
    <w:multiLevelType w:val="multilevel"/>
    <w:tmpl w:val="FC40A75A"/>
    <w:lvl w:ilvl="0">
      <w:start w:val="1"/>
      <w:numFmt w:val="decimal"/>
      <w:pStyle w:val="MainHeading"/>
      <w:lvlText w:val="%1."/>
      <w:lvlJc w:val="left"/>
      <w:pPr>
        <w:ind w:left="720" w:hanging="720"/>
      </w:pPr>
    </w:lvl>
    <w:lvl w:ilvl="1">
      <w:start w:val="1"/>
      <w:numFmt w:val="decimal"/>
      <w:pStyle w:val="BodyText1"/>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215986"/>
    <w:multiLevelType w:val="multilevel"/>
    <w:tmpl w:val="423A1A44"/>
    <w:lvl w:ilvl="0">
      <w:start w:val="11"/>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4A75C12"/>
    <w:multiLevelType w:val="hybridMultilevel"/>
    <w:tmpl w:val="B1A22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DF5B50"/>
    <w:multiLevelType w:val="multilevel"/>
    <w:tmpl w:val="62BA1742"/>
    <w:lvl w:ilvl="0">
      <w:start w:val="1"/>
      <w:numFmt w:val="decimal"/>
      <w:lvlText w:val="%1."/>
      <w:lvlJc w:val="left"/>
      <w:pPr>
        <w:ind w:left="1713"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15:restartNumberingAfterBreak="0">
    <w:nsid w:val="366E54EB"/>
    <w:multiLevelType w:val="hybridMultilevel"/>
    <w:tmpl w:val="EC0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25133"/>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D71CBA"/>
    <w:multiLevelType w:val="hybridMultilevel"/>
    <w:tmpl w:val="3CD8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83A24"/>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D72436"/>
    <w:multiLevelType w:val="hybridMultilevel"/>
    <w:tmpl w:val="93DE2144"/>
    <w:lvl w:ilvl="0" w:tplc="F8B27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3386FD9"/>
    <w:multiLevelType w:val="hybridMultilevel"/>
    <w:tmpl w:val="D564FB86"/>
    <w:lvl w:ilvl="0" w:tplc="7BBC4552">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033C6A"/>
    <w:multiLevelType w:val="hybridMultilevel"/>
    <w:tmpl w:val="D4C4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C7B0D"/>
    <w:multiLevelType w:val="multilevel"/>
    <w:tmpl w:val="0B24BB32"/>
    <w:lvl w:ilvl="0">
      <w:start w:val="1"/>
      <w:numFmt w:val="bullet"/>
      <w:lvlText w:val=""/>
      <w:lvlJc w:val="left"/>
      <w:pPr>
        <w:tabs>
          <w:tab w:val="num" w:pos="1287"/>
        </w:tabs>
        <w:ind w:left="1287" w:hanging="720"/>
      </w:pPr>
      <w:rPr>
        <w:rFonts w:ascii="Symbol" w:hAnsi="Symbol" w:hint="default"/>
        <w:b/>
      </w:rPr>
    </w:lvl>
    <w:lvl w:ilvl="1">
      <w:start w:val="1"/>
      <w:numFmt w:val="decimal"/>
      <w:isLgl/>
      <w:lvlText w:val="%1.%2"/>
      <w:lvlJc w:val="left"/>
      <w:pPr>
        <w:tabs>
          <w:tab w:val="num" w:pos="927"/>
        </w:tabs>
        <w:ind w:left="927" w:hanging="360"/>
      </w:pPr>
      <w:rPr>
        <w:rFonts w:hint="default"/>
        <w:b w:val="0"/>
        <w:color w:val="auto"/>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25" w15:restartNumberingAfterBreak="0">
    <w:nsid w:val="5AAB21C8"/>
    <w:multiLevelType w:val="hybridMultilevel"/>
    <w:tmpl w:val="B51A53F4"/>
    <w:lvl w:ilvl="0" w:tplc="A2C621D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D60797"/>
    <w:multiLevelType w:val="hybridMultilevel"/>
    <w:tmpl w:val="FE828B14"/>
    <w:lvl w:ilvl="0" w:tplc="06B47C32">
      <w:start w:val="1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F36A3"/>
    <w:multiLevelType w:val="multilevel"/>
    <w:tmpl w:val="F1B07ED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8" w15:restartNumberingAfterBreak="0">
    <w:nsid w:val="616118B3"/>
    <w:multiLevelType w:val="multilevel"/>
    <w:tmpl w:val="7726681C"/>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5E6FED"/>
    <w:multiLevelType w:val="hybridMultilevel"/>
    <w:tmpl w:val="90128238"/>
    <w:lvl w:ilvl="0" w:tplc="1F7423AA">
      <w:start w:val="2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E3AC9"/>
    <w:multiLevelType w:val="multilevel"/>
    <w:tmpl w:val="FAAE93F4"/>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73E13E64"/>
    <w:multiLevelType w:val="hybridMultilevel"/>
    <w:tmpl w:val="8DB0FE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E37D86"/>
    <w:multiLevelType w:val="hybridMultilevel"/>
    <w:tmpl w:val="DA5472DC"/>
    <w:lvl w:ilvl="0" w:tplc="BBB83C5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75950F8"/>
    <w:multiLevelType w:val="hybridMultilevel"/>
    <w:tmpl w:val="152CBE9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3D727D"/>
    <w:multiLevelType w:val="hybridMultilevel"/>
    <w:tmpl w:val="F9B65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490FEE"/>
    <w:multiLevelType w:val="multilevel"/>
    <w:tmpl w:val="89E47D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34"/>
  </w:num>
  <w:num w:numId="4">
    <w:abstractNumId w:val="14"/>
  </w:num>
  <w:num w:numId="5">
    <w:abstractNumId w:val="0"/>
  </w:num>
  <w:num w:numId="6">
    <w:abstractNumId w:val="5"/>
  </w:num>
  <w:num w:numId="7">
    <w:abstractNumId w:val="17"/>
  </w:num>
  <w:num w:numId="8">
    <w:abstractNumId w:val="23"/>
  </w:num>
  <w:num w:numId="9">
    <w:abstractNumId w:val="25"/>
  </w:num>
  <w:num w:numId="10">
    <w:abstractNumId w:val="35"/>
  </w:num>
  <w:num w:numId="11">
    <w:abstractNumId w:val="28"/>
  </w:num>
  <w:num w:numId="12">
    <w:abstractNumId w:val="12"/>
  </w:num>
  <w:num w:numId="13">
    <w:abstractNumId w:val="1"/>
  </w:num>
  <w:num w:numId="14">
    <w:abstractNumId w:val="4"/>
  </w:num>
  <w:num w:numId="15">
    <w:abstractNumId w:val="36"/>
  </w:num>
  <w:num w:numId="16">
    <w:abstractNumId w:val="30"/>
  </w:num>
  <w:num w:numId="17">
    <w:abstractNumId w:val="27"/>
  </w:num>
  <w:num w:numId="18">
    <w:abstractNumId w:val="19"/>
  </w:num>
  <w:num w:numId="19">
    <w:abstractNumId w:val="33"/>
  </w:num>
  <w:num w:numId="20">
    <w:abstractNumId w:val="10"/>
  </w:num>
  <w:num w:numId="21">
    <w:abstractNumId w:val="15"/>
  </w:num>
  <w:num w:numId="22">
    <w:abstractNumId w:val="7"/>
  </w:num>
  <w:num w:numId="23">
    <w:abstractNumId w:val="8"/>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6"/>
  </w:num>
  <w:num w:numId="29">
    <w:abstractNumId w:val="9"/>
  </w:num>
  <w:num w:numId="30">
    <w:abstractNumId w:val="3"/>
  </w:num>
  <w:num w:numId="31">
    <w:abstractNumId w:val="13"/>
  </w:num>
  <w:num w:numId="32">
    <w:abstractNumId w:val="16"/>
  </w:num>
  <w:num w:numId="33">
    <w:abstractNumId w:val="32"/>
  </w:num>
  <w:num w:numId="34">
    <w:abstractNumId w:val="21"/>
  </w:num>
  <w:num w:numId="35">
    <w:abstractNumId w:val="24"/>
  </w:num>
  <w:num w:numId="36">
    <w:abstractNumId w:val="29"/>
  </w:num>
  <w:num w:numId="3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F"/>
    <w:rsid w:val="000016AB"/>
    <w:rsid w:val="00002AF8"/>
    <w:rsid w:val="00005B71"/>
    <w:rsid w:val="00006DA9"/>
    <w:rsid w:val="00007D7B"/>
    <w:rsid w:val="00010185"/>
    <w:rsid w:val="000123DC"/>
    <w:rsid w:val="0001592B"/>
    <w:rsid w:val="0001602F"/>
    <w:rsid w:val="00016BE0"/>
    <w:rsid w:val="00017940"/>
    <w:rsid w:val="00021BBF"/>
    <w:rsid w:val="00021BED"/>
    <w:rsid w:val="000249EC"/>
    <w:rsid w:val="0002531C"/>
    <w:rsid w:val="00025EA0"/>
    <w:rsid w:val="00026914"/>
    <w:rsid w:val="000310B7"/>
    <w:rsid w:val="000318AC"/>
    <w:rsid w:val="00033019"/>
    <w:rsid w:val="00034204"/>
    <w:rsid w:val="0003456B"/>
    <w:rsid w:val="00034678"/>
    <w:rsid w:val="00034AAA"/>
    <w:rsid w:val="00035222"/>
    <w:rsid w:val="00036181"/>
    <w:rsid w:val="000365CD"/>
    <w:rsid w:val="000404CF"/>
    <w:rsid w:val="000413B1"/>
    <w:rsid w:val="00042094"/>
    <w:rsid w:val="00043B61"/>
    <w:rsid w:val="00043C82"/>
    <w:rsid w:val="00047C2C"/>
    <w:rsid w:val="00051382"/>
    <w:rsid w:val="00051F08"/>
    <w:rsid w:val="0005699A"/>
    <w:rsid w:val="00063181"/>
    <w:rsid w:val="00064AE1"/>
    <w:rsid w:val="00065FE5"/>
    <w:rsid w:val="00067F01"/>
    <w:rsid w:val="00072940"/>
    <w:rsid w:val="00072AF4"/>
    <w:rsid w:val="00075390"/>
    <w:rsid w:val="00076174"/>
    <w:rsid w:val="000816B4"/>
    <w:rsid w:val="000820BD"/>
    <w:rsid w:val="000839E0"/>
    <w:rsid w:val="000842DC"/>
    <w:rsid w:val="00094439"/>
    <w:rsid w:val="00094667"/>
    <w:rsid w:val="00097034"/>
    <w:rsid w:val="000973FA"/>
    <w:rsid w:val="0009760F"/>
    <w:rsid w:val="000A0018"/>
    <w:rsid w:val="000A3110"/>
    <w:rsid w:val="000A4E4C"/>
    <w:rsid w:val="000A5CEC"/>
    <w:rsid w:val="000A66D7"/>
    <w:rsid w:val="000B0001"/>
    <w:rsid w:val="000B16F3"/>
    <w:rsid w:val="000B3C9B"/>
    <w:rsid w:val="000B4DC8"/>
    <w:rsid w:val="000B7DB1"/>
    <w:rsid w:val="000C0C31"/>
    <w:rsid w:val="000C1A29"/>
    <w:rsid w:val="000C1D38"/>
    <w:rsid w:val="000C2344"/>
    <w:rsid w:val="000C5C0F"/>
    <w:rsid w:val="000C62C5"/>
    <w:rsid w:val="000D030E"/>
    <w:rsid w:val="000D05CB"/>
    <w:rsid w:val="000D2F6E"/>
    <w:rsid w:val="000D55A6"/>
    <w:rsid w:val="000D5779"/>
    <w:rsid w:val="000D5787"/>
    <w:rsid w:val="000D7DC8"/>
    <w:rsid w:val="000E20BD"/>
    <w:rsid w:val="000E2EA0"/>
    <w:rsid w:val="000E3D31"/>
    <w:rsid w:val="000E5DAE"/>
    <w:rsid w:val="000E7B9F"/>
    <w:rsid w:val="000F14B0"/>
    <w:rsid w:val="000F281E"/>
    <w:rsid w:val="000F291D"/>
    <w:rsid w:val="001015A7"/>
    <w:rsid w:val="001017C9"/>
    <w:rsid w:val="00102BB7"/>
    <w:rsid w:val="00103630"/>
    <w:rsid w:val="001059DE"/>
    <w:rsid w:val="001060BA"/>
    <w:rsid w:val="001102BC"/>
    <w:rsid w:val="00115B41"/>
    <w:rsid w:val="00116B4F"/>
    <w:rsid w:val="00117262"/>
    <w:rsid w:val="0011747C"/>
    <w:rsid w:val="0012128A"/>
    <w:rsid w:val="00121534"/>
    <w:rsid w:val="0012179E"/>
    <w:rsid w:val="00122E68"/>
    <w:rsid w:val="00123C9C"/>
    <w:rsid w:val="00124287"/>
    <w:rsid w:val="00127C01"/>
    <w:rsid w:val="0013009A"/>
    <w:rsid w:val="00130919"/>
    <w:rsid w:val="0013164F"/>
    <w:rsid w:val="00133834"/>
    <w:rsid w:val="0013439C"/>
    <w:rsid w:val="00136D34"/>
    <w:rsid w:val="001370FE"/>
    <w:rsid w:val="00137D48"/>
    <w:rsid w:val="00140325"/>
    <w:rsid w:val="001408AF"/>
    <w:rsid w:val="00141508"/>
    <w:rsid w:val="00141BCF"/>
    <w:rsid w:val="00142E26"/>
    <w:rsid w:val="00145BDB"/>
    <w:rsid w:val="00146296"/>
    <w:rsid w:val="00147B39"/>
    <w:rsid w:val="00150277"/>
    <w:rsid w:val="0015429D"/>
    <w:rsid w:val="00154EB3"/>
    <w:rsid w:val="001556CA"/>
    <w:rsid w:val="00155F07"/>
    <w:rsid w:val="001601D1"/>
    <w:rsid w:val="00161DD3"/>
    <w:rsid w:val="001620F2"/>
    <w:rsid w:val="001623F6"/>
    <w:rsid w:val="00165486"/>
    <w:rsid w:val="00165B3C"/>
    <w:rsid w:val="00166496"/>
    <w:rsid w:val="00166E5E"/>
    <w:rsid w:val="001710FA"/>
    <w:rsid w:val="00175D83"/>
    <w:rsid w:val="00176AB6"/>
    <w:rsid w:val="00176C17"/>
    <w:rsid w:val="00181709"/>
    <w:rsid w:val="0018172B"/>
    <w:rsid w:val="0018490C"/>
    <w:rsid w:val="001874DF"/>
    <w:rsid w:val="00191E7E"/>
    <w:rsid w:val="00191E9D"/>
    <w:rsid w:val="0019228B"/>
    <w:rsid w:val="001924BF"/>
    <w:rsid w:val="0019260C"/>
    <w:rsid w:val="00193BDC"/>
    <w:rsid w:val="00196460"/>
    <w:rsid w:val="00197808"/>
    <w:rsid w:val="001978A2"/>
    <w:rsid w:val="001A2041"/>
    <w:rsid w:val="001A2280"/>
    <w:rsid w:val="001A26C2"/>
    <w:rsid w:val="001A3C41"/>
    <w:rsid w:val="001A7B87"/>
    <w:rsid w:val="001B2632"/>
    <w:rsid w:val="001B2F12"/>
    <w:rsid w:val="001B47A6"/>
    <w:rsid w:val="001B56CC"/>
    <w:rsid w:val="001B6318"/>
    <w:rsid w:val="001B7D7D"/>
    <w:rsid w:val="001C0B0D"/>
    <w:rsid w:val="001C0B69"/>
    <w:rsid w:val="001C72A2"/>
    <w:rsid w:val="001D2EF5"/>
    <w:rsid w:val="001D530B"/>
    <w:rsid w:val="001D5F19"/>
    <w:rsid w:val="001D622F"/>
    <w:rsid w:val="001D648F"/>
    <w:rsid w:val="001E0514"/>
    <w:rsid w:val="001E0ED9"/>
    <w:rsid w:val="001E3036"/>
    <w:rsid w:val="001E37C2"/>
    <w:rsid w:val="001E3CC4"/>
    <w:rsid w:val="001E436C"/>
    <w:rsid w:val="001E5AFB"/>
    <w:rsid w:val="001E6232"/>
    <w:rsid w:val="001E7623"/>
    <w:rsid w:val="001F065B"/>
    <w:rsid w:val="001F0959"/>
    <w:rsid w:val="001F1E59"/>
    <w:rsid w:val="001F208A"/>
    <w:rsid w:val="001F2368"/>
    <w:rsid w:val="0020083A"/>
    <w:rsid w:val="00200F1B"/>
    <w:rsid w:val="00204510"/>
    <w:rsid w:val="00205671"/>
    <w:rsid w:val="00206B8C"/>
    <w:rsid w:val="0021058F"/>
    <w:rsid w:val="00210E9A"/>
    <w:rsid w:val="00211F72"/>
    <w:rsid w:val="00215C52"/>
    <w:rsid w:val="00216EBD"/>
    <w:rsid w:val="0021756D"/>
    <w:rsid w:val="002201F0"/>
    <w:rsid w:val="00220FCF"/>
    <w:rsid w:val="0022335E"/>
    <w:rsid w:val="002245EE"/>
    <w:rsid w:val="00224ACC"/>
    <w:rsid w:val="00225E0C"/>
    <w:rsid w:val="00226594"/>
    <w:rsid w:val="0022706D"/>
    <w:rsid w:val="00230EA1"/>
    <w:rsid w:val="002324F7"/>
    <w:rsid w:val="002329C6"/>
    <w:rsid w:val="00234E6C"/>
    <w:rsid w:val="00237113"/>
    <w:rsid w:val="00240ECA"/>
    <w:rsid w:val="0024162A"/>
    <w:rsid w:val="00242390"/>
    <w:rsid w:val="00242399"/>
    <w:rsid w:val="00243460"/>
    <w:rsid w:val="002434F6"/>
    <w:rsid w:val="00243E12"/>
    <w:rsid w:val="002473FC"/>
    <w:rsid w:val="00247A48"/>
    <w:rsid w:val="00250D54"/>
    <w:rsid w:val="00251787"/>
    <w:rsid w:val="002522E2"/>
    <w:rsid w:val="00252416"/>
    <w:rsid w:val="00254A98"/>
    <w:rsid w:val="00261196"/>
    <w:rsid w:val="002618AB"/>
    <w:rsid w:val="00264A9B"/>
    <w:rsid w:val="00264E80"/>
    <w:rsid w:val="002669D3"/>
    <w:rsid w:val="00271B83"/>
    <w:rsid w:val="00273F31"/>
    <w:rsid w:val="00274EC3"/>
    <w:rsid w:val="00275541"/>
    <w:rsid w:val="00276076"/>
    <w:rsid w:val="00276251"/>
    <w:rsid w:val="0027680C"/>
    <w:rsid w:val="002804CF"/>
    <w:rsid w:val="00280EC4"/>
    <w:rsid w:val="002815B1"/>
    <w:rsid w:val="00281849"/>
    <w:rsid w:val="002846E7"/>
    <w:rsid w:val="002855A5"/>
    <w:rsid w:val="0028601B"/>
    <w:rsid w:val="00292AD7"/>
    <w:rsid w:val="00293137"/>
    <w:rsid w:val="00294D66"/>
    <w:rsid w:val="00295067"/>
    <w:rsid w:val="00295280"/>
    <w:rsid w:val="002A0586"/>
    <w:rsid w:val="002A0748"/>
    <w:rsid w:val="002A1ECE"/>
    <w:rsid w:val="002A2692"/>
    <w:rsid w:val="002A2FA5"/>
    <w:rsid w:val="002A3699"/>
    <w:rsid w:val="002A4F18"/>
    <w:rsid w:val="002B11B5"/>
    <w:rsid w:val="002B1A9D"/>
    <w:rsid w:val="002B1E30"/>
    <w:rsid w:val="002B1F79"/>
    <w:rsid w:val="002B30DE"/>
    <w:rsid w:val="002B402B"/>
    <w:rsid w:val="002B51C7"/>
    <w:rsid w:val="002C02D2"/>
    <w:rsid w:val="002C161D"/>
    <w:rsid w:val="002C1B17"/>
    <w:rsid w:val="002C20C7"/>
    <w:rsid w:val="002C32ED"/>
    <w:rsid w:val="002C7239"/>
    <w:rsid w:val="002D01CD"/>
    <w:rsid w:val="002D4818"/>
    <w:rsid w:val="002D49EE"/>
    <w:rsid w:val="002D5B3F"/>
    <w:rsid w:val="002D5ECC"/>
    <w:rsid w:val="002D6FBC"/>
    <w:rsid w:val="002D7809"/>
    <w:rsid w:val="002E1B29"/>
    <w:rsid w:val="002E3116"/>
    <w:rsid w:val="002E4908"/>
    <w:rsid w:val="002E5490"/>
    <w:rsid w:val="002E7EC2"/>
    <w:rsid w:val="002F090F"/>
    <w:rsid w:val="002F0963"/>
    <w:rsid w:val="002F1DAF"/>
    <w:rsid w:val="002F3DC6"/>
    <w:rsid w:val="002F3F9A"/>
    <w:rsid w:val="002F61B6"/>
    <w:rsid w:val="002F756C"/>
    <w:rsid w:val="002F76FB"/>
    <w:rsid w:val="002F7D9D"/>
    <w:rsid w:val="002F7DBC"/>
    <w:rsid w:val="0030133F"/>
    <w:rsid w:val="003019D7"/>
    <w:rsid w:val="00301D4F"/>
    <w:rsid w:val="00303B06"/>
    <w:rsid w:val="00304EE1"/>
    <w:rsid w:val="00304F5B"/>
    <w:rsid w:val="00307168"/>
    <w:rsid w:val="00310E2C"/>
    <w:rsid w:val="003121E6"/>
    <w:rsid w:val="003128DF"/>
    <w:rsid w:val="00313462"/>
    <w:rsid w:val="00314DE9"/>
    <w:rsid w:val="003150DD"/>
    <w:rsid w:val="0031530D"/>
    <w:rsid w:val="003161E4"/>
    <w:rsid w:val="00316BAA"/>
    <w:rsid w:val="00317452"/>
    <w:rsid w:val="00317B0D"/>
    <w:rsid w:val="00320183"/>
    <w:rsid w:val="00320E9A"/>
    <w:rsid w:val="0032172D"/>
    <w:rsid w:val="00322068"/>
    <w:rsid w:val="00324560"/>
    <w:rsid w:val="00325B4D"/>
    <w:rsid w:val="003264B9"/>
    <w:rsid w:val="00326A4D"/>
    <w:rsid w:val="00331B0A"/>
    <w:rsid w:val="003333C3"/>
    <w:rsid w:val="00334B9F"/>
    <w:rsid w:val="00336997"/>
    <w:rsid w:val="003369B4"/>
    <w:rsid w:val="003379E5"/>
    <w:rsid w:val="003413C8"/>
    <w:rsid w:val="003462DC"/>
    <w:rsid w:val="00346BB9"/>
    <w:rsid w:val="00350D3D"/>
    <w:rsid w:val="0035103D"/>
    <w:rsid w:val="00351CE3"/>
    <w:rsid w:val="00352659"/>
    <w:rsid w:val="00353EE6"/>
    <w:rsid w:val="00356655"/>
    <w:rsid w:val="003568BF"/>
    <w:rsid w:val="00356AE5"/>
    <w:rsid w:val="00357988"/>
    <w:rsid w:val="003617A5"/>
    <w:rsid w:val="003632EF"/>
    <w:rsid w:val="00371F4D"/>
    <w:rsid w:val="0037219A"/>
    <w:rsid w:val="00375509"/>
    <w:rsid w:val="003776E0"/>
    <w:rsid w:val="0038132C"/>
    <w:rsid w:val="00381481"/>
    <w:rsid w:val="00381F2E"/>
    <w:rsid w:val="00382AB6"/>
    <w:rsid w:val="00382D58"/>
    <w:rsid w:val="00383EA6"/>
    <w:rsid w:val="003849C5"/>
    <w:rsid w:val="00385B4A"/>
    <w:rsid w:val="00385DAE"/>
    <w:rsid w:val="00385FC8"/>
    <w:rsid w:val="00386093"/>
    <w:rsid w:val="0038769D"/>
    <w:rsid w:val="00391199"/>
    <w:rsid w:val="00394FC1"/>
    <w:rsid w:val="00395640"/>
    <w:rsid w:val="003959C8"/>
    <w:rsid w:val="003965D7"/>
    <w:rsid w:val="003A2322"/>
    <w:rsid w:val="003A44FA"/>
    <w:rsid w:val="003A5C3F"/>
    <w:rsid w:val="003B09E2"/>
    <w:rsid w:val="003B18E3"/>
    <w:rsid w:val="003B2ED6"/>
    <w:rsid w:val="003B6610"/>
    <w:rsid w:val="003B6AE6"/>
    <w:rsid w:val="003C0695"/>
    <w:rsid w:val="003C0B67"/>
    <w:rsid w:val="003C16AB"/>
    <w:rsid w:val="003C3C1E"/>
    <w:rsid w:val="003C5F14"/>
    <w:rsid w:val="003C7A27"/>
    <w:rsid w:val="003D0435"/>
    <w:rsid w:val="003D07B7"/>
    <w:rsid w:val="003D10E0"/>
    <w:rsid w:val="003D1295"/>
    <w:rsid w:val="003D1E77"/>
    <w:rsid w:val="003D2040"/>
    <w:rsid w:val="003D4384"/>
    <w:rsid w:val="003D4495"/>
    <w:rsid w:val="003D4EB9"/>
    <w:rsid w:val="003D5FC7"/>
    <w:rsid w:val="003D6D4B"/>
    <w:rsid w:val="003E152D"/>
    <w:rsid w:val="003E2EDE"/>
    <w:rsid w:val="003E4848"/>
    <w:rsid w:val="003E4E2F"/>
    <w:rsid w:val="003E5069"/>
    <w:rsid w:val="003E6631"/>
    <w:rsid w:val="003E71A4"/>
    <w:rsid w:val="003F016C"/>
    <w:rsid w:val="003F2A45"/>
    <w:rsid w:val="003F5680"/>
    <w:rsid w:val="003F6B28"/>
    <w:rsid w:val="003F7012"/>
    <w:rsid w:val="004002A6"/>
    <w:rsid w:val="00401DEB"/>
    <w:rsid w:val="00402C6B"/>
    <w:rsid w:val="00403751"/>
    <w:rsid w:val="00405AD1"/>
    <w:rsid w:val="0040648F"/>
    <w:rsid w:val="0040697B"/>
    <w:rsid w:val="00407E26"/>
    <w:rsid w:val="00411851"/>
    <w:rsid w:val="0041533E"/>
    <w:rsid w:val="00416034"/>
    <w:rsid w:val="00416CD5"/>
    <w:rsid w:val="00417FE5"/>
    <w:rsid w:val="00422023"/>
    <w:rsid w:val="0042253F"/>
    <w:rsid w:val="00423313"/>
    <w:rsid w:val="00424216"/>
    <w:rsid w:val="00424A8E"/>
    <w:rsid w:val="00426024"/>
    <w:rsid w:val="00431891"/>
    <w:rsid w:val="00432DCB"/>
    <w:rsid w:val="0043366B"/>
    <w:rsid w:val="00433B2F"/>
    <w:rsid w:val="00435B81"/>
    <w:rsid w:val="00435B99"/>
    <w:rsid w:val="0044005E"/>
    <w:rsid w:val="00443BBE"/>
    <w:rsid w:val="00446A1D"/>
    <w:rsid w:val="00447DB7"/>
    <w:rsid w:val="0045048E"/>
    <w:rsid w:val="00450580"/>
    <w:rsid w:val="00452879"/>
    <w:rsid w:val="00452DE4"/>
    <w:rsid w:val="00454E9F"/>
    <w:rsid w:val="00456C9A"/>
    <w:rsid w:val="00457CF5"/>
    <w:rsid w:val="00460710"/>
    <w:rsid w:val="004616F0"/>
    <w:rsid w:val="00461800"/>
    <w:rsid w:val="00461EAD"/>
    <w:rsid w:val="00462371"/>
    <w:rsid w:val="00465DD5"/>
    <w:rsid w:val="004667B4"/>
    <w:rsid w:val="0046701F"/>
    <w:rsid w:val="004755AB"/>
    <w:rsid w:val="004760F2"/>
    <w:rsid w:val="0047630A"/>
    <w:rsid w:val="00476508"/>
    <w:rsid w:val="004779AE"/>
    <w:rsid w:val="00480750"/>
    <w:rsid w:val="00481B43"/>
    <w:rsid w:val="0048238A"/>
    <w:rsid w:val="004825B1"/>
    <w:rsid w:val="00482983"/>
    <w:rsid w:val="0048497C"/>
    <w:rsid w:val="00485CE3"/>
    <w:rsid w:val="00486F3B"/>
    <w:rsid w:val="004912CD"/>
    <w:rsid w:val="0049174F"/>
    <w:rsid w:val="0049210C"/>
    <w:rsid w:val="0049251A"/>
    <w:rsid w:val="00495974"/>
    <w:rsid w:val="00496936"/>
    <w:rsid w:val="00496CE0"/>
    <w:rsid w:val="00497391"/>
    <w:rsid w:val="00497A3A"/>
    <w:rsid w:val="004A0E44"/>
    <w:rsid w:val="004A56E6"/>
    <w:rsid w:val="004A6E84"/>
    <w:rsid w:val="004B4294"/>
    <w:rsid w:val="004B58A3"/>
    <w:rsid w:val="004B6611"/>
    <w:rsid w:val="004B72E4"/>
    <w:rsid w:val="004B7734"/>
    <w:rsid w:val="004C12EF"/>
    <w:rsid w:val="004C175A"/>
    <w:rsid w:val="004C5BB6"/>
    <w:rsid w:val="004C6549"/>
    <w:rsid w:val="004C6C24"/>
    <w:rsid w:val="004C6CD0"/>
    <w:rsid w:val="004C71D4"/>
    <w:rsid w:val="004C7355"/>
    <w:rsid w:val="004D1483"/>
    <w:rsid w:val="004D2C7A"/>
    <w:rsid w:val="004D4124"/>
    <w:rsid w:val="004D5CC1"/>
    <w:rsid w:val="004D675F"/>
    <w:rsid w:val="004E1DC9"/>
    <w:rsid w:val="004E1F59"/>
    <w:rsid w:val="004E522A"/>
    <w:rsid w:val="004E76F0"/>
    <w:rsid w:val="004F046F"/>
    <w:rsid w:val="004F0A81"/>
    <w:rsid w:val="004F1D44"/>
    <w:rsid w:val="004F4568"/>
    <w:rsid w:val="004F478F"/>
    <w:rsid w:val="004F6231"/>
    <w:rsid w:val="004F787C"/>
    <w:rsid w:val="0050034D"/>
    <w:rsid w:val="00500455"/>
    <w:rsid w:val="00500654"/>
    <w:rsid w:val="00502F62"/>
    <w:rsid w:val="00507D0E"/>
    <w:rsid w:val="005106A1"/>
    <w:rsid w:val="005118CD"/>
    <w:rsid w:val="005161F7"/>
    <w:rsid w:val="0051664A"/>
    <w:rsid w:val="00516A35"/>
    <w:rsid w:val="00520A46"/>
    <w:rsid w:val="00522FB2"/>
    <w:rsid w:val="00527BC9"/>
    <w:rsid w:val="00531D72"/>
    <w:rsid w:val="005332A4"/>
    <w:rsid w:val="00533C1B"/>
    <w:rsid w:val="00535111"/>
    <w:rsid w:val="00536079"/>
    <w:rsid w:val="0054042B"/>
    <w:rsid w:val="0054527D"/>
    <w:rsid w:val="00545FF9"/>
    <w:rsid w:val="00546E2E"/>
    <w:rsid w:val="00551BA4"/>
    <w:rsid w:val="00552989"/>
    <w:rsid w:val="00552D3A"/>
    <w:rsid w:val="00553269"/>
    <w:rsid w:val="00553490"/>
    <w:rsid w:val="005537FC"/>
    <w:rsid w:val="005550B8"/>
    <w:rsid w:val="005552C1"/>
    <w:rsid w:val="00556AF1"/>
    <w:rsid w:val="00557FE3"/>
    <w:rsid w:val="00560DAC"/>
    <w:rsid w:val="005632E9"/>
    <w:rsid w:val="005654EF"/>
    <w:rsid w:val="00567732"/>
    <w:rsid w:val="00572B2D"/>
    <w:rsid w:val="00574B59"/>
    <w:rsid w:val="00575B31"/>
    <w:rsid w:val="00575C96"/>
    <w:rsid w:val="005762A4"/>
    <w:rsid w:val="00581C3A"/>
    <w:rsid w:val="00583A52"/>
    <w:rsid w:val="00586015"/>
    <w:rsid w:val="005866D8"/>
    <w:rsid w:val="00590394"/>
    <w:rsid w:val="005907EA"/>
    <w:rsid w:val="00592E78"/>
    <w:rsid w:val="00597503"/>
    <w:rsid w:val="005977AD"/>
    <w:rsid w:val="005A06A8"/>
    <w:rsid w:val="005A2015"/>
    <w:rsid w:val="005A28A2"/>
    <w:rsid w:val="005A3742"/>
    <w:rsid w:val="005A3903"/>
    <w:rsid w:val="005A4067"/>
    <w:rsid w:val="005A6563"/>
    <w:rsid w:val="005A6871"/>
    <w:rsid w:val="005B2190"/>
    <w:rsid w:val="005B2344"/>
    <w:rsid w:val="005B26C6"/>
    <w:rsid w:val="005B4ABA"/>
    <w:rsid w:val="005B5B4A"/>
    <w:rsid w:val="005B7BE4"/>
    <w:rsid w:val="005C0823"/>
    <w:rsid w:val="005C2590"/>
    <w:rsid w:val="005C276A"/>
    <w:rsid w:val="005C3D1C"/>
    <w:rsid w:val="005C5086"/>
    <w:rsid w:val="005C50C6"/>
    <w:rsid w:val="005C5657"/>
    <w:rsid w:val="005C6A45"/>
    <w:rsid w:val="005D01FA"/>
    <w:rsid w:val="005D0FDD"/>
    <w:rsid w:val="005D114F"/>
    <w:rsid w:val="005D1951"/>
    <w:rsid w:val="005D260F"/>
    <w:rsid w:val="005D2682"/>
    <w:rsid w:val="005D2B98"/>
    <w:rsid w:val="005D4D3E"/>
    <w:rsid w:val="005D5894"/>
    <w:rsid w:val="005D6B38"/>
    <w:rsid w:val="005E0CE6"/>
    <w:rsid w:val="005E31C1"/>
    <w:rsid w:val="005E3416"/>
    <w:rsid w:val="005E3600"/>
    <w:rsid w:val="005E44F0"/>
    <w:rsid w:val="005E678B"/>
    <w:rsid w:val="005E6E42"/>
    <w:rsid w:val="005E7931"/>
    <w:rsid w:val="005E7996"/>
    <w:rsid w:val="005F10DC"/>
    <w:rsid w:val="005F32C6"/>
    <w:rsid w:val="005F3A5D"/>
    <w:rsid w:val="005F3FCA"/>
    <w:rsid w:val="005F78F6"/>
    <w:rsid w:val="006029FE"/>
    <w:rsid w:val="00603788"/>
    <w:rsid w:val="00606FF1"/>
    <w:rsid w:val="006103DD"/>
    <w:rsid w:val="0061275E"/>
    <w:rsid w:val="00612CCC"/>
    <w:rsid w:val="00613D34"/>
    <w:rsid w:val="00615157"/>
    <w:rsid w:val="00615266"/>
    <w:rsid w:val="00615657"/>
    <w:rsid w:val="00615E74"/>
    <w:rsid w:val="006160BE"/>
    <w:rsid w:val="006214BE"/>
    <w:rsid w:val="00621839"/>
    <w:rsid w:val="006262A7"/>
    <w:rsid w:val="00627CCF"/>
    <w:rsid w:val="00627FDA"/>
    <w:rsid w:val="00632A37"/>
    <w:rsid w:val="0063396F"/>
    <w:rsid w:val="006379BD"/>
    <w:rsid w:val="00640782"/>
    <w:rsid w:val="00640AD2"/>
    <w:rsid w:val="00643185"/>
    <w:rsid w:val="006451FF"/>
    <w:rsid w:val="0064692D"/>
    <w:rsid w:val="0065367B"/>
    <w:rsid w:val="00655A81"/>
    <w:rsid w:val="00657B37"/>
    <w:rsid w:val="00665700"/>
    <w:rsid w:val="006700DE"/>
    <w:rsid w:val="00670318"/>
    <w:rsid w:val="0067097F"/>
    <w:rsid w:val="00670C75"/>
    <w:rsid w:val="006711CF"/>
    <w:rsid w:val="0067198E"/>
    <w:rsid w:val="006748E1"/>
    <w:rsid w:val="0067513C"/>
    <w:rsid w:val="00676049"/>
    <w:rsid w:val="00677070"/>
    <w:rsid w:val="0068024D"/>
    <w:rsid w:val="0068027C"/>
    <w:rsid w:val="006820DE"/>
    <w:rsid w:val="00684803"/>
    <w:rsid w:val="00687B28"/>
    <w:rsid w:val="006948FB"/>
    <w:rsid w:val="00696E24"/>
    <w:rsid w:val="006A029C"/>
    <w:rsid w:val="006A0305"/>
    <w:rsid w:val="006A0665"/>
    <w:rsid w:val="006A0794"/>
    <w:rsid w:val="006A0B13"/>
    <w:rsid w:val="006A0F95"/>
    <w:rsid w:val="006A64D0"/>
    <w:rsid w:val="006A6570"/>
    <w:rsid w:val="006A69F3"/>
    <w:rsid w:val="006A7794"/>
    <w:rsid w:val="006B05B0"/>
    <w:rsid w:val="006B061A"/>
    <w:rsid w:val="006B0B04"/>
    <w:rsid w:val="006B18C2"/>
    <w:rsid w:val="006B37BA"/>
    <w:rsid w:val="006B37BD"/>
    <w:rsid w:val="006B3C35"/>
    <w:rsid w:val="006B6299"/>
    <w:rsid w:val="006B62D5"/>
    <w:rsid w:val="006B6C4C"/>
    <w:rsid w:val="006B71BB"/>
    <w:rsid w:val="006B72BD"/>
    <w:rsid w:val="006B740F"/>
    <w:rsid w:val="006B7C98"/>
    <w:rsid w:val="006C0A36"/>
    <w:rsid w:val="006C1374"/>
    <w:rsid w:val="006C1C9A"/>
    <w:rsid w:val="006C4D3C"/>
    <w:rsid w:val="006C4EC0"/>
    <w:rsid w:val="006D2D69"/>
    <w:rsid w:val="006D5360"/>
    <w:rsid w:val="006D54F2"/>
    <w:rsid w:val="006D60D1"/>
    <w:rsid w:val="006D786D"/>
    <w:rsid w:val="006E145D"/>
    <w:rsid w:val="006E417A"/>
    <w:rsid w:val="006E461C"/>
    <w:rsid w:val="006E572A"/>
    <w:rsid w:val="006E6BCA"/>
    <w:rsid w:val="006E7F49"/>
    <w:rsid w:val="006F01B7"/>
    <w:rsid w:val="006F41F0"/>
    <w:rsid w:val="006F49E8"/>
    <w:rsid w:val="006F5B47"/>
    <w:rsid w:val="006F76FC"/>
    <w:rsid w:val="00706238"/>
    <w:rsid w:val="00706C8C"/>
    <w:rsid w:val="00707E16"/>
    <w:rsid w:val="007100A3"/>
    <w:rsid w:val="00711800"/>
    <w:rsid w:val="00711A8C"/>
    <w:rsid w:val="00712AC9"/>
    <w:rsid w:val="00712D1D"/>
    <w:rsid w:val="007135DB"/>
    <w:rsid w:val="00716AAD"/>
    <w:rsid w:val="00721B34"/>
    <w:rsid w:val="00724ACC"/>
    <w:rsid w:val="00726F3F"/>
    <w:rsid w:val="00730431"/>
    <w:rsid w:val="00730E90"/>
    <w:rsid w:val="00730FF6"/>
    <w:rsid w:val="007322F8"/>
    <w:rsid w:val="00733172"/>
    <w:rsid w:val="00734A6B"/>
    <w:rsid w:val="00735987"/>
    <w:rsid w:val="00736115"/>
    <w:rsid w:val="00736D1C"/>
    <w:rsid w:val="007406AE"/>
    <w:rsid w:val="00742BC2"/>
    <w:rsid w:val="007432B9"/>
    <w:rsid w:val="00743D8E"/>
    <w:rsid w:val="00750203"/>
    <w:rsid w:val="007543A6"/>
    <w:rsid w:val="00754505"/>
    <w:rsid w:val="00755239"/>
    <w:rsid w:val="00761B82"/>
    <w:rsid w:val="007649FA"/>
    <w:rsid w:val="00765B07"/>
    <w:rsid w:val="00765F1B"/>
    <w:rsid w:val="0076630E"/>
    <w:rsid w:val="007668A0"/>
    <w:rsid w:val="00774521"/>
    <w:rsid w:val="0077527C"/>
    <w:rsid w:val="0077541B"/>
    <w:rsid w:val="00775AC8"/>
    <w:rsid w:val="0078397E"/>
    <w:rsid w:val="00787F66"/>
    <w:rsid w:val="007922ED"/>
    <w:rsid w:val="0079403B"/>
    <w:rsid w:val="00797789"/>
    <w:rsid w:val="007A01A7"/>
    <w:rsid w:val="007A7362"/>
    <w:rsid w:val="007B2DAA"/>
    <w:rsid w:val="007B6696"/>
    <w:rsid w:val="007C1C4A"/>
    <w:rsid w:val="007C306A"/>
    <w:rsid w:val="007C4716"/>
    <w:rsid w:val="007C4EBD"/>
    <w:rsid w:val="007C522B"/>
    <w:rsid w:val="007C52DB"/>
    <w:rsid w:val="007C6E2A"/>
    <w:rsid w:val="007D191D"/>
    <w:rsid w:val="007D1D4F"/>
    <w:rsid w:val="007D3142"/>
    <w:rsid w:val="007D3E8D"/>
    <w:rsid w:val="007E0FC3"/>
    <w:rsid w:val="007E1199"/>
    <w:rsid w:val="007E5FCF"/>
    <w:rsid w:val="007E792C"/>
    <w:rsid w:val="007E7CB3"/>
    <w:rsid w:val="007F19DF"/>
    <w:rsid w:val="007F2F01"/>
    <w:rsid w:val="007F5C00"/>
    <w:rsid w:val="007F5D65"/>
    <w:rsid w:val="0080018B"/>
    <w:rsid w:val="0080182B"/>
    <w:rsid w:val="0080182E"/>
    <w:rsid w:val="00801BD3"/>
    <w:rsid w:val="00803C87"/>
    <w:rsid w:val="0081076B"/>
    <w:rsid w:val="00811392"/>
    <w:rsid w:val="00811BF7"/>
    <w:rsid w:val="008131AC"/>
    <w:rsid w:val="008145BE"/>
    <w:rsid w:val="00816B1E"/>
    <w:rsid w:val="008229CA"/>
    <w:rsid w:val="00822E9C"/>
    <w:rsid w:val="00823F57"/>
    <w:rsid w:val="00825B5E"/>
    <w:rsid w:val="00826DB7"/>
    <w:rsid w:val="0083084D"/>
    <w:rsid w:val="0083246D"/>
    <w:rsid w:val="0083323F"/>
    <w:rsid w:val="0083339D"/>
    <w:rsid w:val="00833455"/>
    <w:rsid w:val="00835229"/>
    <w:rsid w:val="00835248"/>
    <w:rsid w:val="008355FB"/>
    <w:rsid w:val="0083710B"/>
    <w:rsid w:val="00841BEF"/>
    <w:rsid w:val="008438AB"/>
    <w:rsid w:val="00844AF4"/>
    <w:rsid w:val="00846887"/>
    <w:rsid w:val="00847C71"/>
    <w:rsid w:val="0085006E"/>
    <w:rsid w:val="00850FD7"/>
    <w:rsid w:val="0085109D"/>
    <w:rsid w:val="00854A71"/>
    <w:rsid w:val="008554D8"/>
    <w:rsid w:val="008560FD"/>
    <w:rsid w:val="00860AB4"/>
    <w:rsid w:val="00863E46"/>
    <w:rsid w:val="00864EB4"/>
    <w:rsid w:val="00867DA3"/>
    <w:rsid w:val="00867DFD"/>
    <w:rsid w:val="008722FD"/>
    <w:rsid w:val="008726BA"/>
    <w:rsid w:val="00872934"/>
    <w:rsid w:val="008760A1"/>
    <w:rsid w:val="00877B3F"/>
    <w:rsid w:val="00880F1C"/>
    <w:rsid w:val="00882FCF"/>
    <w:rsid w:val="008875A7"/>
    <w:rsid w:val="0089020F"/>
    <w:rsid w:val="00890E3B"/>
    <w:rsid w:val="008929A7"/>
    <w:rsid w:val="00893AE9"/>
    <w:rsid w:val="008A01E9"/>
    <w:rsid w:val="008A0261"/>
    <w:rsid w:val="008A12DB"/>
    <w:rsid w:val="008A240B"/>
    <w:rsid w:val="008A3A14"/>
    <w:rsid w:val="008A506E"/>
    <w:rsid w:val="008B27BC"/>
    <w:rsid w:val="008B5369"/>
    <w:rsid w:val="008B5A26"/>
    <w:rsid w:val="008B685D"/>
    <w:rsid w:val="008B6EAA"/>
    <w:rsid w:val="008C063C"/>
    <w:rsid w:val="008C101E"/>
    <w:rsid w:val="008C4254"/>
    <w:rsid w:val="008C6330"/>
    <w:rsid w:val="008C6A23"/>
    <w:rsid w:val="008C72B2"/>
    <w:rsid w:val="008D116F"/>
    <w:rsid w:val="008D37FE"/>
    <w:rsid w:val="008D399C"/>
    <w:rsid w:val="008D40E0"/>
    <w:rsid w:val="008D6FD3"/>
    <w:rsid w:val="008E0BD2"/>
    <w:rsid w:val="008E1815"/>
    <w:rsid w:val="008E469C"/>
    <w:rsid w:val="008E4A86"/>
    <w:rsid w:val="008E5E22"/>
    <w:rsid w:val="008E6410"/>
    <w:rsid w:val="008E6916"/>
    <w:rsid w:val="008E74DE"/>
    <w:rsid w:val="008F0E78"/>
    <w:rsid w:val="008F3692"/>
    <w:rsid w:val="008F4408"/>
    <w:rsid w:val="008F6106"/>
    <w:rsid w:val="008F74B9"/>
    <w:rsid w:val="008F75F6"/>
    <w:rsid w:val="008F7BAD"/>
    <w:rsid w:val="00902A8B"/>
    <w:rsid w:val="009039BE"/>
    <w:rsid w:val="009049E7"/>
    <w:rsid w:val="00905491"/>
    <w:rsid w:val="00907FB1"/>
    <w:rsid w:val="00911490"/>
    <w:rsid w:val="00911C31"/>
    <w:rsid w:val="009125ED"/>
    <w:rsid w:val="009129B6"/>
    <w:rsid w:val="00913AA2"/>
    <w:rsid w:val="009175E9"/>
    <w:rsid w:val="009178A6"/>
    <w:rsid w:val="0092336E"/>
    <w:rsid w:val="00931397"/>
    <w:rsid w:val="009343E4"/>
    <w:rsid w:val="00936986"/>
    <w:rsid w:val="00944FB8"/>
    <w:rsid w:val="00945AA9"/>
    <w:rsid w:val="0094757B"/>
    <w:rsid w:val="00950140"/>
    <w:rsid w:val="00950A09"/>
    <w:rsid w:val="009533B2"/>
    <w:rsid w:val="00954DF3"/>
    <w:rsid w:val="00955426"/>
    <w:rsid w:val="00956785"/>
    <w:rsid w:val="009578D4"/>
    <w:rsid w:val="00957FDD"/>
    <w:rsid w:val="009602D4"/>
    <w:rsid w:val="00962475"/>
    <w:rsid w:val="00964810"/>
    <w:rsid w:val="00964C81"/>
    <w:rsid w:val="00967976"/>
    <w:rsid w:val="0097205D"/>
    <w:rsid w:val="00974B67"/>
    <w:rsid w:val="009771A2"/>
    <w:rsid w:val="00977CAA"/>
    <w:rsid w:val="00980ACF"/>
    <w:rsid w:val="00981154"/>
    <w:rsid w:val="00981AAB"/>
    <w:rsid w:val="0098270F"/>
    <w:rsid w:val="00983684"/>
    <w:rsid w:val="00984242"/>
    <w:rsid w:val="00985B31"/>
    <w:rsid w:val="00986934"/>
    <w:rsid w:val="0099116C"/>
    <w:rsid w:val="00991CBA"/>
    <w:rsid w:val="00992036"/>
    <w:rsid w:val="0099281E"/>
    <w:rsid w:val="00995538"/>
    <w:rsid w:val="009A0F2F"/>
    <w:rsid w:val="009A2052"/>
    <w:rsid w:val="009A29EA"/>
    <w:rsid w:val="009A2C15"/>
    <w:rsid w:val="009A2F9D"/>
    <w:rsid w:val="009A45FF"/>
    <w:rsid w:val="009A6844"/>
    <w:rsid w:val="009A6F59"/>
    <w:rsid w:val="009A7CA3"/>
    <w:rsid w:val="009A7ED8"/>
    <w:rsid w:val="009B049B"/>
    <w:rsid w:val="009B7DF4"/>
    <w:rsid w:val="009C2768"/>
    <w:rsid w:val="009C2912"/>
    <w:rsid w:val="009C36F9"/>
    <w:rsid w:val="009C63B9"/>
    <w:rsid w:val="009C7411"/>
    <w:rsid w:val="009D01E7"/>
    <w:rsid w:val="009D0A86"/>
    <w:rsid w:val="009D2E10"/>
    <w:rsid w:val="009D32F1"/>
    <w:rsid w:val="009D35F0"/>
    <w:rsid w:val="009D3F68"/>
    <w:rsid w:val="009D6D7B"/>
    <w:rsid w:val="009D6F85"/>
    <w:rsid w:val="009D7234"/>
    <w:rsid w:val="009E3B9A"/>
    <w:rsid w:val="009F690B"/>
    <w:rsid w:val="00A03FD8"/>
    <w:rsid w:val="00A05866"/>
    <w:rsid w:val="00A061AB"/>
    <w:rsid w:val="00A07079"/>
    <w:rsid w:val="00A128D9"/>
    <w:rsid w:val="00A1314C"/>
    <w:rsid w:val="00A1491B"/>
    <w:rsid w:val="00A14EFE"/>
    <w:rsid w:val="00A14F53"/>
    <w:rsid w:val="00A150EB"/>
    <w:rsid w:val="00A1553E"/>
    <w:rsid w:val="00A15ED8"/>
    <w:rsid w:val="00A17A36"/>
    <w:rsid w:val="00A20A0F"/>
    <w:rsid w:val="00A20CCE"/>
    <w:rsid w:val="00A20E98"/>
    <w:rsid w:val="00A21020"/>
    <w:rsid w:val="00A2210A"/>
    <w:rsid w:val="00A23A2E"/>
    <w:rsid w:val="00A23A3F"/>
    <w:rsid w:val="00A257AD"/>
    <w:rsid w:val="00A316BA"/>
    <w:rsid w:val="00A31D5E"/>
    <w:rsid w:val="00A32625"/>
    <w:rsid w:val="00A32B8D"/>
    <w:rsid w:val="00A330D1"/>
    <w:rsid w:val="00A366C1"/>
    <w:rsid w:val="00A41659"/>
    <w:rsid w:val="00A4199E"/>
    <w:rsid w:val="00A448F8"/>
    <w:rsid w:val="00A44C74"/>
    <w:rsid w:val="00A45DB2"/>
    <w:rsid w:val="00A4635F"/>
    <w:rsid w:val="00A5018D"/>
    <w:rsid w:val="00A504AC"/>
    <w:rsid w:val="00A50A03"/>
    <w:rsid w:val="00A523D4"/>
    <w:rsid w:val="00A524F3"/>
    <w:rsid w:val="00A5403B"/>
    <w:rsid w:val="00A5542E"/>
    <w:rsid w:val="00A56993"/>
    <w:rsid w:val="00A63AF4"/>
    <w:rsid w:val="00A63E92"/>
    <w:rsid w:val="00A65A1A"/>
    <w:rsid w:val="00A666D6"/>
    <w:rsid w:val="00A7029D"/>
    <w:rsid w:val="00A710A1"/>
    <w:rsid w:val="00A74786"/>
    <w:rsid w:val="00A7611C"/>
    <w:rsid w:val="00A77AB0"/>
    <w:rsid w:val="00A77E50"/>
    <w:rsid w:val="00A83921"/>
    <w:rsid w:val="00A90662"/>
    <w:rsid w:val="00A906BD"/>
    <w:rsid w:val="00A90CAF"/>
    <w:rsid w:val="00A911CD"/>
    <w:rsid w:val="00A940DD"/>
    <w:rsid w:val="00A9465D"/>
    <w:rsid w:val="00A94B75"/>
    <w:rsid w:val="00A960E5"/>
    <w:rsid w:val="00A96780"/>
    <w:rsid w:val="00AA2073"/>
    <w:rsid w:val="00AA22A0"/>
    <w:rsid w:val="00AA635B"/>
    <w:rsid w:val="00AA64AA"/>
    <w:rsid w:val="00AA7CA5"/>
    <w:rsid w:val="00AB0CE4"/>
    <w:rsid w:val="00AB2D4D"/>
    <w:rsid w:val="00AB2EBD"/>
    <w:rsid w:val="00AB2F45"/>
    <w:rsid w:val="00AB3DC1"/>
    <w:rsid w:val="00AB618A"/>
    <w:rsid w:val="00AB65E9"/>
    <w:rsid w:val="00AC1248"/>
    <w:rsid w:val="00AC184C"/>
    <w:rsid w:val="00AC1F91"/>
    <w:rsid w:val="00AC2D7F"/>
    <w:rsid w:val="00AC3488"/>
    <w:rsid w:val="00AC3BCF"/>
    <w:rsid w:val="00AC424D"/>
    <w:rsid w:val="00AC4C81"/>
    <w:rsid w:val="00AC69C8"/>
    <w:rsid w:val="00AC6E3C"/>
    <w:rsid w:val="00AC7779"/>
    <w:rsid w:val="00AD22A5"/>
    <w:rsid w:val="00AD2F97"/>
    <w:rsid w:val="00AD3F57"/>
    <w:rsid w:val="00AD5249"/>
    <w:rsid w:val="00AD5CE7"/>
    <w:rsid w:val="00AD68DE"/>
    <w:rsid w:val="00AD6F9F"/>
    <w:rsid w:val="00AE00D4"/>
    <w:rsid w:val="00AE0253"/>
    <w:rsid w:val="00AE0304"/>
    <w:rsid w:val="00AE0D16"/>
    <w:rsid w:val="00AE19A7"/>
    <w:rsid w:val="00AE2BE1"/>
    <w:rsid w:val="00AE3209"/>
    <w:rsid w:val="00AE6678"/>
    <w:rsid w:val="00AF1805"/>
    <w:rsid w:val="00AF2C45"/>
    <w:rsid w:val="00AF4B25"/>
    <w:rsid w:val="00AF4E72"/>
    <w:rsid w:val="00AF5AD9"/>
    <w:rsid w:val="00AF6019"/>
    <w:rsid w:val="00B013DC"/>
    <w:rsid w:val="00B02481"/>
    <w:rsid w:val="00B02B68"/>
    <w:rsid w:val="00B04A31"/>
    <w:rsid w:val="00B0627A"/>
    <w:rsid w:val="00B07B18"/>
    <w:rsid w:val="00B10579"/>
    <w:rsid w:val="00B11463"/>
    <w:rsid w:val="00B1148A"/>
    <w:rsid w:val="00B12106"/>
    <w:rsid w:val="00B158AC"/>
    <w:rsid w:val="00B163A3"/>
    <w:rsid w:val="00B17838"/>
    <w:rsid w:val="00B22292"/>
    <w:rsid w:val="00B23147"/>
    <w:rsid w:val="00B23EB0"/>
    <w:rsid w:val="00B24942"/>
    <w:rsid w:val="00B254E4"/>
    <w:rsid w:val="00B25538"/>
    <w:rsid w:val="00B25D78"/>
    <w:rsid w:val="00B26504"/>
    <w:rsid w:val="00B27F13"/>
    <w:rsid w:val="00B30890"/>
    <w:rsid w:val="00B3242A"/>
    <w:rsid w:val="00B33B45"/>
    <w:rsid w:val="00B3489F"/>
    <w:rsid w:val="00B34DD2"/>
    <w:rsid w:val="00B350AE"/>
    <w:rsid w:val="00B3521D"/>
    <w:rsid w:val="00B37669"/>
    <w:rsid w:val="00B40DEC"/>
    <w:rsid w:val="00B42543"/>
    <w:rsid w:val="00B425F1"/>
    <w:rsid w:val="00B42641"/>
    <w:rsid w:val="00B42DC7"/>
    <w:rsid w:val="00B43BBE"/>
    <w:rsid w:val="00B43E9D"/>
    <w:rsid w:val="00B4402A"/>
    <w:rsid w:val="00B448CA"/>
    <w:rsid w:val="00B478F1"/>
    <w:rsid w:val="00B50A27"/>
    <w:rsid w:val="00B52BD3"/>
    <w:rsid w:val="00B53989"/>
    <w:rsid w:val="00B557DE"/>
    <w:rsid w:val="00B604CA"/>
    <w:rsid w:val="00B6305D"/>
    <w:rsid w:val="00B63C58"/>
    <w:rsid w:val="00B67C49"/>
    <w:rsid w:val="00B741D4"/>
    <w:rsid w:val="00B82696"/>
    <w:rsid w:val="00B82BD2"/>
    <w:rsid w:val="00B83005"/>
    <w:rsid w:val="00B8345C"/>
    <w:rsid w:val="00B83A84"/>
    <w:rsid w:val="00B83BA2"/>
    <w:rsid w:val="00B83C37"/>
    <w:rsid w:val="00B83CCF"/>
    <w:rsid w:val="00B86559"/>
    <w:rsid w:val="00B86D9D"/>
    <w:rsid w:val="00B9210F"/>
    <w:rsid w:val="00B92BD1"/>
    <w:rsid w:val="00B973CF"/>
    <w:rsid w:val="00BA7275"/>
    <w:rsid w:val="00BB410B"/>
    <w:rsid w:val="00BB58E6"/>
    <w:rsid w:val="00BB5D58"/>
    <w:rsid w:val="00BB7BD9"/>
    <w:rsid w:val="00BC15B0"/>
    <w:rsid w:val="00BC2B55"/>
    <w:rsid w:val="00BC2EF2"/>
    <w:rsid w:val="00BC30E7"/>
    <w:rsid w:val="00BC4CA5"/>
    <w:rsid w:val="00BC67A5"/>
    <w:rsid w:val="00BC7CF0"/>
    <w:rsid w:val="00BD0696"/>
    <w:rsid w:val="00BD0E86"/>
    <w:rsid w:val="00BD2675"/>
    <w:rsid w:val="00BD3004"/>
    <w:rsid w:val="00BD5290"/>
    <w:rsid w:val="00BD693E"/>
    <w:rsid w:val="00BD76F6"/>
    <w:rsid w:val="00BD7F43"/>
    <w:rsid w:val="00BE05A7"/>
    <w:rsid w:val="00BE1B7B"/>
    <w:rsid w:val="00BE2183"/>
    <w:rsid w:val="00BE28BF"/>
    <w:rsid w:val="00BE3C41"/>
    <w:rsid w:val="00BE4EB4"/>
    <w:rsid w:val="00BE608F"/>
    <w:rsid w:val="00BF026D"/>
    <w:rsid w:val="00BF04FB"/>
    <w:rsid w:val="00BF13E7"/>
    <w:rsid w:val="00BF2E38"/>
    <w:rsid w:val="00BF4322"/>
    <w:rsid w:val="00BF5772"/>
    <w:rsid w:val="00BF7AB3"/>
    <w:rsid w:val="00C0069D"/>
    <w:rsid w:val="00C00BBC"/>
    <w:rsid w:val="00C00C13"/>
    <w:rsid w:val="00C00E05"/>
    <w:rsid w:val="00C022F4"/>
    <w:rsid w:val="00C02CDC"/>
    <w:rsid w:val="00C03615"/>
    <w:rsid w:val="00C070E8"/>
    <w:rsid w:val="00C07D48"/>
    <w:rsid w:val="00C144F9"/>
    <w:rsid w:val="00C1546B"/>
    <w:rsid w:val="00C20E90"/>
    <w:rsid w:val="00C211E1"/>
    <w:rsid w:val="00C21DB7"/>
    <w:rsid w:val="00C2299E"/>
    <w:rsid w:val="00C22B5A"/>
    <w:rsid w:val="00C25031"/>
    <w:rsid w:val="00C25226"/>
    <w:rsid w:val="00C260F4"/>
    <w:rsid w:val="00C2743B"/>
    <w:rsid w:val="00C303BB"/>
    <w:rsid w:val="00C34139"/>
    <w:rsid w:val="00C34597"/>
    <w:rsid w:val="00C34630"/>
    <w:rsid w:val="00C42B40"/>
    <w:rsid w:val="00C432D9"/>
    <w:rsid w:val="00C439B7"/>
    <w:rsid w:val="00C43EE1"/>
    <w:rsid w:val="00C46377"/>
    <w:rsid w:val="00C479D3"/>
    <w:rsid w:val="00C52505"/>
    <w:rsid w:val="00C53450"/>
    <w:rsid w:val="00C56F8D"/>
    <w:rsid w:val="00C57C08"/>
    <w:rsid w:val="00C62423"/>
    <w:rsid w:val="00C6365F"/>
    <w:rsid w:val="00C63665"/>
    <w:rsid w:val="00C64697"/>
    <w:rsid w:val="00C653D6"/>
    <w:rsid w:val="00C659F7"/>
    <w:rsid w:val="00C66218"/>
    <w:rsid w:val="00C66B96"/>
    <w:rsid w:val="00C6714F"/>
    <w:rsid w:val="00C67203"/>
    <w:rsid w:val="00C673B3"/>
    <w:rsid w:val="00C74D6E"/>
    <w:rsid w:val="00C767ED"/>
    <w:rsid w:val="00C77F04"/>
    <w:rsid w:val="00C81E82"/>
    <w:rsid w:val="00C853D6"/>
    <w:rsid w:val="00C86D98"/>
    <w:rsid w:val="00C86F27"/>
    <w:rsid w:val="00C9020A"/>
    <w:rsid w:val="00C90ED8"/>
    <w:rsid w:val="00C912D9"/>
    <w:rsid w:val="00C9476C"/>
    <w:rsid w:val="00C953BD"/>
    <w:rsid w:val="00C96A66"/>
    <w:rsid w:val="00C975BA"/>
    <w:rsid w:val="00CA01AA"/>
    <w:rsid w:val="00CA1B17"/>
    <w:rsid w:val="00CA1D1B"/>
    <w:rsid w:val="00CA22C4"/>
    <w:rsid w:val="00CA503A"/>
    <w:rsid w:val="00CA5AA0"/>
    <w:rsid w:val="00CA5E3F"/>
    <w:rsid w:val="00CA5F06"/>
    <w:rsid w:val="00CA619C"/>
    <w:rsid w:val="00CA6EE9"/>
    <w:rsid w:val="00CB089C"/>
    <w:rsid w:val="00CB1EE6"/>
    <w:rsid w:val="00CB2F93"/>
    <w:rsid w:val="00CB59C6"/>
    <w:rsid w:val="00CC0876"/>
    <w:rsid w:val="00CC318C"/>
    <w:rsid w:val="00CC3FB0"/>
    <w:rsid w:val="00CC54B1"/>
    <w:rsid w:val="00CC6C1E"/>
    <w:rsid w:val="00CC6FB1"/>
    <w:rsid w:val="00CC72EC"/>
    <w:rsid w:val="00CD02C8"/>
    <w:rsid w:val="00CD317C"/>
    <w:rsid w:val="00CD4712"/>
    <w:rsid w:val="00CD4A58"/>
    <w:rsid w:val="00CD5128"/>
    <w:rsid w:val="00CD5208"/>
    <w:rsid w:val="00CE138C"/>
    <w:rsid w:val="00CE2496"/>
    <w:rsid w:val="00CE2E77"/>
    <w:rsid w:val="00CE409B"/>
    <w:rsid w:val="00CE5060"/>
    <w:rsid w:val="00CE731E"/>
    <w:rsid w:val="00CF0343"/>
    <w:rsid w:val="00CF072C"/>
    <w:rsid w:val="00CF0B70"/>
    <w:rsid w:val="00CF3B20"/>
    <w:rsid w:val="00CF5FC4"/>
    <w:rsid w:val="00CF61B3"/>
    <w:rsid w:val="00CF62B0"/>
    <w:rsid w:val="00D0225F"/>
    <w:rsid w:val="00D02486"/>
    <w:rsid w:val="00D02A1A"/>
    <w:rsid w:val="00D0307C"/>
    <w:rsid w:val="00D04223"/>
    <w:rsid w:val="00D070E4"/>
    <w:rsid w:val="00D120ED"/>
    <w:rsid w:val="00D130AA"/>
    <w:rsid w:val="00D17978"/>
    <w:rsid w:val="00D2084E"/>
    <w:rsid w:val="00D22DF4"/>
    <w:rsid w:val="00D23614"/>
    <w:rsid w:val="00D23CCB"/>
    <w:rsid w:val="00D23F25"/>
    <w:rsid w:val="00D24D98"/>
    <w:rsid w:val="00D26499"/>
    <w:rsid w:val="00D2737F"/>
    <w:rsid w:val="00D2746C"/>
    <w:rsid w:val="00D27ADF"/>
    <w:rsid w:val="00D27CBB"/>
    <w:rsid w:val="00D30F41"/>
    <w:rsid w:val="00D333F3"/>
    <w:rsid w:val="00D33534"/>
    <w:rsid w:val="00D347A7"/>
    <w:rsid w:val="00D3687F"/>
    <w:rsid w:val="00D3696F"/>
    <w:rsid w:val="00D40F86"/>
    <w:rsid w:val="00D41E33"/>
    <w:rsid w:val="00D4273F"/>
    <w:rsid w:val="00D4533F"/>
    <w:rsid w:val="00D45691"/>
    <w:rsid w:val="00D45F92"/>
    <w:rsid w:val="00D47F51"/>
    <w:rsid w:val="00D52447"/>
    <w:rsid w:val="00D5481B"/>
    <w:rsid w:val="00D560A1"/>
    <w:rsid w:val="00D577A8"/>
    <w:rsid w:val="00D57B59"/>
    <w:rsid w:val="00D621B0"/>
    <w:rsid w:val="00D63287"/>
    <w:rsid w:val="00D634B8"/>
    <w:rsid w:val="00D63AA5"/>
    <w:rsid w:val="00D65826"/>
    <w:rsid w:val="00D66133"/>
    <w:rsid w:val="00D71297"/>
    <w:rsid w:val="00D72988"/>
    <w:rsid w:val="00D73E09"/>
    <w:rsid w:val="00D74532"/>
    <w:rsid w:val="00D7773D"/>
    <w:rsid w:val="00D800B2"/>
    <w:rsid w:val="00D804FB"/>
    <w:rsid w:val="00D8149D"/>
    <w:rsid w:val="00D814E0"/>
    <w:rsid w:val="00D8677A"/>
    <w:rsid w:val="00D86826"/>
    <w:rsid w:val="00D9077C"/>
    <w:rsid w:val="00D90EBD"/>
    <w:rsid w:val="00D9414B"/>
    <w:rsid w:val="00D957B3"/>
    <w:rsid w:val="00D97E7E"/>
    <w:rsid w:val="00DA20EA"/>
    <w:rsid w:val="00DA5023"/>
    <w:rsid w:val="00DA5761"/>
    <w:rsid w:val="00DA58D5"/>
    <w:rsid w:val="00DA6AB7"/>
    <w:rsid w:val="00DB1F5F"/>
    <w:rsid w:val="00DB3B61"/>
    <w:rsid w:val="00DB4608"/>
    <w:rsid w:val="00DC116F"/>
    <w:rsid w:val="00DC2429"/>
    <w:rsid w:val="00DD077C"/>
    <w:rsid w:val="00DD0F2D"/>
    <w:rsid w:val="00DD34BC"/>
    <w:rsid w:val="00DD58EA"/>
    <w:rsid w:val="00DE1A11"/>
    <w:rsid w:val="00DE2848"/>
    <w:rsid w:val="00DE31C6"/>
    <w:rsid w:val="00DE3F9B"/>
    <w:rsid w:val="00DE4EE6"/>
    <w:rsid w:val="00DE5F13"/>
    <w:rsid w:val="00DE7936"/>
    <w:rsid w:val="00DF4902"/>
    <w:rsid w:val="00DF5559"/>
    <w:rsid w:val="00E0148C"/>
    <w:rsid w:val="00E04F1C"/>
    <w:rsid w:val="00E05BAD"/>
    <w:rsid w:val="00E14417"/>
    <w:rsid w:val="00E15AB5"/>
    <w:rsid w:val="00E15F5B"/>
    <w:rsid w:val="00E16343"/>
    <w:rsid w:val="00E1637E"/>
    <w:rsid w:val="00E17639"/>
    <w:rsid w:val="00E208D9"/>
    <w:rsid w:val="00E2150D"/>
    <w:rsid w:val="00E22338"/>
    <w:rsid w:val="00E24661"/>
    <w:rsid w:val="00E24839"/>
    <w:rsid w:val="00E25F94"/>
    <w:rsid w:val="00E26D36"/>
    <w:rsid w:val="00E311AF"/>
    <w:rsid w:val="00E3136A"/>
    <w:rsid w:val="00E32BCB"/>
    <w:rsid w:val="00E35BC8"/>
    <w:rsid w:val="00E41094"/>
    <w:rsid w:val="00E42523"/>
    <w:rsid w:val="00E43F41"/>
    <w:rsid w:val="00E45801"/>
    <w:rsid w:val="00E458C7"/>
    <w:rsid w:val="00E4664F"/>
    <w:rsid w:val="00E46D6A"/>
    <w:rsid w:val="00E46FB0"/>
    <w:rsid w:val="00E52A95"/>
    <w:rsid w:val="00E52CCC"/>
    <w:rsid w:val="00E5435C"/>
    <w:rsid w:val="00E55398"/>
    <w:rsid w:val="00E55CFB"/>
    <w:rsid w:val="00E5754C"/>
    <w:rsid w:val="00E60F11"/>
    <w:rsid w:val="00E652D9"/>
    <w:rsid w:val="00E6570C"/>
    <w:rsid w:val="00E65C51"/>
    <w:rsid w:val="00E6709C"/>
    <w:rsid w:val="00E73BFF"/>
    <w:rsid w:val="00E74088"/>
    <w:rsid w:val="00E75338"/>
    <w:rsid w:val="00E762FD"/>
    <w:rsid w:val="00E76737"/>
    <w:rsid w:val="00E7688F"/>
    <w:rsid w:val="00E80913"/>
    <w:rsid w:val="00E81802"/>
    <w:rsid w:val="00E82BD7"/>
    <w:rsid w:val="00E861DA"/>
    <w:rsid w:val="00E86584"/>
    <w:rsid w:val="00E869BB"/>
    <w:rsid w:val="00E8717D"/>
    <w:rsid w:val="00E87D19"/>
    <w:rsid w:val="00E906BB"/>
    <w:rsid w:val="00E908FC"/>
    <w:rsid w:val="00E912C9"/>
    <w:rsid w:val="00E91AB1"/>
    <w:rsid w:val="00E92859"/>
    <w:rsid w:val="00E92C0E"/>
    <w:rsid w:val="00E94070"/>
    <w:rsid w:val="00E9544E"/>
    <w:rsid w:val="00E96F96"/>
    <w:rsid w:val="00EA0195"/>
    <w:rsid w:val="00EA0621"/>
    <w:rsid w:val="00EA14CE"/>
    <w:rsid w:val="00EA24F0"/>
    <w:rsid w:val="00EA4559"/>
    <w:rsid w:val="00EA6CFF"/>
    <w:rsid w:val="00EA75E0"/>
    <w:rsid w:val="00EB0D73"/>
    <w:rsid w:val="00EB18AD"/>
    <w:rsid w:val="00EB357B"/>
    <w:rsid w:val="00EB3B6E"/>
    <w:rsid w:val="00EB4B0F"/>
    <w:rsid w:val="00EB4E87"/>
    <w:rsid w:val="00EB4EF5"/>
    <w:rsid w:val="00EB5D04"/>
    <w:rsid w:val="00EB60D5"/>
    <w:rsid w:val="00EB7082"/>
    <w:rsid w:val="00EC0989"/>
    <w:rsid w:val="00EC1F7C"/>
    <w:rsid w:val="00EC2A42"/>
    <w:rsid w:val="00EC485C"/>
    <w:rsid w:val="00EC50E0"/>
    <w:rsid w:val="00EC52B3"/>
    <w:rsid w:val="00EC54D6"/>
    <w:rsid w:val="00ED4FFA"/>
    <w:rsid w:val="00ED5E18"/>
    <w:rsid w:val="00ED644E"/>
    <w:rsid w:val="00ED66ED"/>
    <w:rsid w:val="00ED6C78"/>
    <w:rsid w:val="00EE0058"/>
    <w:rsid w:val="00EE0E1B"/>
    <w:rsid w:val="00EE4AE7"/>
    <w:rsid w:val="00EE4B2C"/>
    <w:rsid w:val="00EF02FE"/>
    <w:rsid w:val="00EF1F23"/>
    <w:rsid w:val="00EF4E9F"/>
    <w:rsid w:val="00F012FD"/>
    <w:rsid w:val="00F049EC"/>
    <w:rsid w:val="00F05D0B"/>
    <w:rsid w:val="00F06952"/>
    <w:rsid w:val="00F11B00"/>
    <w:rsid w:val="00F1410D"/>
    <w:rsid w:val="00F145C3"/>
    <w:rsid w:val="00F14731"/>
    <w:rsid w:val="00F14AB1"/>
    <w:rsid w:val="00F1507A"/>
    <w:rsid w:val="00F20C2F"/>
    <w:rsid w:val="00F21CCF"/>
    <w:rsid w:val="00F2432A"/>
    <w:rsid w:val="00F2521E"/>
    <w:rsid w:val="00F25A93"/>
    <w:rsid w:val="00F27D45"/>
    <w:rsid w:val="00F3125F"/>
    <w:rsid w:val="00F31B31"/>
    <w:rsid w:val="00F32AB7"/>
    <w:rsid w:val="00F32C98"/>
    <w:rsid w:val="00F343CF"/>
    <w:rsid w:val="00F34AC6"/>
    <w:rsid w:val="00F3665D"/>
    <w:rsid w:val="00F4037F"/>
    <w:rsid w:val="00F410AC"/>
    <w:rsid w:val="00F416AE"/>
    <w:rsid w:val="00F41B2D"/>
    <w:rsid w:val="00F4531E"/>
    <w:rsid w:val="00F45D66"/>
    <w:rsid w:val="00F55768"/>
    <w:rsid w:val="00F62408"/>
    <w:rsid w:val="00F62747"/>
    <w:rsid w:val="00F6667E"/>
    <w:rsid w:val="00F66686"/>
    <w:rsid w:val="00F6668D"/>
    <w:rsid w:val="00F71800"/>
    <w:rsid w:val="00F71926"/>
    <w:rsid w:val="00F7237E"/>
    <w:rsid w:val="00F7272A"/>
    <w:rsid w:val="00F750AC"/>
    <w:rsid w:val="00F7660F"/>
    <w:rsid w:val="00F77774"/>
    <w:rsid w:val="00F80A68"/>
    <w:rsid w:val="00F818EA"/>
    <w:rsid w:val="00F84721"/>
    <w:rsid w:val="00F84D80"/>
    <w:rsid w:val="00F94BFF"/>
    <w:rsid w:val="00F958A5"/>
    <w:rsid w:val="00F95F52"/>
    <w:rsid w:val="00FA49FD"/>
    <w:rsid w:val="00FA4D59"/>
    <w:rsid w:val="00FA4D76"/>
    <w:rsid w:val="00FA4FDB"/>
    <w:rsid w:val="00FA7DAA"/>
    <w:rsid w:val="00FB132A"/>
    <w:rsid w:val="00FB2D5E"/>
    <w:rsid w:val="00FB511F"/>
    <w:rsid w:val="00FB58F5"/>
    <w:rsid w:val="00FB5DE6"/>
    <w:rsid w:val="00FC09EA"/>
    <w:rsid w:val="00FC20CF"/>
    <w:rsid w:val="00FC42DE"/>
    <w:rsid w:val="00FD363D"/>
    <w:rsid w:val="00FD477C"/>
    <w:rsid w:val="00FD582E"/>
    <w:rsid w:val="00FD7A6E"/>
    <w:rsid w:val="00FE0FD8"/>
    <w:rsid w:val="00FE647A"/>
    <w:rsid w:val="00FF0C12"/>
    <w:rsid w:val="00FF0EFC"/>
    <w:rsid w:val="00FF23E5"/>
    <w:rsid w:val="00FF2F44"/>
    <w:rsid w:val="00FF3882"/>
    <w:rsid w:val="00FF5337"/>
    <w:rsid w:val="00FF5830"/>
    <w:rsid w:val="00FF6B9C"/>
    <w:rsid w:val="00FF6CC0"/>
    <w:rsid w:val="00FF72D9"/>
    <w:rsid w:val="00FF76DF"/>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F3CF9"/>
  <w15:docId w15:val="{C8BA26CF-50AD-4F13-9449-76E0C35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customStyle="1" w:styleId="Level2">
    <w:name w:val="Level 2"/>
    <w:basedOn w:val="Heading2"/>
    <w:rsid w:val="00743D8E"/>
    <w:pPr>
      <w:numPr>
        <w:ilvl w:val="1"/>
        <w:numId w:val="5"/>
      </w:numPr>
      <w:spacing w:before="200" w:after="200" w:line="300" w:lineRule="exact"/>
      <w:jc w:val="left"/>
    </w:pPr>
    <w:rPr>
      <w:b w:val="0"/>
      <w:color w:val="323232"/>
      <w:sz w:val="22"/>
      <w:szCs w:val="28"/>
      <w:u w:val="none"/>
      <w:lang w:eastAsia="en-US"/>
    </w:rPr>
  </w:style>
  <w:style w:type="paragraph" w:customStyle="1" w:styleId="Level1">
    <w:name w:val="Level 1"/>
    <w:basedOn w:val="Heading1"/>
    <w:next w:val="Level2"/>
    <w:rsid w:val="00743D8E"/>
    <w:pPr>
      <w:numPr>
        <w:numId w:val="5"/>
      </w:numPr>
      <w:tabs>
        <w:tab w:val="left" w:pos="1425"/>
      </w:tabs>
      <w:suppressAutoHyphens/>
      <w:spacing w:before="400" w:line="300" w:lineRule="exact"/>
      <w:jc w:val="left"/>
    </w:pPr>
    <w:rPr>
      <w:b w:val="0"/>
      <w:color w:val="0074E1"/>
      <w:kern w:val="32"/>
      <w:sz w:val="30"/>
      <w:szCs w:val="32"/>
      <w:lang w:eastAsia="en-US"/>
    </w:rPr>
  </w:style>
  <w:style w:type="paragraph" w:customStyle="1" w:styleId="aaaaa">
    <w:name w:val="aaaaa"/>
    <w:basedOn w:val="Level2"/>
    <w:link w:val="aaaaaChar"/>
    <w:qFormat/>
    <w:rsid w:val="00743D8E"/>
  </w:style>
  <w:style w:type="character" w:customStyle="1" w:styleId="aaaaaChar">
    <w:name w:val="aaaaa Char"/>
    <w:link w:val="aaaaa"/>
    <w:rsid w:val="00743D8E"/>
    <w:rPr>
      <w:rFonts w:ascii="Arial" w:hAnsi="Arial"/>
      <w:color w:val="323232"/>
      <w:sz w:val="22"/>
      <w:szCs w:val="28"/>
      <w:lang w:eastAsia="en-US"/>
    </w:rPr>
  </w:style>
  <w:style w:type="paragraph" w:styleId="Revision">
    <w:name w:val="Revision"/>
    <w:hidden/>
    <w:uiPriority w:val="99"/>
    <w:semiHidden/>
    <w:rsid w:val="00147B39"/>
    <w:rPr>
      <w:rFonts w:ascii="Arial" w:hAnsi="Arial"/>
      <w:sz w:val="24"/>
      <w:szCs w:val="24"/>
    </w:rPr>
  </w:style>
  <w:style w:type="paragraph" w:customStyle="1" w:styleId="BodyText1">
    <w:name w:val="Body Text1"/>
    <w:qFormat/>
    <w:rsid w:val="00825B5E"/>
    <w:pPr>
      <w:numPr>
        <w:ilvl w:val="1"/>
        <w:numId w:val="25"/>
      </w:numPr>
      <w:spacing w:before="240" w:after="120"/>
    </w:pPr>
    <w:rPr>
      <w:rFonts w:ascii="Arial" w:eastAsiaTheme="minorHAnsi" w:hAnsi="Arial"/>
      <w:sz w:val="24"/>
      <w:szCs w:val="24"/>
      <w:lang w:eastAsia="en-US"/>
    </w:rPr>
  </w:style>
  <w:style w:type="character" w:customStyle="1" w:styleId="MainHeadingChar">
    <w:name w:val="Main Heading Char"/>
    <w:basedOn w:val="DefaultParagraphFont"/>
    <w:link w:val="MainHeading"/>
    <w:locked/>
    <w:rsid w:val="00825B5E"/>
    <w:rPr>
      <w:rFonts w:ascii="Arial" w:hAnsi="Arial" w:cs="Arial"/>
      <w:b/>
      <w:sz w:val="28"/>
      <w:szCs w:val="24"/>
    </w:rPr>
  </w:style>
  <w:style w:type="paragraph" w:customStyle="1" w:styleId="MainHeading">
    <w:name w:val="Main Heading"/>
    <w:basedOn w:val="Normal"/>
    <w:link w:val="MainHeadingChar"/>
    <w:qFormat/>
    <w:rsid w:val="00825B5E"/>
    <w:pPr>
      <w:numPr>
        <w:numId w:val="25"/>
      </w:numPr>
      <w:tabs>
        <w:tab w:val="left" w:pos="720"/>
      </w:tabs>
      <w:spacing w:before="360" w:after="120"/>
    </w:pPr>
    <w:rPr>
      <w:rFonts w:cs="Arial"/>
      <w:b/>
      <w:sz w:val="28"/>
    </w:rPr>
  </w:style>
  <w:style w:type="character" w:styleId="UnresolvedMention">
    <w:name w:val="Unresolved Mention"/>
    <w:basedOn w:val="DefaultParagraphFont"/>
    <w:uiPriority w:val="99"/>
    <w:semiHidden/>
    <w:unhideWhenUsed/>
    <w:rsid w:val="008D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12">
      <w:bodyDiv w:val="1"/>
      <w:marLeft w:val="0"/>
      <w:marRight w:val="0"/>
      <w:marTop w:val="0"/>
      <w:marBottom w:val="0"/>
      <w:divBdr>
        <w:top w:val="none" w:sz="0" w:space="0" w:color="auto"/>
        <w:left w:val="none" w:sz="0" w:space="0" w:color="auto"/>
        <w:bottom w:val="none" w:sz="0" w:space="0" w:color="auto"/>
        <w:right w:val="none" w:sz="0" w:space="0" w:color="auto"/>
      </w:divBdr>
    </w:div>
    <w:div w:id="51855136">
      <w:bodyDiv w:val="1"/>
      <w:marLeft w:val="0"/>
      <w:marRight w:val="0"/>
      <w:marTop w:val="0"/>
      <w:marBottom w:val="0"/>
      <w:divBdr>
        <w:top w:val="none" w:sz="0" w:space="0" w:color="auto"/>
        <w:left w:val="none" w:sz="0" w:space="0" w:color="auto"/>
        <w:bottom w:val="none" w:sz="0" w:space="0" w:color="auto"/>
        <w:right w:val="none" w:sz="0" w:space="0" w:color="auto"/>
      </w:divBdr>
    </w:div>
    <w:div w:id="84960870">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21578989">
      <w:bodyDiv w:val="1"/>
      <w:marLeft w:val="0"/>
      <w:marRight w:val="0"/>
      <w:marTop w:val="0"/>
      <w:marBottom w:val="0"/>
      <w:divBdr>
        <w:top w:val="none" w:sz="0" w:space="0" w:color="auto"/>
        <w:left w:val="none" w:sz="0" w:space="0" w:color="auto"/>
        <w:bottom w:val="none" w:sz="0" w:space="0" w:color="auto"/>
        <w:right w:val="none" w:sz="0" w:space="0" w:color="auto"/>
      </w:divBdr>
    </w:div>
    <w:div w:id="220211890">
      <w:bodyDiv w:val="1"/>
      <w:marLeft w:val="0"/>
      <w:marRight w:val="0"/>
      <w:marTop w:val="0"/>
      <w:marBottom w:val="0"/>
      <w:divBdr>
        <w:top w:val="none" w:sz="0" w:space="0" w:color="auto"/>
        <w:left w:val="none" w:sz="0" w:space="0" w:color="auto"/>
        <w:bottom w:val="none" w:sz="0" w:space="0" w:color="auto"/>
        <w:right w:val="none" w:sz="0" w:space="0" w:color="auto"/>
      </w:divBdr>
    </w:div>
    <w:div w:id="240679892">
      <w:bodyDiv w:val="1"/>
      <w:marLeft w:val="0"/>
      <w:marRight w:val="0"/>
      <w:marTop w:val="0"/>
      <w:marBottom w:val="0"/>
      <w:divBdr>
        <w:top w:val="none" w:sz="0" w:space="0" w:color="auto"/>
        <w:left w:val="none" w:sz="0" w:space="0" w:color="auto"/>
        <w:bottom w:val="none" w:sz="0" w:space="0" w:color="auto"/>
        <w:right w:val="none" w:sz="0" w:space="0" w:color="auto"/>
      </w:divBdr>
    </w:div>
    <w:div w:id="244726388">
      <w:bodyDiv w:val="1"/>
      <w:marLeft w:val="0"/>
      <w:marRight w:val="0"/>
      <w:marTop w:val="0"/>
      <w:marBottom w:val="0"/>
      <w:divBdr>
        <w:top w:val="none" w:sz="0" w:space="0" w:color="auto"/>
        <w:left w:val="none" w:sz="0" w:space="0" w:color="auto"/>
        <w:bottom w:val="none" w:sz="0" w:space="0" w:color="auto"/>
        <w:right w:val="none" w:sz="0" w:space="0" w:color="auto"/>
      </w:divBdr>
    </w:div>
    <w:div w:id="378555903">
      <w:bodyDiv w:val="1"/>
      <w:marLeft w:val="0"/>
      <w:marRight w:val="0"/>
      <w:marTop w:val="0"/>
      <w:marBottom w:val="0"/>
      <w:divBdr>
        <w:top w:val="none" w:sz="0" w:space="0" w:color="auto"/>
        <w:left w:val="none" w:sz="0" w:space="0" w:color="auto"/>
        <w:bottom w:val="none" w:sz="0" w:space="0" w:color="auto"/>
        <w:right w:val="none" w:sz="0" w:space="0" w:color="auto"/>
      </w:divBdr>
    </w:div>
    <w:div w:id="450133090">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496964672">
      <w:bodyDiv w:val="1"/>
      <w:marLeft w:val="0"/>
      <w:marRight w:val="0"/>
      <w:marTop w:val="0"/>
      <w:marBottom w:val="0"/>
      <w:divBdr>
        <w:top w:val="none" w:sz="0" w:space="0" w:color="auto"/>
        <w:left w:val="none" w:sz="0" w:space="0" w:color="auto"/>
        <w:bottom w:val="none" w:sz="0" w:space="0" w:color="auto"/>
        <w:right w:val="none" w:sz="0" w:space="0" w:color="auto"/>
      </w:divBdr>
    </w:div>
    <w:div w:id="542867324">
      <w:bodyDiv w:val="1"/>
      <w:marLeft w:val="0"/>
      <w:marRight w:val="0"/>
      <w:marTop w:val="0"/>
      <w:marBottom w:val="0"/>
      <w:divBdr>
        <w:top w:val="none" w:sz="0" w:space="0" w:color="auto"/>
        <w:left w:val="none" w:sz="0" w:space="0" w:color="auto"/>
        <w:bottom w:val="none" w:sz="0" w:space="0" w:color="auto"/>
        <w:right w:val="none" w:sz="0" w:space="0" w:color="auto"/>
      </w:divBdr>
    </w:div>
    <w:div w:id="591402208">
      <w:bodyDiv w:val="1"/>
      <w:marLeft w:val="0"/>
      <w:marRight w:val="0"/>
      <w:marTop w:val="0"/>
      <w:marBottom w:val="0"/>
      <w:divBdr>
        <w:top w:val="none" w:sz="0" w:space="0" w:color="auto"/>
        <w:left w:val="none" w:sz="0" w:space="0" w:color="auto"/>
        <w:bottom w:val="none" w:sz="0" w:space="0" w:color="auto"/>
        <w:right w:val="none" w:sz="0" w:space="0" w:color="auto"/>
      </w:divBdr>
    </w:div>
    <w:div w:id="631518466">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832919277">
      <w:bodyDiv w:val="1"/>
      <w:marLeft w:val="0"/>
      <w:marRight w:val="0"/>
      <w:marTop w:val="0"/>
      <w:marBottom w:val="0"/>
      <w:divBdr>
        <w:top w:val="none" w:sz="0" w:space="0" w:color="auto"/>
        <w:left w:val="none" w:sz="0" w:space="0" w:color="auto"/>
        <w:bottom w:val="none" w:sz="0" w:space="0" w:color="auto"/>
        <w:right w:val="none" w:sz="0" w:space="0" w:color="auto"/>
      </w:divBdr>
    </w:div>
    <w:div w:id="838887323">
      <w:bodyDiv w:val="1"/>
      <w:marLeft w:val="0"/>
      <w:marRight w:val="0"/>
      <w:marTop w:val="0"/>
      <w:marBottom w:val="0"/>
      <w:divBdr>
        <w:top w:val="none" w:sz="0" w:space="0" w:color="auto"/>
        <w:left w:val="none" w:sz="0" w:space="0" w:color="auto"/>
        <w:bottom w:val="none" w:sz="0" w:space="0" w:color="auto"/>
        <w:right w:val="none" w:sz="0" w:space="0" w:color="auto"/>
      </w:divBdr>
    </w:div>
    <w:div w:id="877737198">
      <w:bodyDiv w:val="1"/>
      <w:marLeft w:val="0"/>
      <w:marRight w:val="0"/>
      <w:marTop w:val="0"/>
      <w:marBottom w:val="0"/>
      <w:divBdr>
        <w:top w:val="none" w:sz="0" w:space="0" w:color="auto"/>
        <w:left w:val="none" w:sz="0" w:space="0" w:color="auto"/>
        <w:bottom w:val="none" w:sz="0" w:space="0" w:color="auto"/>
        <w:right w:val="none" w:sz="0" w:space="0" w:color="auto"/>
      </w:divBdr>
    </w:div>
    <w:div w:id="883760836">
      <w:bodyDiv w:val="1"/>
      <w:marLeft w:val="0"/>
      <w:marRight w:val="0"/>
      <w:marTop w:val="0"/>
      <w:marBottom w:val="0"/>
      <w:divBdr>
        <w:top w:val="none" w:sz="0" w:space="0" w:color="auto"/>
        <w:left w:val="none" w:sz="0" w:space="0" w:color="auto"/>
        <w:bottom w:val="none" w:sz="0" w:space="0" w:color="auto"/>
        <w:right w:val="none" w:sz="0" w:space="0" w:color="auto"/>
      </w:divBdr>
    </w:div>
    <w:div w:id="971405461">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10337907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53705108">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0137">
      <w:bodyDiv w:val="1"/>
      <w:marLeft w:val="0"/>
      <w:marRight w:val="0"/>
      <w:marTop w:val="0"/>
      <w:marBottom w:val="0"/>
      <w:divBdr>
        <w:top w:val="none" w:sz="0" w:space="0" w:color="auto"/>
        <w:left w:val="none" w:sz="0" w:space="0" w:color="auto"/>
        <w:bottom w:val="none" w:sz="0" w:space="0" w:color="auto"/>
        <w:right w:val="none" w:sz="0" w:space="0" w:color="auto"/>
      </w:divBdr>
    </w:div>
    <w:div w:id="1294870068">
      <w:bodyDiv w:val="1"/>
      <w:marLeft w:val="0"/>
      <w:marRight w:val="0"/>
      <w:marTop w:val="0"/>
      <w:marBottom w:val="0"/>
      <w:divBdr>
        <w:top w:val="none" w:sz="0" w:space="0" w:color="auto"/>
        <w:left w:val="none" w:sz="0" w:space="0" w:color="auto"/>
        <w:bottom w:val="none" w:sz="0" w:space="0" w:color="auto"/>
        <w:right w:val="none" w:sz="0" w:space="0" w:color="auto"/>
      </w:divBdr>
    </w:div>
    <w:div w:id="1296452724">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326670102">
      <w:bodyDiv w:val="1"/>
      <w:marLeft w:val="0"/>
      <w:marRight w:val="0"/>
      <w:marTop w:val="0"/>
      <w:marBottom w:val="0"/>
      <w:divBdr>
        <w:top w:val="none" w:sz="0" w:space="0" w:color="auto"/>
        <w:left w:val="none" w:sz="0" w:space="0" w:color="auto"/>
        <w:bottom w:val="none" w:sz="0" w:space="0" w:color="auto"/>
        <w:right w:val="none" w:sz="0" w:space="0" w:color="auto"/>
      </w:divBdr>
    </w:div>
    <w:div w:id="1358237463">
      <w:bodyDiv w:val="1"/>
      <w:marLeft w:val="0"/>
      <w:marRight w:val="0"/>
      <w:marTop w:val="0"/>
      <w:marBottom w:val="0"/>
      <w:divBdr>
        <w:top w:val="none" w:sz="0" w:space="0" w:color="auto"/>
        <w:left w:val="none" w:sz="0" w:space="0" w:color="auto"/>
        <w:bottom w:val="none" w:sz="0" w:space="0" w:color="auto"/>
        <w:right w:val="none" w:sz="0" w:space="0" w:color="auto"/>
      </w:divBdr>
    </w:div>
    <w:div w:id="1379819211">
      <w:bodyDiv w:val="1"/>
      <w:marLeft w:val="0"/>
      <w:marRight w:val="0"/>
      <w:marTop w:val="0"/>
      <w:marBottom w:val="0"/>
      <w:divBdr>
        <w:top w:val="none" w:sz="0" w:space="0" w:color="auto"/>
        <w:left w:val="none" w:sz="0" w:space="0" w:color="auto"/>
        <w:bottom w:val="none" w:sz="0" w:space="0" w:color="auto"/>
        <w:right w:val="none" w:sz="0" w:space="0" w:color="auto"/>
      </w:divBdr>
    </w:div>
    <w:div w:id="1424760396">
      <w:bodyDiv w:val="1"/>
      <w:marLeft w:val="0"/>
      <w:marRight w:val="0"/>
      <w:marTop w:val="0"/>
      <w:marBottom w:val="0"/>
      <w:divBdr>
        <w:top w:val="none" w:sz="0" w:space="0" w:color="auto"/>
        <w:left w:val="none" w:sz="0" w:space="0" w:color="auto"/>
        <w:bottom w:val="none" w:sz="0" w:space="0" w:color="auto"/>
        <w:right w:val="none" w:sz="0" w:space="0" w:color="auto"/>
      </w:divBdr>
    </w:div>
    <w:div w:id="1434125750">
      <w:bodyDiv w:val="1"/>
      <w:marLeft w:val="0"/>
      <w:marRight w:val="0"/>
      <w:marTop w:val="0"/>
      <w:marBottom w:val="0"/>
      <w:divBdr>
        <w:top w:val="none" w:sz="0" w:space="0" w:color="auto"/>
        <w:left w:val="none" w:sz="0" w:space="0" w:color="auto"/>
        <w:bottom w:val="none" w:sz="0" w:space="0" w:color="auto"/>
        <w:right w:val="none" w:sz="0" w:space="0" w:color="auto"/>
      </w:divBdr>
    </w:div>
    <w:div w:id="1475872428">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61090239">
      <w:bodyDiv w:val="1"/>
      <w:marLeft w:val="0"/>
      <w:marRight w:val="0"/>
      <w:marTop w:val="0"/>
      <w:marBottom w:val="0"/>
      <w:divBdr>
        <w:top w:val="none" w:sz="0" w:space="0" w:color="auto"/>
        <w:left w:val="none" w:sz="0" w:space="0" w:color="auto"/>
        <w:bottom w:val="none" w:sz="0" w:space="0" w:color="auto"/>
        <w:right w:val="none" w:sz="0" w:space="0" w:color="auto"/>
      </w:divBdr>
    </w:div>
    <w:div w:id="1571774162">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86105950">
      <w:bodyDiv w:val="1"/>
      <w:marLeft w:val="0"/>
      <w:marRight w:val="0"/>
      <w:marTop w:val="0"/>
      <w:marBottom w:val="0"/>
      <w:divBdr>
        <w:top w:val="none" w:sz="0" w:space="0" w:color="auto"/>
        <w:left w:val="none" w:sz="0" w:space="0" w:color="auto"/>
        <w:bottom w:val="none" w:sz="0" w:space="0" w:color="auto"/>
        <w:right w:val="none" w:sz="0" w:space="0" w:color="auto"/>
      </w:divBdr>
    </w:div>
    <w:div w:id="1615289786">
      <w:bodyDiv w:val="1"/>
      <w:marLeft w:val="0"/>
      <w:marRight w:val="0"/>
      <w:marTop w:val="0"/>
      <w:marBottom w:val="0"/>
      <w:divBdr>
        <w:top w:val="none" w:sz="0" w:space="0" w:color="auto"/>
        <w:left w:val="none" w:sz="0" w:space="0" w:color="auto"/>
        <w:bottom w:val="none" w:sz="0" w:space="0" w:color="auto"/>
        <w:right w:val="none" w:sz="0" w:space="0" w:color="auto"/>
      </w:divBdr>
    </w:div>
    <w:div w:id="1708488346">
      <w:bodyDiv w:val="1"/>
      <w:marLeft w:val="0"/>
      <w:marRight w:val="0"/>
      <w:marTop w:val="0"/>
      <w:marBottom w:val="0"/>
      <w:divBdr>
        <w:top w:val="none" w:sz="0" w:space="0" w:color="auto"/>
        <w:left w:val="none" w:sz="0" w:space="0" w:color="auto"/>
        <w:bottom w:val="none" w:sz="0" w:space="0" w:color="auto"/>
        <w:right w:val="none" w:sz="0" w:space="0" w:color="auto"/>
      </w:divBdr>
    </w:div>
    <w:div w:id="1755083532">
      <w:bodyDiv w:val="1"/>
      <w:marLeft w:val="0"/>
      <w:marRight w:val="0"/>
      <w:marTop w:val="0"/>
      <w:marBottom w:val="0"/>
      <w:divBdr>
        <w:top w:val="none" w:sz="0" w:space="0" w:color="auto"/>
        <w:left w:val="none" w:sz="0" w:space="0" w:color="auto"/>
        <w:bottom w:val="none" w:sz="0" w:space="0" w:color="auto"/>
        <w:right w:val="none" w:sz="0" w:space="0" w:color="auto"/>
      </w:divBdr>
    </w:div>
    <w:div w:id="1794327369">
      <w:bodyDiv w:val="1"/>
      <w:marLeft w:val="0"/>
      <w:marRight w:val="0"/>
      <w:marTop w:val="0"/>
      <w:marBottom w:val="0"/>
      <w:divBdr>
        <w:top w:val="none" w:sz="0" w:space="0" w:color="auto"/>
        <w:left w:val="none" w:sz="0" w:space="0" w:color="auto"/>
        <w:bottom w:val="none" w:sz="0" w:space="0" w:color="auto"/>
        <w:right w:val="none" w:sz="0" w:space="0" w:color="auto"/>
      </w:divBdr>
    </w:div>
    <w:div w:id="1807897069">
      <w:bodyDiv w:val="1"/>
      <w:marLeft w:val="0"/>
      <w:marRight w:val="0"/>
      <w:marTop w:val="0"/>
      <w:marBottom w:val="0"/>
      <w:divBdr>
        <w:top w:val="none" w:sz="0" w:space="0" w:color="auto"/>
        <w:left w:val="none" w:sz="0" w:space="0" w:color="auto"/>
        <w:bottom w:val="none" w:sz="0" w:space="0" w:color="auto"/>
        <w:right w:val="none" w:sz="0" w:space="0" w:color="auto"/>
      </w:divBdr>
    </w:div>
    <w:div w:id="1824882202">
      <w:bodyDiv w:val="1"/>
      <w:marLeft w:val="0"/>
      <w:marRight w:val="0"/>
      <w:marTop w:val="0"/>
      <w:marBottom w:val="0"/>
      <w:divBdr>
        <w:top w:val="none" w:sz="0" w:space="0" w:color="auto"/>
        <w:left w:val="none" w:sz="0" w:space="0" w:color="auto"/>
        <w:bottom w:val="none" w:sz="0" w:space="0" w:color="auto"/>
        <w:right w:val="none" w:sz="0" w:space="0" w:color="auto"/>
      </w:divBdr>
    </w:div>
    <w:div w:id="1896969441">
      <w:bodyDiv w:val="1"/>
      <w:marLeft w:val="0"/>
      <w:marRight w:val="0"/>
      <w:marTop w:val="0"/>
      <w:marBottom w:val="0"/>
      <w:divBdr>
        <w:top w:val="none" w:sz="0" w:space="0" w:color="auto"/>
        <w:left w:val="none" w:sz="0" w:space="0" w:color="auto"/>
        <w:bottom w:val="none" w:sz="0" w:space="0" w:color="auto"/>
        <w:right w:val="none" w:sz="0" w:space="0" w:color="auto"/>
      </w:divBdr>
    </w:div>
    <w:div w:id="2014138582">
      <w:bodyDiv w:val="1"/>
      <w:marLeft w:val="0"/>
      <w:marRight w:val="0"/>
      <w:marTop w:val="0"/>
      <w:marBottom w:val="0"/>
      <w:divBdr>
        <w:top w:val="none" w:sz="0" w:space="0" w:color="auto"/>
        <w:left w:val="none" w:sz="0" w:space="0" w:color="auto"/>
        <w:bottom w:val="none" w:sz="0" w:space="0" w:color="auto"/>
        <w:right w:val="none" w:sz="0" w:space="0" w:color="auto"/>
      </w:divBdr>
    </w:div>
    <w:div w:id="2026247161">
      <w:bodyDiv w:val="1"/>
      <w:marLeft w:val="0"/>
      <w:marRight w:val="0"/>
      <w:marTop w:val="0"/>
      <w:marBottom w:val="0"/>
      <w:divBdr>
        <w:top w:val="none" w:sz="0" w:space="0" w:color="auto"/>
        <w:left w:val="none" w:sz="0" w:space="0" w:color="auto"/>
        <w:bottom w:val="none" w:sz="0" w:space="0" w:color="auto"/>
        <w:right w:val="none" w:sz="0" w:space="0" w:color="auto"/>
      </w:divBdr>
    </w:div>
    <w:div w:id="20922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5A77-83A2-42A7-9E69-8D86ECC1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3283</Words>
  <Characters>16898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Young Nichola</cp:lastModifiedBy>
  <cp:revision>3</cp:revision>
  <cp:lastPrinted>2018-05-18T13:51:00Z</cp:lastPrinted>
  <dcterms:created xsi:type="dcterms:W3CDTF">2018-10-12T13:21:00Z</dcterms:created>
  <dcterms:modified xsi:type="dcterms:W3CDTF">2018-10-12T13:22:00Z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