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DD" w:rsidRDefault="00B012AE" w:rsidP="008E74DE">
      <w:pPr>
        <w:jc w:val="center"/>
        <w:rPr>
          <w:rFonts w:cs="Arial"/>
          <w:b/>
          <w:sz w:val="28"/>
          <w:szCs w:val="28"/>
        </w:rPr>
      </w:pPr>
      <w:r>
        <w:rPr>
          <w:rFonts w:cs="Arial"/>
          <w:b/>
          <w:sz w:val="28"/>
          <w:szCs w:val="28"/>
        </w:rPr>
        <w:t xml:space="preserve">Cabinet </w:t>
      </w:r>
      <w:r w:rsidR="008E74DE" w:rsidRPr="008E74DE">
        <w:rPr>
          <w:rFonts w:cs="Arial"/>
          <w:b/>
          <w:sz w:val="28"/>
          <w:szCs w:val="28"/>
        </w:rPr>
        <w:t xml:space="preserve">Report </w:t>
      </w:r>
      <w:r w:rsidR="00957FDD">
        <w:rPr>
          <w:rFonts w:cs="Arial"/>
          <w:b/>
          <w:sz w:val="28"/>
          <w:szCs w:val="28"/>
        </w:rPr>
        <w:t>Template</w:t>
      </w:r>
    </w:p>
    <w:p w:rsidR="00957FDD" w:rsidRDefault="00957FDD" w:rsidP="008E74DE">
      <w:pPr>
        <w:jc w:val="center"/>
        <w:rPr>
          <w:rFonts w:cs="Arial"/>
          <w:b/>
          <w:sz w:val="28"/>
          <w:szCs w:val="28"/>
        </w:rPr>
      </w:pPr>
    </w:p>
    <w:p w:rsidR="008E74DE" w:rsidRPr="008E74DE" w:rsidRDefault="008E74DE" w:rsidP="00957FDD">
      <w:pPr>
        <w:rPr>
          <w:rFonts w:cs="Arial"/>
          <w:b/>
          <w:sz w:val="28"/>
          <w:szCs w:val="28"/>
        </w:rPr>
      </w:pPr>
      <w:r w:rsidRPr="008E74DE">
        <w:rPr>
          <w:rFonts w:cs="Arial"/>
          <w:b/>
          <w:sz w:val="28"/>
          <w:szCs w:val="28"/>
        </w:rPr>
        <w:t>Signing-off Sheet</w:t>
      </w:r>
    </w:p>
    <w:p w:rsidR="008E74DE" w:rsidRPr="008E74DE" w:rsidRDefault="008E74DE" w:rsidP="008E74D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2614"/>
        <w:gridCol w:w="1868"/>
        <w:gridCol w:w="2123"/>
      </w:tblGrid>
      <w:tr w:rsidR="000072FE" w:rsidRPr="00553269" w:rsidTr="00D21E37">
        <w:trPr>
          <w:cantSplit/>
        </w:trPr>
        <w:tc>
          <w:tcPr>
            <w:tcW w:w="3026" w:type="dxa"/>
          </w:tcPr>
          <w:p w:rsidR="000072FE" w:rsidRPr="00553269" w:rsidRDefault="000072FE" w:rsidP="000072FE">
            <w:pPr>
              <w:rPr>
                <w:rFonts w:cs="Arial"/>
                <w:b/>
              </w:rPr>
            </w:pPr>
            <w:r w:rsidRPr="00553269">
              <w:rPr>
                <w:rFonts w:cs="Arial"/>
                <w:b/>
              </w:rPr>
              <w:t>Title of Report:</w:t>
            </w:r>
          </w:p>
          <w:p w:rsidR="000072FE" w:rsidRPr="00553269" w:rsidRDefault="000072FE" w:rsidP="000072FE">
            <w:pPr>
              <w:rPr>
                <w:rFonts w:cs="Arial"/>
              </w:rPr>
            </w:pPr>
          </w:p>
        </w:tc>
        <w:tc>
          <w:tcPr>
            <w:tcW w:w="6605" w:type="dxa"/>
            <w:gridSpan w:val="3"/>
          </w:tcPr>
          <w:p w:rsidR="000072FE" w:rsidRPr="00553269" w:rsidRDefault="001F0C3E" w:rsidP="000072FE">
            <w:pPr>
              <w:rPr>
                <w:rFonts w:cs="Arial"/>
                <w:color w:val="000000"/>
              </w:rPr>
            </w:pPr>
            <w:r w:rsidRPr="001F0C3E">
              <w:rPr>
                <w:rFonts w:cs="Arial"/>
              </w:rPr>
              <w:t>School Improvement Partnership</w:t>
            </w:r>
            <w:r>
              <w:rPr>
                <w:rFonts w:cs="Arial"/>
              </w:rPr>
              <w:t xml:space="preserve"> Full Business Case</w:t>
            </w:r>
          </w:p>
        </w:tc>
      </w:tr>
      <w:tr w:rsidR="000072FE" w:rsidRPr="00553269" w:rsidTr="00D21E37">
        <w:trPr>
          <w:cantSplit/>
        </w:trPr>
        <w:tc>
          <w:tcPr>
            <w:tcW w:w="3026" w:type="dxa"/>
          </w:tcPr>
          <w:p w:rsidR="000072FE" w:rsidRPr="00553269" w:rsidRDefault="000072FE" w:rsidP="000072FE">
            <w:pPr>
              <w:rPr>
                <w:rFonts w:cs="Arial"/>
                <w:b/>
              </w:rPr>
            </w:pPr>
            <w:r w:rsidRPr="00553269">
              <w:rPr>
                <w:rFonts w:cs="Arial"/>
                <w:b/>
              </w:rPr>
              <w:t>Name of Meeting:</w:t>
            </w:r>
          </w:p>
        </w:tc>
        <w:tc>
          <w:tcPr>
            <w:tcW w:w="2614" w:type="dxa"/>
          </w:tcPr>
          <w:p w:rsidR="000072FE" w:rsidRPr="00553269" w:rsidRDefault="000072FE" w:rsidP="000072FE">
            <w:pPr>
              <w:rPr>
                <w:rFonts w:cs="Arial"/>
                <w:color w:val="000000"/>
              </w:rPr>
            </w:pPr>
            <w:r>
              <w:rPr>
                <w:rFonts w:cs="Arial"/>
                <w:color w:val="000000"/>
              </w:rPr>
              <w:t>Cabinet</w:t>
            </w:r>
          </w:p>
        </w:tc>
        <w:tc>
          <w:tcPr>
            <w:tcW w:w="1868" w:type="dxa"/>
          </w:tcPr>
          <w:p w:rsidR="000072FE" w:rsidRPr="00553269" w:rsidRDefault="000072FE" w:rsidP="000072FE">
            <w:pPr>
              <w:rPr>
                <w:rFonts w:cs="Arial"/>
                <w:b/>
                <w:color w:val="000000"/>
              </w:rPr>
            </w:pPr>
            <w:r w:rsidRPr="00553269">
              <w:rPr>
                <w:rFonts w:cs="Arial"/>
                <w:b/>
                <w:color w:val="000000"/>
              </w:rPr>
              <w:t>Date of Meeting:</w:t>
            </w:r>
          </w:p>
        </w:tc>
        <w:tc>
          <w:tcPr>
            <w:tcW w:w="2123" w:type="dxa"/>
          </w:tcPr>
          <w:p w:rsidR="000072FE" w:rsidRPr="00553269" w:rsidRDefault="000072FE" w:rsidP="000072FE">
            <w:pPr>
              <w:rPr>
                <w:rFonts w:cs="Arial"/>
                <w:color w:val="000000"/>
              </w:rPr>
            </w:pPr>
            <w:r>
              <w:rPr>
                <w:rFonts w:cs="Arial"/>
                <w:color w:val="000000"/>
              </w:rPr>
              <w:t>2</w:t>
            </w:r>
            <w:r w:rsidR="001F0C3E">
              <w:rPr>
                <w:rFonts w:cs="Arial"/>
                <w:color w:val="000000"/>
              </w:rPr>
              <w:t>0</w:t>
            </w:r>
            <w:r w:rsidRPr="002525F2">
              <w:rPr>
                <w:rFonts w:cs="Arial"/>
                <w:color w:val="000000"/>
                <w:vertAlign w:val="superscript"/>
              </w:rPr>
              <w:t>th</w:t>
            </w:r>
            <w:r>
              <w:rPr>
                <w:rFonts w:cs="Arial"/>
                <w:color w:val="000000"/>
              </w:rPr>
              <w:t xml:space="preserve"> </w:t>
            </w:r>
            <w:r w:rsidR="001F0C3E">
              <w:rPr>
                <w:rFonts w:cs="Arial"/>
                <w:color w:val="000000"/>
              </w:rPr>
              <w:t>June</w:t>
            </w:r>
            <w:r>
              <w:rPr>
                <w:rFonts w:cs="Arial"/>
                <w:color w:val="000000"/>
              </w:rPr>
              <w:t xml:space="preserve"> 2017</w:t>
            </w:r>
          </w:p>
        </w:tc>
      </w:tr>
      <w:tr w:rsidR="000072FE" w:rsidRPr="0024349B" w:rsidTr="00D21E37">
        <w:tblPrEx>
          <w:tblLook w:val="0000" w:firstRow="0" w:lastRow="0" w:firstColumn="0" w:lastColumn="0" w:noHBand="0" w:noVBand="0"/>
        </w:tblPrEx>
        <w:trPr>
          <w:cantSplit/>
          <w:trHeight w:val="325"/>
        </w:trPr>
        <w:tc>
          <w:tcPr>
            <w:tcW w:w="9631" w:type="dxa"/>
            <w:gridSpan w:val="4"/>
          </w:tcPr>
          <w:p w:rsidR="000072FE" w:rsidRPr="00AF2C45" w:rsidRDefault="000072FE" w:rsidP="000072FE">
            <w:pPr>
              <w:tabs>
                <w:tab w:val="left" w:pos="-1530"/>
              </w:tabs>
              <w:ind w:right="26"/>
              <w:rPr>
                <w:rFonts w:cs="Arial"/>
                <w:b/>
                <w:color w:val="000000"/>
              </w:rPr>
            </w:pPr>
            <w:r w:rsidRPr="00AF2C45">
              <w:rPr>
                <w:rFonts w:cs="Arial"/>
                <w:b/>
                <w:color w:val="000000"/>
              </w:rPr>
              <w:t xml:space="preserve">This Report </w:t>
            </w:r>
            <w:r w:rsidRPr="00DC116F">
              <w:rPr>
                <w:rFonts w:cs="Arial"/>
                <w:b/>
                <w:color w:val="000000"/>
              </w:rPr>
              <w:t>is currently listed on the Forward Plan</w:t>
            </w:r>
            <w:r>
              <w:rPr>
                <w:rFonts w:cs="Arial"/>
                <w:color w:val="000000"/>
              </w:rPr>
              <w:t>: (</w:t>
            </w:r>
            <w:r w:rsidRPr="000072FE">
              <w:rPr>
                <w:rFonts w:cs="Arial"/>
                <w:b/>
                <w:color w:val="000000"/>
              </w:rPr>
              <w:t>Yes</w:t>
            </w:r>
            <w:r w:rsidRPr="00AF2C45">
              <w:rPr>
                <w:rFonts w:cs="Arial"/>
                <w:color w:val="000000"/>
              </w:rPr>
              <w:t xml:space="preserve"> / </w:t>
            </w:r>
            <w:r w:rsidRPr="000072FE">
              <w:rPr>
                <w:rFonts w:cs="Arial"/>
                <w:i/>
                <w:strike/>
                <w:color w:val="000000"/>
              </w:rPr>
              <w:t>No</w:t>
            </w:r>
            <w:r>
              <w:rPr>
                <w:rFonts w:cs="Arial"/>
                <w:color w:val="000000"/>
              </w:rPr>
              <w:t>)</w:t>
            </w:r>
          </w:p>
        </w:tc>
      </w:tr>
    </w:tbl>
    <w:p w:rsidR="0092336E" w:rsidRDefault="0092336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2580"/>
        <w:gridCol w:w="2126"/>
      </w:tblGrid>
      <w:tr w:rsidR="00C439B7" w:rsidRPr="00553269" w:rsidTr="00D21E37">
        <w:tc>
          <w:tcPr>
            <w:tcW w:w="4928" w:type="dxa"/>
            <w:tcBorders>
              <w:bottom w:val="single" w:sz="4" w:space="0" w:color="auto"/>
            </w:tcBorders>
          </w:tcPr>
          <w:p w:rsidR="00C439B7" w:rsidRPr="00553269" w:rsidRDefault="00C439B7" w:rsidP="008A0261">
            <w:pPr>
              <w:rPr>
                <w:rFonts w:cs="Arial"/>
                <w:b/>
                <w:sz w:val="22"/>
                <w:szCs w:val="22"/>
              </w:rPr>
            </w:pPr>
          </w:p>
        </w:tc>
        <w:tc>
          <w:tcPr>
            <w:tcW w:w="2580" w:type="dxa"/>
            <w:shd w:val="clear" w:color="auto" w:fill="auto"/>
          </w:tcPr>
          <w:p w:rsidR="00C439B7" w:rsidRPr="00553269" w:rsidRDefault="00C439B7" w:rsidP="008A0261">
            <w:pPr>
              <w:rPr>
                <w:rFonts w:cs="Arial"/>
                <w:b/>
                <w:sz w:val="22"/>
                <w:szCs w:val="22"/>
              </w:rPr>
            </w:pPr>
            <w:r w:rsidRPr="00553269">
              <w:rPr>
                <w:rFonts w:cs="Arial"/>
                <w:b/>
                <w:sz w:val="22"/>
                <w:szCs w:val="22"/>
              </w:rPr>
              <w:t>Name of consultee:</w:t>
            </w:r>
          </w:p>
          <w:p w:rsidR="00C439B7" w:rsidRPr="00553269" w:rsidRDefault="00C439B7" w:rsidP="008A0261">
            <w:pPr>
              <w:rPr>
                <w:rFonts w:cs="Arial"/>
                <w:sz w:val="22"/>
                <w:szCs w:val="22"/>
              </w:rPr>
            </w:pPr>
          </w:p>
        </w:tc>
        <w:tc>
          <w:tcPr>
            <w:tcW w:w="2126" w:type="dxa"/>
            <w:tcBorders>
              <w:bottom w:val="single" w:sz="4" w:space="0" w:color="auto"/>
            </w:tcBorders>
          </w:tcPr>
          <w:p w:rsidR="00C439B7" w:rsidRPr="00553269" w:rsidRDefault="00C439B7" w:rsidP="008A0261">
            <w:pPr>
              <w:rPr>
                <w:rFonts w:cs="Arial"/>
                <w:sz w:val="22"/>
                <w:szCs w:val="22"/>
              </w:rPr>
            </w:pPr>
            <w:r w:rsidRPr="00553269">
              <w:rPr>
                <w:rFonts w:cs="Arial"/>
                <w:b/>
                <w:sz w:val="22"/>
                <w:szCs w:val="22"/>
              </w:rPr>
              <w:t>Clearance given:</w:t>
            </w:r>
          </w:p>
          <w:p w:rsidR="00C439B7" w:rsidRPr="00553269" w:rsidRDefault="00C439B7" w:rsidP="008A0261">
            <w:pPr>
              <w:rPr>
                <w:rFonts w:cs="Arial"/>
                <w:sz w:val="22"/>
                <w:szCs w:val="22"/>
              </w:rPr>
            </w:pPr>
            <w:r w:rsidRPr="00553269">
              <w:rPr>
                <w:rFonts w:cs="Arial"/>
                <w:sz w:val="22"/>
                <w:szCs w:val="22"/>
              </w:rPr>
              <w:t>(Yes / No)</w:t>
            </w:r>
          </w:p>
        </w:tc>
      </w:tr>
      <w:tr w:rsidR="00C439B7" w:rsidRPr="00553269" w:rsidTr="00D21E37">
        <w:tc>
          <w:tcPr>
            <w:tcW w:w="4928" w:type="dxa"/>
            <w:tcBorders>
              <w:bottom w:val="single" w:sz="4" w:space="0" w:color="auto"/>
            </w:tcBorders>
          </w:tcPr>
          <w:p w:rsidR="00C439B7" w:rsidRPr="005340FF" w:rsidRDefault="00C439B7" w:rsidP="008A0261">
            <w:pPr>
              <w:rPr>
                <w:rFonts w:cs="Arial"/>
                <w:b/>
                <w:color w:val="0000FF"/>
                <w:sz w:val="22"/>
                <w:szCs w:val="22"/>
              </w:rPr>
            </w:pPr>
            <w:r w:rsidRPr="005340FF">
              <w:rPr>
                <w:rFonts w:cs="Arial"/>
                <w:b/>
                <w:color w:val="0000FF"/>
                <w:sz w:val="22"/>
                <w:szCs w:val="22"/>
              </w:rPr>
              <w:t>Required Consultees</w:t>
            </w:r>
            <w:r w:rsidR="00B30890" w:rsidRPr="005340FF">
              <w:rPr>
                <w:rFonts w:cs="Arial"/>
                <w:b/>
                <w:color w:val="0000FF"/>
                <w:sz w:val="22"/>
                <w:szCs w:val="22"/>
              </w:rPr>
              <w:t xml:space="preserve"> on Draft Report</w:t>
            </w:r>
          </w:p>
          <w:p w:rsidR="00C439B7" w:rsidRPr="005340FF" w:rsidRDefault="00C439B7" w:rsidP="008A0261">
            <w:pPr>
              <w:rPr>
                <w:rFonts w:cs="Arial"/>
                <w:sz w:val="22"/>
                <w:szCs w:val="22"/>
              </w:rPr>
            </w:pPr>
            <w:r w:rsidRPr="005340FF">
              <w:rPr>
                <w:rFonts w:cs="Arial"/>
                <w:color w:val="0000FF"/>
                <w:sz w:val="22"/>
                <w:szCs w:val="22"/>
              </w:rPr>
              <w:t>(these must be consulted or an explanation given</w:t>
            </w:r>
            <w:r w:rsidR="009A6844" w:rsidRPr="005340FF">
              <w:rPr>
                <w:rFonts w:cs="Arial"/>
                <w:color w:val="0000FF"/>
                <w:sz w:val="22"/>
                <w:szCs w:val="22"/>
              </w:rPr>
              <w:t xml:space="preserve"> i.e. not relevant)</w:t>
            </w:r>
            <w:r w:rsidR="009A6844" w:rsidRPr="005340FF">
              <w:rPr>
                <w:rFonts w:cs="Arial"/>
                <w:color w:val="FF0000"/>
                <w:sz w:val="22"/>
                <w:szCs w:val="22"/>
              </w:rPr>
              <w:t xml:space="preserve"> </w:t>
            </w:r>
          </w:p>
        </w:tc>
        <w:tc>
          <w:tcPr>
            <w:tcW w:w="2580" w:type="dxa"/>
            <w:shd w:val="clear" w:color="auto" w:fill="auto"/>
          </w:tcPr>
          <w:p w:rsidR="00C439B7" w:rsidRPr="00553269" w:rsidRDefault="00C439B7" w:rsidP="008A0261">
            <w:pPr>
              <w:rPr>
                <w:rFonts w:cs="Arial"/>
                <w:b/>
                <w:sz w:val="22"/>
                <w:szCs w:val="22"/>
              </w:rPr>
            </w:pPr>
          </w:p>
        </w:tc>
        <w:tc>
          <w:tcPr>
            <w:tcW w:w="2126" w:type="dxa"/>
            <w:tcBorders>
              <w:bottom w:val="single" w:sz="4" w:space="0" w:color="auto"/>
            </w:tcBorders>
          </w:tcPr>
          <w:p w:rsidR="00C439B7" w:rsidRPr="00553269" w:rsidRDefault="00C439B7" w:rsidP="008A0261">
            <w:pPr>
              <w:rPr>
                <w:rFonts w:cs="Arial"/>
                <w:b/>
                <w:sz w:val="22"/>
                <w:szCs w:val="22"/>
              </w:rPr>
            </w:pPr>
          </w:p>
        </w:tc>
      </w:tr>
      <w:tr w:rsidR="00D21E37" w:rsidRPr="00553269" w:rsidTr="00D21E37">
        <w:tc>
          <w:tcPr>
            <w:tcW w:w="4928" w:type="dxa"/>
            <w:tcBorders>
              <w:bottom w:val="single" w:sz="4" w:space="0" w:color="auto"/>
            </w:tcBorders>
          </w:tcPr>
          <w:p w:rsidR="00D21E37" w:rsidRPr="005340FF" w:rsidRDefault="00D21E37" w:rsidP="00D21E37">
            <w:pPr>
              <w:rPr>
                <w:rFonts w:cs="Arial"/>
                <w:b/>
                <w:sz w:val="22"/>
                <w:szCs w:val="22"/>
              </w:rPr>
            </w:pPr>
            <w:r w:rsidRPr="005340FF">
              <w:rPr>
                <w:rFonts w:cs="Arial"/>
                <w:b/>
                <w:sz w:val="22"/>
                <w:szCs w:val="22"/>
              </w:rPr>
              <w:t>Cabinet Member(s):</w:t>
            </w:r>
          </w:p>
        </w:tc>
        <w:tc>
          <w:tcPr>
            <w:tcW w:w="2580" w:type="dxa"/>
            <w:shd w:val="clear" w:color="auto" w:fill="auto"/>
          </w:tcPr>
          <w:p w:rsidR="00516C3C" w:rsidRPr="00D21E37" w:rsidRDefault="00516C3C" w:rsidP="00D21E37">
            <w:pPr>
              <w:rPr>
                <w:rFonts w:cs="Arial"/>
                <w:sz w:val="22"/>
                <w:szCs w:val="22"/>
              </w:rPr>
            </w:pPr>
            <w:r>
              <w:rPr>
                <w:rFonts w:cs="Arial"/>
                <w:sz w:val="22"/>
                <w:szCs w:val="22"/>
              </w:rPr>
              <w:t>Cllr Carpenter</w:t>
            </w:r>
          </w:p>
        </w:tc>
        <w:tc>
          <w:tcPr>
            <w:tcW w:w="2126" w:type="dxa"/>
            <w:tcBorders>
              <w:bottom w:val="single" w:sz="4" w:space="0" w:color="auto"/>
            </w:tcBorders>
          </w:tcPr>
          <w:p w:rsidR="00D21E37" w:rsidRPr="00D21E37" w:rsidRDefault="00D21E37" w:rsidP="00D21E37">
            <w:pPr>
              <w:rPr>
                <w:rFonts w:cs="Arial"/>
                <w:sz w:val="22"/>
                <w:szCs w:val="22"/>
              </w:rPr>
            </w:pPr>
          </w:p>
        </w:tc>
      </w:tr>
      <w:tr w:rsidR="00D21E37" w:rsidRPr="00553269" w:rsidTr="00D21E37">
        <w:tc>
          <w:tcPr>
            <w:tcW w:w="4928" w:type="dxa"/>
            <w:tcBorders>
              <w:bottom w:val="single" w:sz="4" w:space="0" w:color="auto"/>
            </w:tcBorders>
          </w:tcPr>
          <w:p w:rsidR="00D21E37" w:rsidRPr="005340FF" w:rsidRDefault="00D21E37" w:rsidP="00D21E37">
            <w:pPr>
              <w:rPr>
                <w:rFonts w:cs="Arial"/>
                <w:sz w:val="22"/>
                <w:szCs w:val="22"/>
              </w:rPr>
            </w:pPr>
            <w:r w:rsidRPr="005340FF">
              <w:rPr>
                <w:rFonts w:cs="Arial"/>
                <w:b/>
                <w:sz w:val="22"/>
                <w:szCs w:val="22"/>
              </w:rPr>
              <w:t xml:space="preserve">Ward Members </w:t>
            </w:r>
            <w:r w:rsidRPr="005340FF">
              <w:rPr>
                <w:rFonts w:cs="Arial"/>
                <w:sz w:val="22"/>
                <w:szCs w:val="22"/>
              </w:rPr>
              <w:t>(for Ward related issues)</w:t>
            </w:r>
          </w:p>
        </w:tc>
        <w:tc>
          <w:tcPr>
            <w:tcW w:w="2580" w:type="dxa"/>
            <w:shd w:val="clear" w:color="auto" w:fill="auto"/>
          </w:tcPr>
          <w:p w:rsidR="00D21E37" w:rsidRPr="00553269" w:rsidRDefault="00D21E37" w:rsidP="00D21E37">
            <w:pPr>
              <w:rPr>
                <w:rFonts w:cs="Arial"/>
                <w:sz w:val="22"/>
                <w:szCs w:val="22"/>
              </w:rPr>
            </w:pPr>
          </w:p>
        </w:tc>
        <w:tc>
          <w:tcPr>
            <w:tcW w:w="2126" w:type="dxa"/>
            <w:tcBorders>
              <w:bottom w:val="single" w:sz="4" w:space="0" w:color="auto"/>
            </w:tcBorders>
          </w:tcPr>
          <w:p w:rsidR="00D21E37" w:rsidRPr="00553269" w:rsidRDefault="00D21E37" w:rsidP="00D21E37">
            <w:pPr>
              <w:rPr>
                <w:rFonts w:cs="Arial"/>
                <w:sz w:val="22"/>
                <w:szCs w:val="22"/>
              </w:rPr>
            </w:pPr>
          </w:p>
        </w:tc>
      </w:tr>
      <w:tr w:rsidR="00D21E37" w:rsidRPr="00553269" w:rsidTr="00D21E37">
        <w:tc>
          <w:tcPr>
            <w:tcW w:w="4928" w:type="dxa"/>
            <w:tcBorders>
              <w:bottom w:val="single" w:sz="4" w:space="0" w:color="auto"/>
            </w:tcBorders>
          </w:tcPr>
          <w:p w:rsidR="00D21E37" w:rsidRPr="005340FF" w:rsidRDefault="00D21E37" w:rsidP="00D21E37">
            <w:pPr>
              <w:rPr>
                <w:rFonts w:cs="Arial"/>
                <w:b/>
                <w:sz w:val="22"/>
                <w:szCs w:val="22"/>
              </w:rPr>
            </w:pPr>
            <w:r w:rsidRPr="005340FF">
              <w:rPr>
                <w:rFonts w:cs="Arial"/>
                <w:b/>
                <w:sz w:val="22"/>
                <w:szCs w:val="22"/>
              </w:rPr>
              <w:t xml:space="preserve">Departmental Finance </w:t>
            </w:r>
          </w:p>
          <w:p w:rsidR="00D21E37" w:rsidRPr="005340FF" w:rsidRDefault="00D21E37" w:rsidP="00D21E37">
            <w:pPr>
              <w:rPr>
                <w:rFonts w:cs="Arial"/>
                <w:b/>
                <w:sz w:val="22"/>
                <w:szCs w:val="22"/>
              </w:rPr>
            </w:pPr>
            <w:r w:rsidRPr="005340FF">
              <w:rPr>
                <w:rFonts w:cs="Arial"/>
                <w:sz w:val="22"/>
                <w:szCs w:val="22"/>
              </w:rPr>
              <w:t>(</w:t>
            </w:r>
            <w:r w:rsidRPr="00A54671">
              <w:rPr>
                <w:rFonts w:cs="Arial"/>
                <w:sz w:val="22"/>
                <w:szCs w:val="22"/>
              </w:rPr>
              <w:t xml:space="preserve">via </w:t>
            </w:r>
            <w:hyperlink r:id="rId11" w:history="1">
              <w:r w:rsidRPr="00813C3B">
                <w:rPr>
                  <w:rStyle w:val="Hyperlink"/>
                  <w:color w:val="FF0000"/>
                  <w:sz w:val="22"/>
                  <w:szCs w:val="22"/>
                </w:rPr>
                <w:t>financialimplication@lbbd.gov.uk</w:t>
              </w:r>
            </w:hyperlink>
            <w:r w:rsidRPr="005340FF">
              <w:rPr>
                <w:sz w:val="22"/>
                <w:szCs w:val="22"/>
              </w:rPr>
              <w:t>)</w:t>
            </w:r>
          </w:p>
        </w:tc>
        <w:tc>
          <w:tcPr>
            <w:tcW w:w="2580" w:type="dxa"/>
            <w:shd w:val="clear" w:color="auto" w:fill="auto"/>
          </w:tcPr>
          <w:p w:rsidR="00D21E37" w:rsidRPr="00553269" w:rsidRDefault="0038029E" w:rsidP="00D21E37">
            <w:pPr>
              <w:rPr>
                <w:rFonts w:cs="Arial"/>
                <w:sz w:val="22"/>
                <w:szCs w:val="22"/>
              </w:rPr>
            </w:pPr>
            <w:r w:rsidRPr="0038029E">
              <w:rPr>
                <w:rFonts w:cs="Arial"/>
                <w:sz w:val="22"/>
                <w:szCs w:val="22"/>
              </w:rPr>
              <w:t>Katherine Heffernan</w:t>
            </w:r>
            <w:r w:rsidR="00516C3C">
              <w:rPr>
                <w:rFonts w:cs="Arial"/>
                <w:sz w:val="22"/>
                <w:szCs w:val="22"/>
              </w:rPr>
              <w:t>/ Daksha Chauhan</w:t>
            </w:r>
          </w:p>
        </w:tc>
        <w:tc>
          <w:tcPr>
            <w:tcW w:w="2126" w:type="dxa"/>
            <w:tcBorders>
              <w:bottom w:val="single" w:sz="4" w:space="0" w:color="auto"/>
            </w:tcBorders>
          </w:tcPr>
          <w:p w:rsidR="00D21E37" w:rsidRPr="00553269" w:rsidRDefault="00D21E37" w:rsidP="00D21E37">
            <w:pPr>
              <w:rPr>
                <w:rFonts w:cs="Arial"/>
                <w:sz w:val="22"/>
                <w:szCs w:val="22"/>
              </w:rPr>
            </w:pPr>
          </w:p>
        </w:tc>
      </w:tr>
      <w:tr w:rsidR="00D21E37" w:rsidRPr="00553269" w:rsidTr="00D21E37">
        <w:tc>
          <w:tcPr>
            <w:tcW w:w="4928" w:type="dxa"/>
            <w:tcBorders>
              <w:bottom w:val="single" w:sz="4" w:space="0" w:color="auto"/>
            </w:tcBorders>
          </w:tcPr>
          <w:p w:rsidR="00D21E37" w:rsidRPr="005340FF" w:rsidRDefault="00D21E37" w:rsidP="00D21E37">
            <w:pPr>
              <w:rPr>
                <w:rFonts w:cs="Arial"/>
                <w:b/>
                <w:sz w:val="22"/>
                <w:szCs w:val="22"/>
              </w:rPr>
            </w:pPr>
            <w:r w:rsidRPr="005340FF">
              <w:rPr>
                <w:rFonts w:cs="Arial"/>
                <w:b/>
                <w:sz w:val="22"/>
                <w:szCs w:val="22"/>
              </w:rPr>
              <w:t xml:space="preserve">Corporate Risk Manager </w:t>
            </w:r>
          </w:p>
          <w:p w:rsidR="00D21E37" w:rsidRPr="005340FF" w:rsidRDefault="00D21E37" w:rsidP="00D21E37">
            <w:pPr>
              <w:rPr>
                <w:rFonts w:cs="Arial"/>
                <w:b/>
                <w:sz w:val="22"/>
                <w:szCs w:val="22"/>
              </w:rPr>
            </w:pPr>
            <w:r w:rsidRPr="005340FF">
              <w:rPr>
                <w:rFonts w:cs="Arial"/>
                <w:sz w:val="22"/>
                <w:szCs w:val="22"/>
              </w:rPr>
              <w:t>(</w:t>
            </w:r>
            <w:r w:rsidRPr="00A54671">
              <w:rPr>
                <w:rFonts w:cs="Arial"/>
                <w:sz w:val="22"/>
                <w:szCs w:val="22"/>
              </w:rPr>
              <w:t xml:space="preserve">via </w:t>
            </w:r>
            <w:hyperlink r:id="rId12" w:history="1">
              <w:r w:rsidRPr="00A54671">
                <w:rPr>
                  <w:rStyle w:val="Hyperlink"/>
                  <w:rFonts w:cs="Arial"/>
                  <w:color w:val="FF0000"/>
                  <w:sz w:val="22"/>
                  <w:szCs w:val="22"/>
                </w:rPr>
                <w:t>risk.implications@lbbd.gov.uk</w:t>
              </w:r>
            </w:hyperlink>
            <w:r w:rsidRPr="005340FF">
              <w:rPr>
                <w:rFonts w:cs="Arial"/>
                <w:sz w:val="22"/>
                <w:szCs w:val="22"/>
              </w:rPr>
              <w:t xml:space="preserve">) </w:t>
            </w:r>
          </w:p>
        </w:tc>
        <w:tc>
          <w:tcPr>
            <w:tcW w:w="2580" w:type="dxa"/>
            <w:shd w:val="clear" w:color="auto" w:fill="auto"/>
          </w:tcPr>
          <w:p w:rsidR="00D21E37" w:rsidRPr="00553269" w:rsidRDefault="00516C3C" w:rsidP="00D21E37">
            <w:pPr>
              <w:rPr>
                <w:rFonts w:cs="Arial"/>
                <w:sz w:val="22"/>
                <w:szCs w:val="22"/>
              </w:rPr>
            </w:pPr>
            <w:r>
              <w:rPr>
                <w:rFonts w:cs="Arial"/>
                <w:sz w:val="22"/>
                <w:szCs w:val="22"/>
              </w:rPr>
              <w:t>N/A</w:t>
            </w:r>
          </w:p>
        </w:tc>
        <w:tc>
          <w:tcPr>
            <w:tcW w:w="2126" w:type="dxa"/>
            <w:tcBorders>
              <w:bottom w:val="single" w:sz="4" w:space="0" w:color="auto"/>
            </w:tcBorders>
          </w:tcPr>
          <w:p w:rsidR="00D21E37" w:rsidRPr="00553269" w:rsidRDefault="00D21E37" w:rsidP="00D21E37">
            <w:pPr>
              <w:rPr>
                <w:rFonts w:cs="Arial"/>
                <w:sz w:val="22"/>
                <w:szCs w:val="22"/>
              </w:rPr>
            </w:pPr>
          </w:p>
        </w:tc>
      </w:tr>
      <w:tr w:rsidR="00D21E37" w:rsidRPr="00553269" w:rsidTr="00D21E37">
        <w:tc>
          <w:tcPr>
            <w:tcW w:w="4928" w:type="dxa"/>
            <w:tcBorders>
              <w:bottom w:val="single" w:sz="4" w:space="0" w:color="auto"/>
            </w:tcBorders>
          </w:tcPr>
          <w:p w:rsidR="00D21E37" w:rsidRPr="005340FF" w:rsidRDefault="00D21E37" w:rsidP="00D21E37">
            <w:pPr>
              <w:rPr>
                <w:rFonts w:cs="Arial"/>
                <w:b/>
                <w:sz w:val="22"/>
                <w:szCs w:val="22"/>
              </w:rPr>
            </w:pPr>
            <w:r w:rsidRPr="005340FF">
              <w:rPr>
                <w:rFonts w:cs="Arial"/>
                <w:b/>
                <w:sz w:val="22"/>
                <w:szCs w:val="22"/>
              </w:rPr>
              <w:t>Corporate Procurement</w:t>
            </w:r>
          </w:p>
          <w:p w:rsidR="00D21E37" w:rsidRPr="005340FF" w:rsidRDefault="00D21E37" w:rsidP="00D21E37">
            <w:pPr>
              <w:rPr>
                <w:rFonts w:cs="Arial"/>
                <w:b/>
                <w:sz w:val="22"/>
                <w:szCs w:val="22"/>
              </w:rPr>
            </w:pPr>
            <w:r w:rsidRPr="005340FF">
              <w:rPr>
                <w:rFonts w:cs="Arial"/>
                <w:sz w:val="22"/>
                <w:szCs w:val="22"/>
              </w:rPr>
              <w:t>(</w:t>
            </w:r>
            <w:r w:rsidRPr="00A54671">
              <w:rPr>
                <w:rFonts w:cs="Arial"/>
                <w:sz w:val="22"/>
                <w:szCs w:val="22"/>
              </w:rPr>
              <w:t xml:space="preserve">via </w:t>
            </w:r>
            <w:hyperlink r:id="rId13" w:history="1">
              <w:r w:rsidRPr="005B69E0">
                <w:rPr>
                  <w:rStyle w:val="Hyperlink"/>
                  <w:rFonts w:cs="Arial"/>
                  <w:color w:val="FF0000"/>
                  <w:sz w:val="22"/>
                  <w:szCs w:val="22"/>
                </w:rPr>
                <w:t>eaun.beales@elevateeastlondon.co.uk</w:t>
              </w:r>
            </w:hyperlink>
            <w:r w:rsidRPr="005340FF">
              <w:rPr>
                <w:rFonts w:cs="Arial"/>
                <w:sz w:val="22"/>
                <w:szCs w:val="22"/>
              </w:rPr>
              <w:t xml:space="preserve">) </w:t>
            </w:r>
          </w:p>
        </w:tc>
        <w:tc>
          <w:tcPr>
            <w:tcW w:w="2580" w:type="dxa"/>
            <w:shd w:val="clear" w:color="auto" w:fill="auto"/>
          </w:tcPr>
          <w:p w:rsidR="00D21E37" w:rsidRPr="00553269" w:rsidRDefault="00516C3C" w:rsidP="00D21E37">
            <w:pPr>
              <w:rPr>
                <w:rFonts w:cs="Arial"/>
                <w:sz w:val="22"/>
                <w:szCs w:val="22"/>
              </w:rPr>
            </w:pPr>
            <w:r>
              <w:rPr>
                <w:rFonts w:cs="Arial"/>
                <w:sz w:val="22"/>
                <w:szCs w:val="22"/>
              </w:rPr>
              <w:t>N/A</w:t>
            </w:r>
          </w:p>
        </w:tc>
        <w:tc>
          <w:tcPr>
            <w:tcW w:w="2126" w:type="dxa"/>
            <w:tcBorders>
              <w:bottom w:val="single" w:sz="4" w:space="0" w:color="auto"/>
            </w:tcBorders>
          </w:tcPr>
          <w:p w:rsidR="00D21E37" w:rsidRPr="00553269" w:rsidRDefault="00D21E37" w:rsidP="00D21E37">
            <w:pPr>
              <w:rPr>
                <w:rFonts w:cs="Arial"/>
                <w:sz w:val="22"/>
                <w:szCs w:val="22"/>
              </w:rPr>
            </w:pPr>
          </w:p>
        </w:tc>
      </w:tr>
      <w:tr w:rsidR="00D21E37" w:rsidRPr="00553269" w:rsidTr="00D21E37">
        <w:tc>
          <w:tcPr>
            <w:tcW w:w="4928" w:type="dxa"/>
            <w:tcBorders>
              <w:bottom w:val="single" w:sz="4" w:space="0" w:color="auto"/>
            </w:tcBorders>
          </w:tcPr>
          <w:p w:rsidR="00D21E37" w:rsidRDefault="00D21E37" w:rsidP="00D21E37">
            <w:pPr>
              <w:rPr>
                <w:rFonts w:cs="Arial"/>
                <w:b/>
                <w:sz w:val="22"/>
                <w:szCs w:val="22"/>
              </w:rPr>
            </w:pPr>
            <w:r w:rsidRPr="005340FF">
              <w:rPr>
                <w:rFonts w:cs="Arial"/>
                <w:b/>
                <w:sz w:val="22"/>
                <w:szCs w:val="22"/>
              </w:rPr>
              <w:t xml:space="preserve">HR </w:t>
            </w:r>
          </w:p>
          <w:p w:rsidR="00D21E37" w:rsidRPr="005340FF" w:rsidRDefault="00D21E37" w:rsidP="00D21E37">
            <w:pPr>
              <w:rPr>
                <w:rFonts w:cs="Arial"/>
                <w:sz w:val="22"/>
                <w:szCs w:val="22"/>
              </w:rPr>
            </w:pPr>
            <w:r w:rsidRPr="005340FF">
              <w:rPr>
                <w:rFonts w:cs="Arial"/>
                <w:sz w:val="22"/>
                <w:szCs w:val="22"/>
              </w:rPr>
              <w:t>(</w:t>
            </w:r>
            <w:r w:rsidRPr="00A54671">
              <w:rPr>
                <w:rFonts w:cs="Arial"/>
                <w:sz w:val="22"/>
                <w:szCs w:val="22"/>
              </w:rPr>
              <w:t xml:space="preserve">via </w:t>
            </w:r>
            <w:hyperlink r:id="rId14" w:history="1">
              <w:r w:rsidRPr="003E1731">
                <w:rPr>
                  <w:rStyle w:val="Hyperlink"/>
                  <w:rFonts w:cs="Arial"/>
                  <w:color w:val="FF0000"/>
                  <w:sz w:val="22"/>
                  <w:szCs w:val="22"/>
                </w:rPr>
                <w:t>martin.williams@lbbd.gov.uk</w:t>
              </w:r>
            </w:hyperlink>
            <w:r w:rsidRPr="005340FF">
              <w:rPr>
                <w:rFonts w:cs="Arial"/>
                <w:sz w:val="22"/>
                <w:szCs w:val="22"/>
              </w:rPr>
              <w:t xml:space="preserve">) </w:t>
            </w:r>
          </w:p>
        </w:tc>
        <w:tc>
          <w:tcPr>
            <w:tcW w:w="2580" w:type="dxa"/>
            <w:shd w:val="clear" w:color="auto" w:fill="auto"/>
          </w:tcPr>
          <w:p w:rsidR="00D21E37" w:rsidRPr="00553269" w:rsidRDefault="00516C3C" w:rsidP="00D21E37">
            <w:pPr>
              <w:rPr>
                <w:rFonts w:cs="Arial"/>
                <w:sz w:val="22"/>
                <w:szCs w:val="22"/>
              </w:rPr>
            </w:pPr>
            <w:r>
              <w:rPr>
                <w:rFonts w:cs="Arial"/>
                <w:sz w:val="22"/>
                <w:szCs w:val="22"/>
              </w:rPr>
              <w:t>Siobhan Davies</w:t>
            </w:r>
          </w:p>
        </w:tc>
        <w:tc>
          <w:tcPr>
            <w:tcW w:w="2126" w:type="dxa"/>
            <w:tcBorders>
              <w:bottom w:val="single" w:sz="4" w:space="0" w:color="auto"/>
            </w:tcBorders>
          </w:tcPr>
          <w:p w:rsidR="00D21E37" w:rsidRPr="00553269" w:rsidRDefault="00516C3C" w:rsidP="00D21E37">
            <w:pPr>
              <w:rPr>
                <w:rFonts w:cs="Arial"/>
                <w:sz w:val="22"/>
                <w:szCs w:val="22"/>
              </w:rPr>
            </w:pPr>
            <w:r>
              <w:rPr>
                <w:rFonts w:cs="Arial"/>
                <w:sz w:val="22"/>
                <w:szCs w:val="22"/>
              </w:rPr>
              <w:t>Yes</w:t>
            </w:r>
          </w:p>
        </w:tc>
      </w:tr>
      <w:tr w:rsidR="00D21E37" w:rsidRPr="00553269" w:rsidTr="00D21E37">
        <w:tc>
          <w:tcPr>
            <w:tcW w:w="4928" w:type="dxa"/>
            <w:tcBorders>
              <w:bottom w:val="single" w:sz="4" w:space="0" w:color="auto"/>
            </w:tcBorders>
          </w:tcPr>
          <w:p w:rsidR="00D21E37" w:rsidRDefault="00D21E37" w:rsidP="00D21E37">
            <w:pPr>
              <w:rPr>
                <w:rFonts w:cs="Arial"/>
                <w:b/>
                <w:sz w:val="22"/>
                <w:szCs w:val="22"/>
              </w:rPr>
            </w:pPr>
            <w:r w:rsidRPr="005340FF">
              <w:rPr>
                <w:rFonts w:cs="Arial"/>
                <w:b/>
                <w:sz w:val="22"/>
                <w:szCs w:val="22"/>
              </w:rPr>
              <w:t xml:space="preserve">Legal Practice </w:t>
            </w:r>
          </w:p>
          <w:p w:rsidR="00D21E37" w:rsidRPr="005340FF" w:rsidRDefault="00D21E37" w:rsidP="00D21E37">
            <w:pPr>
              <w:rPr>
                <w:rFonts w:cs="Arial"/>
                <w:b/>
                <w:sz w:val="22"/>
                <w:szCs w:val="22"/>
              </w:rPr>
            </w:pPr>
            <w:r w:rsidRPr="005340FF">
              <w:rPr>
                <w:rFonts w:cs="Arial"/>
                <w:sz w:val="22"/>
                <w:szCs w:val="22"/>
              </w:rPr>
              <w:t>(</w:t>
            </w:r>
            <w:r w:rsidRPr="00A54671">
              <w:rPr>
                <w:rFonts w:cs="Arial"/>
                <w:sz w:val="22"/>
                <w:szCs w:val="22"/>
              </w:rPr>
              <w:t xml:space="preserve">via </w:t>
            </w:r>
            <w:hyperlink r:id="rId15" w:history="1">
              <w:r w:rsidRPr="00813C3B">
                <w:rPr>
                  <w:rStyle w:val="Hyperlink"/>
                  <w:color w:val="FF0000"/>
                  <w:sz w:val="22"/>
                  <w:szCs w:val="22"/>
                </w:rPr>
                <w:t>legalimplications@lbbd.gov.uk</w:t>
              </w:r>
            </w:hyperlink>
            <w:r w:rsidRPr="005340FF">
              <w:rPr>
                <w:sz w:val="22"/>
                <w:szCs w:val="22"/>
              </w:rPr>
              <w:t>)</w:t>
            </w:r>
          </w:p>
        </w:tc>
        <w:tc>
          <w:tcPr>
            <w:tcW w:w="2580" w:type="dxa"/>
            <w:shd w:val="clear" w:color="auto" w:fill="auto"/>
          </w:tcPr>
          <w:p w:rsidR="00D21E37" w:rsidRPr="00553269" w:rsidRDefault="0038029E" w:rsidP="00D21E37">
            <w:pPr>
              <w:rPr>
                <w:rFonts w:cs="Arial"/>
                <w:sz w:val="22"/>
                <w:szCs w:val="22"/>
              </w:rPr>
            </w:pPr>
            <w:r w:rsidRPr="0038029E">
              <w:rPr>
                <w:rFonts w:cs="Arial"/>
                <w:sz w:val="22"/>
                <w:szCs w:val="22"/>
              </w:rPr>
              <w:t>Assaf Chaudry</w:t>
            </w:r>
          </w:p>
        </w:tc>
        <w:tc>
          <w:tcPr>
            <w:tcW w:w="2126" w:type="dxa"/>
            <w:tcBorders>
              <w:bottom w:val="single" w:sz="4" w:space="0" w:color="auto"/>
            </w:tcBorders>
          </w:tcPr>
          <w:p w:rsidR="00D21E37" w:rsidRPr="00553269" w:rsidRDefault="00516C3C" w:rsidP="00D21E37">
            <w:pPr>
              <w:rPr>
                <w:rFonts w:cs="Arial"/>
                <w:sz w:val="22"/>
                <w:szCs w:val="22"/>
              </w:rPr>
            </w:pPr>
            <w:r>
              <w:rPr>
                <w:rFonts w:cs="Arial"/>
                <w:sz w:val="22"/>
                <w:szCs w:val="22"/>
              </w:rPr>
              <w:t>Yes</w:t>
            </w:r>
          </w:p>
        </w:tc>
      </w:tr>
      <w:tr w:rsidR="00D21E37" w:rsidRPr="00553269" w:rsidTr="00D21E37">
        <w:tc>
          <w:tcPr>
            <w:tcW w:w="4928" w:type="dxa"/>
            <w:tcBorders>
              <w:bottom w:val="single" w:sz="4" w:space="0" w:color="auto"/>
            </w:tcBorders>
          </w:tcPr>
          <w:p w:rsidR="00D21E37" w:rsidRDefault="00D21E37" w:rsidP="00D21E37">
            <w:pPr>
              <w:rPr>
                <w:rFonts w:cs="Arial"/>
                <w:b/>
                <w:sz w:val="22"/>
                <w:szCs w:val="22"/>
              </w:rPr>
            </w:pPr>
            <w:r w:rsidRPr="005340FF">
              <w:rPr>
                <w:rFonts w:cs="Arial"/>
                <w:b/>
                <w:sz w:val="22"/>
                <w:szCs w:val="22"/>
              </w:rPr>
              <w:t xml:space="preserve">Corporate Policy </w:t>
            </w:r>
          </w:p>
          <w:p w:rsidR="00D21E37" w:rsidRPr="005340FF" w:rsidRDefault="00D21E37" w:rsidP="00D21E37">
            <w:pPr>
              <w:rPr>
                <w:rFonts w:cs="Arial"/>
                <w:sz w:val="22"/>
                <w:szCs w:val="22"/>
              </w:rPr>
            </w:pPr>
            <w:r w:rsidRPr="00967044">
              <w:rPr>
                <w:rFonts w:cs="Arial"/>
                <w:sz w:val="22"/>
                <w:szCs w:val="22"/>
              </w:rPr>
              <w:t xml:space="preserve">(via </w:t>
            </w:r>
            <w:hyperlink r:id="rId16" w:history="1">
              <w:r w:rsidRPr="00967044">
                <w:rPr>
                  <w:rStyle w:val="Hyperlink"/>
                  <w:rFonts w:cs="Arial"/>
                  <w:color w:val="FF0000"/>
                  <w:sz w:val="22"/>
                  <w:szCs w:val="22"/>
                </w:rPr>
                <w:t>salauoddin.asghar@lbbd.gov.uk</w:t>
              </w:r>
            </w:hyperlink>
            <w:r w:rsidRPr="00967044">
              <w:rPr>
                <w:rFonts w:cs="Arial"/>
                <w:color w:val="FF0000"/>
                <w:sz w:val="22"/>
                <w:szCs w:val="22"/>
              </w:rPr>
              <w:t>)</w:t>
            </w:r>
          </w:p>
        </w:tc>
        <w:tc>
          <w:tcPr>
            <w:tcW w:w="2580" w:type="dxa"/>
            <w:shd w:val="clear" w:color="auto" w:fill="auto"/>
          </w:tcPr>
          <w:p w:rsidR="00D21E37" w:rsidRPr="00553269" w:rsidRDefault="00516C3C" w:rsidP="00D21E37">
            <w:pPr>
              <w:rPr>
                <w:rFonts w:cs="Arial"/>
                <w:sz w:val="22"/>
                <w:szCs w:val="22"/>
              </w:rPr>
            </w:pPr>
            <w:r>
              <w:rPr>
                <w:rFonts w:cs="Arial"/>
                <w:sz w:val="22"/>
                <w:szCs w:val="22"/>
              </w:rPr>
              <w:t>Sal Asghar</w:t>
            </w:r>
          </w:p>
        </w:tc>
        <w:tc>
          <w:tcPr>
            <w:tcW w:w="2126" w:type="dxa"/>
            <w:tcBorders>
              <w:bottom w:val="single" w:sz="4" w:space="0" w:color="auto"/>
            </w:tcBorders>
          </w:tcPr>
          <w:p w:rsidR="00D21E37" w:rsidRPr="00553269" w:rsidRDefault="00516C3C" w:rsidP="00D21E37">
            <w:pPr>
              <w:rPr>
                <w:rFonts w:cs="Arial"/>
                <w:sz w:val="22"/>
                <w:szCs w:val="22"/>
              </w:rPr>
            </w:pPr>
            <w:r>
              <w:rPr>
                <w:rFonts w:cs="Arial"/>
                <w:sz w:val="22"/>
                <w:szCs w:val="22"/>
              </w:rPr>
              <w:t>Yes</w:t>
            </w:r>
          </w:p>
        </w:tc>
      </w:tr>
      <w:tr w:rsidR="00D21E37" w:rsidRPr="00553269" w:rsidTr="00D21E37">
        <w:tc>
          <w:tcPr>
            <w:tcW w:w="4928" w:type="dxa"/>
            <w:tcBorders>
              <w:bottom w:val="single" w:sz="4" w:space="0" w:color="auto"/>
            </w:tcBorders>
          </w:tcPr>
          <w:p w:rsidR="00D21E37" w:rsidRDefault="00D21E37" w:rsidP="00D21E37">
            <w:pPr>
              <w:rPr>
                <w:rFonts w:cs="Arial"/>
                <w:b/>
                <w:sz w:val="22"/>
                <w:szCs w:val="22"/>
              </w:rPr>
            </w:pPr>
            <w:r w:rsidRPr="005340FF">
              <w:rPr>
                <w:rFonts w:cs="Arial"/>
                <w:b/>
                <w:sz w:val="22"/>
                <w:szCs w:val="22"/>
              </w:rPr>
              <w:t xml:space="preserve">Community Safety </w:t>
            </w:r>
          </w:p>
          <w:p w:rsidR="00D21E37" w:rsidRPr="00E76386" w:rsidRDefault="00D21E37" w:rsidP="00D21E37">
            <w:pPr>
              <w:rPr>
                <w:rFonts w:cs="Arial"/>
                <w:b/>
                <w:sz w:val="22"/>
                <w:szCs w:val="22"/>
              </w:rPr>
            </w:pPr>
            <w:r w:rsidRPr="00E76386">
              <w:rPr>
                <w:rFonts w:cs="Arial"/>
                <w:sz w:val="22"/>
                <w:szCs w:val="22"/>
              </w:rPr>
              <w:t>(</w:t>
            </w:r>
            <w:r w:rsidRPr="00A54671">
              <w:rPr>
                <w:rFonts w:cs="Arial"/>
                <w:sz w:val="22"/>
                <w:szCs w:val="22"/>
              </w:rPr>
              <w:t xml:space="preserve">via </w:t>
            </w:r>
            <w:hyperlink r:id="rId17" w:history="1">
              <w:r w:rsidRPr="003E1731">
                <w:rPr>
                  <w:rStyle w:val="Hyperlink"/>
                  <w:rFonts w:cs="Arial"/>
                  <w:color w:val="FF0000"/>
                  <w:sz w:val="22"/>
                  <w:szCs w:val="22"/>
                </w:rPr>
                <w:t>matthew.cole@lbbd.gov.uk</w:t>
              </w:r>
            </w:hyperlink>
            <w:r w:rsidRPr="00E76386">
              <w:rPr>
                <w:rFonts w:cs="Arial"/>
                <w:sz w:val="22"/>
                <w:szCs w:val="22"/>
              </w:rPr>
              <w:t xml:space="preserve">) </w:t>
            </w:r>
          </w:p>
        </w:tc>
        <w:tc>
          <w:tcPr>
            <w:tcW w:w="2580" w:type="dxa"/>
            <w:shd w:val="clear" w:color="auto" w:fill="auto"/>
          </w:tcPr>
          <w:p w:rsidR="00D21E37" w:rsidRPr="00553269" w:rsidRDefault="00516C3C" w:rsidP="00D21E37">
            <w:pPr>
              <w:rPr>
                <w:rFonts w:cs="Arial"/>
                <w:sz w:val="22"/>
                <w:szCs w:val="22"/>
              </w:rPr>
            </w:pPr>
            <w:r>
              <w:rPr>
                <w:rFonts w:cs="Arial"/>
                <w:sz w:val="22"/>
                <w:szCs w:val="22"/>
              </w:rPr>
              <w:t>Matthew Cole</w:t>
            </w:r>
          </w:p>
        </w:tc>
        <w:tc>
          <w:tcPr>
            <w:tcW w:w="2126" w:type="dxa"/>
            <w:tcBorders>
              <w:bottom w:val="single" w:sz="4" w:space="0" w:color="auto"/>
            </w:tcBorders>
          </w:tcPr>
          <w:p w:rsidR="00D21E37" w:rsidRPr="00553269" w:rsidRDefault="00D21E37" w:rsidP="00D21E37">
            <w:pPr>
              <w:rPr>
                <w:rFonts w:cs="Arial"/>
                <w:sz w:val="22"/>
                <w:szCs w:val="22"/>
              </w:rPr>
            </w:pPr>
          </w:p>
        </w:tc>
      </w:tr>
      <w:tr w:rsidR="00D21E37" w:rsidRPr="00553269" w:rsidTr="00D21E37">
        <w:tc>
          <w:tcPr>
            <w:tcW w:w="4928" w:type="dxa"/>
            <w:tcBorders>
              <w:bottom w:val="single" w:sz="4" w:space="0" w:color="auto"/>
            </w:tcBorders>
          </w:tcPr>
          <w:p w:rsidR="00D21E37" w:rsidRDefault="00D21E37" w:rsidP="00D21E37">
            <w:pPr>
              <w:rPr>
                <w:rFonts w:cs="Arial"/>
                <w:b/>
                <w:sz w:val="22"/>
                <w:szCs w:val="22"/>
              </w:rPr>
            </w:pPr>
            <w:r w:rsidRPr="005340FF">
              <w:rPr>
                <w:rFonts w:cs="Arial"/>
                <w:b/>
                <w:sz w:val="22"/>
                <w:szCs w:val="22"/>
              </w:rPr>
              <w:t xml:space="preserve">Property/Asset Management </w:t>
            </w:r>
          </w:p>
          <w:p w:rsidR="00D21E37" w:rsidRPr="005340FF" w:rsidRDefault="00D21E37" w:rsidP="00D21E37">
            <w:pPr>
              <w:rPr>
                <w:rFonts w:cs="Arial"/>
                <w:b/>
                <w:sz w:val="22"/>
                <w:szCs w:val="22"/>
              </w:rPr>
            </w:pPr>
            <w:r w:rsidRPr="005340FF">
              <w:rPr>
                <w:rFonts w:cs="Arial"/>
                <w:sz w:val="22"/>
                <w:szCs w:val="22"/>
              </w:rPr>
              <w:t>(</w:t>
            </w:r>
            <w:r w:rsidRPr="00A54671">
              <w:rPr>
                <w:rFonts w:cs="Arial"/>
                <w:sz w:val="22"/>
                <w:szCs w:val="22"/>
              </w:rPr>
              <w:t xml:space="preserve">via </w:t>
            </w:r>
            <w:hyperlink r:id="rId18" w:history="1">
              <w:r w:rsidRPr="00813C3B">
                <w:rPr>
                  <w:rStyle w:val="Hyperlink"/>
                  <w:rFonts w:cs="Arial"/>
                  <w:color w:val="FF0000"/>
                  <w:sz w:val="22"/>
                  <w:szCs w:val="22"/>
                </w:rPr>
                <w:t>andrew.sivess@lbbd.gov.uk</w:t>
              </w:r>
            </w:hyperlink>
            <w:r w:rsidRPr="005340FF">
              <w:rPr>
                <w:rFonts w:cs="Arial"/>
                <w:sz w:val="22"/>
                <w:szCs w:val="22"/>
              </w:rPr>
              <w:t>)</w:t>
            </w:r>
          </w:p>
        </w:tc>
        <w:tc>
          <w:tcPr>
            <w:tcW w:w="2580" w:type="dxa"/>
            <w:shd w:val="clear" w:color="auto" w:fill="auto"/>
          </w:tcPr>
          <w:p w:rsidR="00D21E37" w:rsidRPr="00553269" w:rsidRDefault="00516C3C" w:rsidP="00D21E37">
            <w:pPr>
              <w:rPr>
                <w:rFonts w:cs="Arial"/>
                <w:sz w:val="22"/>
                <w:szCs w:val="22"/>
              </w:rPr>
            </w:pPr>
            <w:r>
              <w:rPr>
                <w:rFonts w:cs="Arial"/>
                <w:sz w:val="22"/>
                <w:szCs w:val="22"/>
              </w:rPr>
              <w:t>N/A</w:t>
            </w:r>
          </w:p>
        </w:tc>
        <w:tc>
          <w:tcPr>
            <w:tcW w:w="2126" w:type="dxa"/>
            <w:tcBorders>
              <w:bottom w:val="single" w:sz="4" w:space="0" w:color="auto"/>
            </w:tcBorders>
          </w:tcPr>
          <w:p w:rsidR="00D21E37" w:rsidRPr="00553269" w:rsidRDefault="00D21E37" w:rsidP="00D21E37">
            <w:pPr>
              <w:rPr>
                <w:rFonts w:cs="Arial"/>
                <w:sz w:val="22"/>
                <w:szCs w:val="22"/>
              </w:rPr>
            </w:pPr>
          </w:p>
        </w:tc>
      </w:tr>
      <w:tr w:rsidR="00D21E37" w:rsidRPr="00553269" w:rsidTr="00D21E37">
        <w:tc>
          <w:tcPr>
            <w:tcW w:w="4928" w:type="dxa"/>
            <w:tcBorders>
              <w:bottom w:val="single" w:sz="4" w:space="0" w:color="auto"/>
            </w:tcBorders>
          </w:tcPr>
          <w:p w:rsidR="00D21E37" w:rsidRDefault="00D21E37" w:rsidP="00D21E37">
            <w:pPr>
              <w:rPr>
                <w:rFonts w:cs="Arial"/>
                <w:b/>
                <w:sz w:val="22"/>
                <w:szCs w:val="22"/>
              </w:rPr>
            </w:pPr>
            <w:r w:rsidRPr="005340FF">
              <w:rPr>
                <w:rFonts w:cs="Arial"/>
                <w:b/>
                <w:sz w:val="22"/>
                <w:szCs w:val="22"/>
              </w:rPr>
              <w:t xml:space="preserve">Children’s Safeguarding </w:t>
            </w:r>
          </w:p>
          <w:p w:rsidR="00D21E37" w:rsidRPr="005340FF" w:rsidRDefault="00D21E37" w:rsidP="00D21E37">
            <w:pPr>
              <w:rPr>
                <w:rFonts w:cs="Arial"/>
                <w:sz w:val="22"/>
                <w:szCs w:val="22"/>
              </w:rPr>
            </w:pPr>
            <w:r w:rsidRPr="005340FF">
              <w:rPr>
                <w:rFonts w:cs="Arial"/>
                <w:sz w:val="22"/>
                <w:szCs w:val="22"/>
              </w:rPr>
              <w:t>(</w:t>
            </w:r>
            <w:r w:rsidRPr="00A54671">
              <w:rPr>
                <w:rFonts w:cs="Arial"/>
                <w:sz w:val="22"/>
                <w:szCs w:val="22"/>
              </w:rPr>
              <w:t xml:space="preserve">via </w:t>
            </w:r>
            <w:hyperlink r:id="rId19" w:history="1">
              <w:r w:rsidRPr="00DF197F">
                <w:rPr>
                  <w:rStyle w:val="Hyperlink"/>
                  <w:rFonts w:cs="Arial"/>
                  <w:color w:val="FF0000"/>
                  <w:sz w:val="22"/>
                  <w:szCs w:val="22"/>
                </w:rPr>
                <w:t>christopher.bush@lbbd.gov.uk</w:t>
              </w:r>
            </w:hyperlink>
            <w:r w:rsidRPr="005340FF">
              <w:rPr>
                <w:sz w:val="22"/>
                <w:szCs w:val="22"/>
              </w:rPr>
              <w:t xml:space="preserve">) </w:t>
            </w:r>
          </w:p>
        </w:tc>
        <w:tc>
          <w:tcPr>
            <w:tcW w:w="2580" w:type="dxa"/>
            <w:shd w:val="clear" w:color="auto" w:fill="auto"/>
          </w:tcPr>
          <w:p w:rsidR="00D21E37" w:rsidRPr="00553269" w:rsidRDefault="00516C3C" w:rsidP="00D21E37">
            <w:pPr>
              <w:rPr>
                <w:rFonts w:cs="Arial"/>
                <w:sz w:val="22"/>
                <w:szCs w:val="22"/>
              </w:rPr>
            </w:pPr>
            <w:r>
              <w:rPr>
                <w:rFonts w:cs="Arial"/>
                <w:sz w:val="22"/>
                <w:szCs w:val="22"/>
              </w:rPr>
              <w:t>N/A</w:t>
            </w:r>
          </w:p>
        </w:tc>
        <w:tc>
          <w:tcPr>
            <w:tcW w:w="2126" w:type="dxa"/>
            <w:tcBorders>
              <w:bottom w:val="single" w:sz="4" w:space="0" w:color="auto"/>
            </w:tcBorders>
          </w:tcPr>
          <w:p w:rsidR="00D21E37" w:rsidRPr="00553269" w:rsidRDefault="00D21E37" w:rsidP="00D21E37">
            <w:pPr>
              <w:rPr>
                <w:rFonts w:cs="Arial"/>
                <w:sz w:val="22"/>
                <w:szCs w:val="22"/>
              </w:rPr>
            </w:pPr>
          </w:p>
        </w:tc>
      </w:tr>
      <w:tr w:rsidR="00D21E37" w:rsidRPr="00553269" w:rsidTr="00D21E37">
        <w:tc>
          <w:tcPr>
            <w:tcW w:w="4928" w:type="dxa"/>
            <w:tcBorders>
              <w:bottom w:val="single" w:sz="4" w:space="0" w:color="auto"/>
            </w:tcBorders>
          </w:tcPr>
          <w:p w:rsidR="00D21E37" w:rsidRDefault="00D21E37" w:rsidP="00D21E37">
            <w:pPr>
              <w:rPr>
                <w:rFonts w:cs="Arial"/>
                <w:b/>
                <w:sz w:val="22"/>
                <w:szCs w:val="22"/>
              </w:rPr>
            </w:pPr>
            <w:r w:rsidRPr="005340FF">
              <w:rPr>
                <w:rFonts w:cs="Arial"/>
                <w:b/>
                <w:sz w:val="22"/>
                <w:szCs w:val="22"/>
              </w:rPr>
              <w:t xml:space="preserve">Director of Public Health </w:t>
            </w:r>
          </w:p>
          <w:p w:rsidR="00D21E37" w:rsidRPr="005340FF" w:rsidRDefault="00D21E37" w:rsidP="00D21E37">
            <w:pPr>
              <w:rPr>
                <w:rFonts w:cs="Arial"/>
                <w:b/>
                <w:sz w:val="22"/>
                <w:szCs w:val="22"/>
              </w:rPr>
            </w:pPr>
            <w:r w:rsidRPr="005340FF">
              <w:rPr>
                <w:rFonts w:cs="Arial"/>
                <w:sz w:val="22"/>
                <w:szCs w:val="22"/>
              </w:rPr>
              <w:t>(</w:t>
            </w:r>
            <w:r w:rsidRPr="00A54671">
              <w:rPr>
                <w:rFonts w:cs="Arial"/>
                <w:sz w:val="22"/>
                <w:szCs w:val="22"/>
              </w:rPr>
              <w:t xml:space="preserve">via </w:t>
            </w:r>
            <w:hyperlink r:id="rId20" w:history="1">
              <w:hyperlink r:id="rId21" w:history="1">
                <w:r>
                  <w:rPr>
                    <w:rStyle w:val="Hyperlink"/>
                    <w:rFonts w:cs="Arial"/>
                    <w:color w:val="FF0000"/>
                    <w:sz w:val="22"/>
                    <w:szCs w:val="22"/>
                  </w:rPr>
                  <w:t>matthew.cole</w:t>
                </w:r>
                <w:r w:rsidRPr="00813C3B">
                  <w:rPr>
                    <w:rStyle w:val="Hyperlink"/>
                    <w:rFonts w:cs="Arial"/>
                    <w:color w:val="FF0000"/>
                    <w:sz w:val="22"/>
                    <w:szCs w:val="22"/>
                  </w:rPr>
                  <w:t>@lbbd.gov.uk</w:t>
                </w:r>
              </w:hyperlink>
            </w:hyperlink>
            <w:r w:rsidRPr="005340FF">
              <w:rPr>
                <w:rFonts w:cs="Arial"/>
                <w:sz w:val="22"/>
                <w:szCs w:val="22"/>
              </w:rPr>
              <w:t xml:space="preserve">) </w:t>
            </w:r>
          </w:p>
        </w:tc>
        <w:tc>
          <w:tcPr>
            <w:tcW w:w="2580" w:type="dxa"/>
            <w:shd w:val="clear" w:color="auto" w:fill="auto"/>
          </w:tcPr>
          <w:p w:rsidR="00D21E37" w:rsidRPr="00553269" w:rsidRDefault="00516C3C" w:rsidP="00D21E37">
            <w:pPr>
              <w:rPr>
                <w:rFonts w:cs="Arial"/>
                <w:sz w:val="22"/>
                <w:szCs w:val="22"/>
              </w:rPr>
            </w:pPr>
            <w:r>
              <w:rPr>
                <w:rFonts w:cs="Arial"/>
                <w:sz w:val="22"/>
                <w:szCs w:val="22"/>
              </w:rPr>
              <w:t>N/A</w:t>
            </w:r>
          </w:p>
        </w:tc>
        <w:tc>
          <w:tcPr>
            <w:tcW w:w="2126" w:type="dxa"/>
            <w:tcBorders>
              <w:bottom w:val="single" w:sz="4" w:space="0" w:color="auto"/>
            </w:tcBorders>
          </w:tcPr>
          <w:p w:rsidR="00D21E37" w:rsidRPr="00553269" w:rsidRDefault="00D21E37" w:rsidP="00D21E37">
            <w:pPr>
              <w:rPr>
                <w:rFonts w:cs="Arial"/>
                <w:sz w:val="22"/>
                <w:szCs w:val="22"/>
              </w:rPr>
            </w:pPr>
          </w:p>
        </w:tc>
      </w:tr>
      <w:tr w:rsidR="00D21E37" w:rsidRPr="00553269" w:rsidTr="00D21E37">
        <w:tc>
          <w:tcPr>
            <w:tcW w:w="4928" w:type="dxa"/>
            <w:tcBorders>
              <w:bottom w:val="single" w:sz="4" w:space="0" w:color="auto"/>
            </w:tcBorders>
          </w:tcPr>
          <w:p w:rsidR="00D21E37" w:rsidRPr="005340FF" w:rsidRDefault="00D21E37" w:rsidP="00D21E37">
            <w:pPr>
              <w:rPr>
                <w:rFonts w:cs="Arial"/>
                <w:b/>
                <w:sz w:val="22"/>
                <w:szCs w:val="22"/>
              </w:rPr>
            </w:pPr>
            <w:r w:rsidRPr="005340FF">
              <w:rPr>
                <w:rFonts w:cs="Arial"/>
                <w:b/>
                <w:color w:val="0000FF"/>
                <w:sz w:val="22"/>
                <w:szCs w:val="22"/>
              </w:rPr>
              <w:t>Other Consultees (including external bodies):</w:t>
            </w:r>
          </w:p>
          <w:p w:rsidR="00D21E37" w:rsidRPr="005340FF" w:rsidRDefault="00D21E37" w:rsidP="00D21E37">
            <w:pPr>
              <w:rPr>
                <w:rFonts w:cs="Arial"/>
                <w:b/>
                <w:sz w:val="22"/>
                <w:szCs w:val="22"/>
              </w:rPr>
            </w:pPr>
            <w:r>
              <w:rPr>
                <w:rFonts w:cs="Arial"/>
                <w:b/>
                <w:sz w:val="22"/>
                <w:szCs w:val="22"/>
              </w:rPr>
              <w:t>(To be completed as appropriate)</w:t>
            </w:r>
          </w:p>
        </w:tc>
        <w:tc>
          <w:tcPr>
            <w:tcW w:w="2580" w:type="dxa"/>
            <w:shd w:val="clear" w:color="auto" w:fill="auto"/>
          </w:tcPr>
          <w:p w:rsidR="00D21E37" w:rsidRPr="00553269" w:rsidRDefault="00D21E37" w:rsidP="00D21E37">
            <w:pPr>
              <w:rPr>
                <w:rFonts w:cs="Arial"/>
                <w:sz w:val="22"/>
                <w:szCs w:val="22"/>
              </w:rPr>
            </w:pPr>
          </w:p>
        </w:tc>
        <w:tc>
          <w:tcPr>
            <w:tcW w:w="2126" w:type="dxa"/>
            <w:tcBorders>
              <w:bottom w:val="single" w:sz="4" w:space="0" w:color="auto"/>
            </w:tcBorders>
          </w:tcPr>
          <w:p w:rsidR="00D21E37" w:rsidRPr="00553269" w:rsidRDefault="00D21E37" w:rsidP="00D21E37">
            <w:pPr>
              <w:rPr>
                <w:rFonts w:cs="Arial"/>
                <w:sz w:val="22"/>
                <w:szCs w:val="22"/>
              </w:rPr>
            </w:pPr>
          </w:p>
        </w:tc>
      </w:tr>
      <w:tr w:rsidR="00D21E37" w:rsidRPr="00553269" w:rsidTr="00D21E37">
        <w:tc>
          <w:tcPr>
            <w:tcW w:w="4928" w:type="dxa"/>
            <w:tcBorders>
              <w:bottom w:val="single" w:sz="4" w:space="0" w:color="auto"/>
            </w:tcBorders>
          </w:tcPr>
          <w:p w:rsidR="00D21E37" w:rsidRPr="00553269" w:rsidRDefault="00D21E37" w:rsidP="00D21E37">
            <w:pPr>
              <w:rPr>
                <w:rFonts w:cs="Arial"/>
                <w:b/>
                <w:sz w:val="22"/>
                <w:szCs w:val="22"/>
              </w:rPr>
            </w:pPr>
          </w:p>
        </w:tc>
        <w:tc>
          <w:tcPr>
            <w:tcW w:w="2580" w:type="dxa"/>
            <w:shd w:val="clear" w:color="auto" w:fill="auto"/>
          </w:tcPr>
          <w:p w:rsidR="00D21E37" w:rsidRPr="00553269" w:rsidRDefault="00D21E37" w:rsidP="00D21E37">
            <w:pPr>
              <w:rPr>
                <w:rFonts w:cs="Arial"/>
                <w:sz w:val="22"/>
                <w:szCs w:val="22"/>
              </w:rPr>
            </w:pPr>
          </w:p>
        </w:tc>
        <w:tc>
          <w:tcPr>
            <w:tcW w:w="2126" w:type="dxa"/>
            <w:tcBorders>
              <w:bottom w:val="single" w:sz="4" w:space="0" w:color="auto"/>
            </w:tcBorders>
          </w:tcPr>
          <w:p w:rsidR="00D21E37" w:rsidRPr="00553269" w:rsidRDefault="00D21E37" w:rsidP="00D21E37">
            <w:pPr>
              <w:rPr>
                <w:rFonts w:cs="Arial"/>
                <w:sz w:val="22"/>
                <w:szCs w:val="22"/>
              </w:rPr>
            </w:pPr>
          </w:p>
        </w:tc>
      </w:tr>
      <w:tr w:rsidR="00D21E37" w:rsidRPr="00553269" w:rsidTr="00D21E37">
        <w:tc>
          <w:tcPr>
            <w:tcW w:w="4928" w:type="dxa"/>
            <w:tcBorders>
              <w:bottom w:val="single" w:sz="4" w:space="0" w:color="auto"/>
            </w:tcBorders>
          </w:tcPr>
          <w:p w:rsidR="00D21E37" w:rsidRPr="00553269" w:rsidRDefault="00D21E37" w:rsidP="00D21E37">
            <w:pPr>
              <w:rPr>
                <w:rFonts w:cs="Arial"/>
                <w:b/>
                <w:sz w:val="22"/>
                <w:szCs w:val="22"/>
              </w:rPr>
            </w:pPr>
          </w:p>
        </w:tc>
        <w:tc>
          <w:tcPr>
            <w:tcW w:w="2580" w:type="dxa"/>
            <w:shd w:val="clear" w:color="auto" w:fill="auto"/>
          </w:tcPr>
          <w:p w:rsidR="00D21E37" w:rsidRPr="00553269" w:rsidRDefault="00D21E37" w:rsidP="00D21E37">
            <w:pPr>
              <w:rPr>
                <w:rFonts w:cs="Arial"/>
                <w:sz w:val="22"/>
                <w:szCs w:val="22"/>
              </w:rPr>
            </w:pPr>
          </w:p>
        </w:tc>
        <w:tc>
          <w:tcPr>
            <w:tcW w:w="2126" w:type="dxa"/>
            <w:tcBorders>
              <w:bottom w:val="single" w:sz="4" w:space="0" w:color="auto"/>
            </w:tcBorders>
          </w:tcPr>
          <w:p w:rsidR="00D21E37" w:rsidRPr="00553269" w:rsidRDefault="00D21E37" w:rsidP="00D21E37">
            <w:pPr>
              <w:rPr>
                <w:rFonts w:cs="Arial"/>
                <w:sz w:val="22"/>
                <w:szCs w:val="22"/>
              </w:rPr>
            </w:pPr>
          </w:p>
        </w:tc>
      </w:tr>
      <w:tr w:rsidR="00D21E37" w:rsidRPr="00553269" w:rsidTr="00D21E37">
        <w:tc>
          <w:tcPr>
            <w:tcW w:w="4928" w:type="dxa"/>
            <w:tcBorders>
              <w:bottom w:val="single" w:sz="4" w:space="0" w:color="auto"/>
            </w:tcBorders>
          </w:tcPr>
          <w:p w:rsidR="00D21E37" w:rsidRPr="00553269" w:rsidRDefault="00D21E37" w:rsidP="00D21E37">
            <w:pPr>
              <w:rPr>
                <w:rFonts w:cs="Arial"/>
                <w:b/>
                <w:sz w:val="22"/>
                <w:szCs w:val="22"/>
              </w:rPr>
            </w:pPr>
          </w:p>
        </w:tc>
        <w:tc>
          <w:tcPr>
            <w:tcW w:w="2580" w:type="dxa"/>
            <w:shd w:val="clear" w:color="auto" w:fill="auto"/>
          </w:tcPr>
          <w:p w:rsidR="00D21E37" w:rsidRPr="00553269" w:rsidRDefault="00D21E37" w:rsidP="00D21E37">
            <w:pPr>
              <w:rPr>
                <w:rFonts w:cs="Arial"/>
                <w:sz w:val="22"/>
                <w:szCs w:val="22"/>
              </w:rPr>
            </w:pPr>
          </w:p>
        </w:tc>
        <w:tc>
          <w:tcPr>
            <w:tcW w:w="2126" w:type="dxa"/>
            <w:tcBorders>
              <w:bottom w:val="single" w:sz="4" w:space="0" w:color="auto"/>
            </w:tcBorders>
          </w:tcPr>
          <w:p w:rsidR="00D21E37" w:rsidRPr="00553269" w:rsidRDefault="00D21E37" w:rsidP="00D21E37">
            <w:pPr>
              <w:rPr>
                <w:rFonts w:cs="Arial"/>
                <w:sz w:val="22"/>
                <w:szCs w:val="22"/>
              </w:rPr>
            </w:pPr>
          </w:p>
        </w:tc>
      </w:tr>
      <w:tr w:rsidR="00D21E37" w:rsidRPr="00553269" w:rsidTr="00D21E37">
        <w:tc>
          <w:tcPr>
            <w:tcW w:w="4928" w:type="dxa"/>
            <w:tcBorders>
              <w:bottom w:val="single" w:sz="4" w:space="0" w:color="auto"/>
            </w:tcBorders>
          </w:tcPr>
          <w:p w:rsidR="00D21E37" w:rsidRPr="00553269" w:rsidRDefault="00D21E37" w:rsidP="00D21E37">
            <w:pPr>
              <w:rPr>
                <w:rFonts w:cs="Arial"/>
                <w:b/>
                <w:sz w:val="22"/>
                <w:szCs w:val="22"/>
              </w:rPr>
            </w:pPr>
          </w:p>
        </w:tc>
        <w:tc>
          <w:tcPr>
            <w:tcW w:w="2580" w:type="dxa"/>
            <w:shd w:val="clear" w:color="auto" w:fill="auto"/>
          </w:tcPr>
          <w:p w:rsidR="00D21E37" w:rsidRPr="00553269" w:rsidRDefault="00D21E37" w:rsidP="00D21E37">
            <w:pPr>
              <w:rPr>
                <w:rFonts w:cs="Arial"/>
                <w:sz w:val="22"/>
                <w:szCs w:val="22"/>
              </w:rPr>
            </w:pPr>
          </w:p>
        </w:tc>
        <w:tc>
          <w:tcPr>
            <w:tcW w:w="2126" w:type="dxa"/>
            <w:tcBorders>
              <w:bottom w:val="single" w:sz="4" w:space="0" w:color="auto"/>
            </w:tcBorders>
          </w:tcPr>
          <w:p w:rsidR="00D21E37" w:rsidRPr="00553269" w:rsidRDefault="00D21E37" w:rsidP="00D21E37">
            <w:pPr>
              <w:rPr>
                <w:rFonts w:cs="Arial"/>
                <w:sz w:val="22"/>
                <w:szCs w:val="22"/>
              </w:rPr>
            </w:pPr>
          </w:p>
        </w:tc>
      </w:tr>
    </w:tbl>
    <w:p w:rsidR="008E74DE" w:rsidRDefault="008E74DE" w:rsidP="008E74DE">
      <w:pPr>
        <w:rPr>
          <w:rFonts w:cs="Arial"/>
        </w:rPr>
      </w:pPr>
    </w:p>
    <w:p w:rsidR="00D26499" w:rsidRDefault="00D26499" w:rsidP="008E74DE">
      <w:pPr>
        <w:rPr>
          <w:rFonts w:cs="Arial"/>
          <w:b/>
        </w:rPr>
      </w:pPr>
    </w:p>
    <w:p w:rsidR="006820DE" w:rsidRDefault="006820DE" w:rsidP="00242399">
      <w:pPr>
        <w:jc w:val="both"/>
        <w:rPr>
          <w:rFonts w:cs="Arial"/>
          <w:b/>
        </w:rPr>
        <w:sectPr w:rsidR="006820DE" w:rsidSect="008E74DE">
          <w:headerReference w:type="even" r:id="rId22"/>
          <w:headerReference w:type="default" r:id="rId23"/>
          <w:footerReference w:type="even" r:id="rId24"/>
          <w:footerReference w:type="default" r:id="rId25"/>
          <w:headerReference w:type="first" r:id="rId26"/>
          <w:footerReference w:type="first" r:id="rId27"/>
          <w:pgSz w:w="11909" w:h="16834" w:code="9"/>
          <w:pgMar w:top="1134" w:right="1134" w:bottom="1134" w:left="1134" w:header="720" w:footer="720" w:gutter="0"/>
          <w:paperSrc w:first="15" w:other="15"/>
          <w:cols w:space="720"/>
        </w:sectPr>
      </w:pPr>
    </w:p>
    <w:p w:rsidR="003568BF" w:rsidRPr="00956B61" w:rsidRDefault="003568BF" w:rsidP="00662119">
      <w:pPr>
        <w:jc w:val="center"/>
        <w:rPr>
          <w:rFonts w:cs="Arial"/>
          <w:b/>
        </w:rPr>
      </w:pPr>
      <w:r w:rsidRPr="00956B61">
        <w:rPr>
          <w:rFonts w:cs="Arial"/>
          <w:b/>
        </w:rPr>
        <w:lastRenderedPageBreak/>
        <w:t>CABINET</w:t>
      </w:r>
      <w:r w:rsidR="00C43EE1" w:rsidRPr="00956B61">
        <w:rPr>
          <w:rFonts w:cs="Arial"/>
          <w:b/>
        </w:rPr>
        <w:t xml:space="preserve"> </w:t>
      </w:r>
    </w:p>
    <w:p w:rsidR="009A0F2F" w:rsidRPr="00956B61" w:rsidRDefault="009A0F2F" w:rsidP="00242399">
      <w:pPr>
        <w:jc w:val="center"/>
        <w:rPr>
          <w:rFonts w:cs="Arial"/>
          <w:b/>
        </w:rPr>
      </w:pPr>
    </w:p>
    <w:p w:rsidR="009A0F2F" w:rsidRPr="00956B61" w:rsidRDefault="000C6D66" w:rsidP="00242399">
      <w:pPr>
        <w:jc w:val="center"/>
        <w:rPr>
          <w:rFonts w:cs="Arial"/>
          <w:b/>
        </w:rPr>
      </w:pPr>
      <w:r>
        <w:rPr>
          <w:rFonts w:cs="Arial"/>
          <w:b/>
        </w:rPr>
        <w:t>20 June</w:t>
      </w:r>
      <w:r w:rsidR="000072FE" w:rsidRPr="00956B61">
        <w:rPr>
          <w:rFonts w:cs="Arial"/>
          <w:b/>
        </w:rPr>
        <w:t xml:space="preserve"> 2017</w:t>
      </w:r>
    </w:p>
    <w:p w:rsidR="009A0F2F" w:rsidRPr="00956B61" w:rsidRDefault="009A0F2F" w:rsidP="00F7272A">
      <w:pPr>
        <w:rPr>
          <w:rFonts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4082"/>
      </w:tblGrid>
      <w:tr w:rsidR="00956B61" w:rsidRPr="00956B61" w:rsidTr="000072FE">
        <w:tc>
          <w:tcPr>
            <w:tcW w:w="9747" w:type="dxa"/>
            <w:gridSpan w:val="2"/>
          </w:tcPr>
          <w:p w:rsidR="00462371" w:rsidRPr="00956B61" w:rsidRDefault="00462371" w:rsidP="00F7272A">
            <w:pPr>
              <w:rPr>
                <w:rFonts w:cs="Arial"/>
              </w:rPr>
            </w:pPr>
            <w:r w:rsidRPr="00956B61">
              <w:rPr>
                <w:rFonts w:cs="Arial"/>
                <w:b/>
              </w:rPr>
              <w:t>Title:</w:t>
            </w:r>
            <w:r w:rsidRPr="00956B61">
              <w:rPr>
                <w:rFonts w:cs="Arial"/>
              </w:rPr>
              <w:t xml:space="preserve"> </w:t>
            </w:r>
            <w:r w:rsidR="00726844" w:rsidRPr="00726844">
              <w:rPr>
                <w:rFonts w:cs="Arial"/>
              </w:rPr>
              <w:t>School Improvement Partnership</w:t>
            </w:r>
            <w:r w:rsidR="00726844">
              <w:rPr>
                <w:rFonts w:cs="Arial"/>
              </w:rPr>
              <w:t xml:space="preserve"> </w:t>
            </w:r>
            <w:r w:rsidR="000072FE" w:rsidRPr="00956B61">
              <w:rPr>
                <w:rFonts w:cs="Arial"/>
              </w:rPr>
              <w:t>Full Business Case</w:t>
            </w:r>
          </w:p>
          <w:p w:rsidR="00462371" w:rsidRPr="00956B61" w:rsidRDefault="00462371" w:rsidP="00F7272A">
            <w:pPr>
              <w:rPr>
                <w:rFonts w:cs="Arial"/>
              </w:rPr>
            </w:pPr>
          </w:p>
        </w:tc>
      </w:tr>
      <w:tr w:rsidR="00956B61" w:rsidRPr="00956B61" w:rsidTr="000072FE">
        <w:tc>
          <w:tcPr>
            <w:tcW w:w="9747" w:type="dxa"/>
            <w:gridSpan w:val="2"/>
          </w:tcPr>
          <w:p w:rsidR="00EC2A42" w:rsidRPr="00956B61" w:rsidRDefault="00EC2A42" w:rsidP="000072FE">
            <w:pPr>
              <w:rPr>
                <w:rFonts w:cs="Arial"/>
                <w:b/>
              </w:rPr>
            </w:pPr>
            <w:r w:rsidRPr="00956B61">
              <w:rPr>
                <w:rFonts w:cs="Arial"/>
                <w:b/>
              </w:rPr>
              <w:t>R</w:t>
            </w:r>
            <w:r w:rsidR="00DC116F" w:rsidRPr="00956B61">
              <w:rPr>
                <w:rFonts w:cs="Arial"/>
                <w:b/>
              </w:rPr>
              <w:t>eport of</w:t>
            </w:r>
            <w:r w:rsidR="0098543B" w:rsidRPr="00956B61">
              <w:rPr>
                <w:rFonts w:cs="Arial"/>
                <w:b/>
              </w:rPr>
              <w:t xml:space="preserve"> the </w:t>
            </w:r>
            <w:r w:rsidR="00EB786D" w:rsidRPr="00956B61">
              <w:rPr>
                <w:rFonts w:cs="Arial"/>
                <w:b/>
              </w:rPr>
              <w:t xml:space="preserve">Cabinet Member for </w:t>
            </w:r>
            <w:r w:rsidR="00685C84" w:rsidRPr="00685C84">
              <w:rPr>
                <w:rFonts w:cs="Arial"/>
                <w:b/>
              </w:rPr>
              <w:t>Educational Attainment and School Improvement</w:t>
            </w:r>
          </w:p>
          <w:p w:rsidR="00EB786D" w:rsidRPr="00956B61" w:rsidRDefault="00EB786D" w:rsidP="000072FE">
            <w:pPr>
              <w:rPr>
                <w:rFonts w:cs="Arial"/>
                <w:b/>
              </w:rPr>
            </w:pPr>
          </w:p>
        </w:tc>
      </w:tr>
      <w:tr w:rsidR="00956B61" w:rsidRPr="00956B61" w:rsidTr="00956B61">
        <w:tc>
          <w:tcPr>
            <w:tcW w:w="5665" w:type="dxa"/>
          </w:tcPr>
          <w:p w:rsidR="000B3590" w:rsidRPr="003D4259" w:rsidRDefault="00A54671" w:rsidP="000B3590">
            <w:pPr>
              <w:rPr>
                <w:rFonts w:cs="Arial"/>
              </w:rPr>
            </w:pPr>
            <w:r w:rsidRPr="00956B61">
              <w:rPr>
                <w:rFonts w:cs="Arial"/>
                <w:b/>
              </w:rPr>
              <w:t xml:space="preserve">Open Report with </w:t>
            </w:r>
            <w:r w:rsidR="00FA6175" w:rsidRPr="00956B61">
              <w:rPr>
                <w:rFonts w:cs="Arial"/>
                <w:b/>
              </w:rPr>
              <w:t>Exempt</w:t>
            </w:r>
            <w:r w:rsidRPr="00956B61">
              <w:rPr>
                <w:rFonts w:cs="Arial"/>
                <w:b/>
              </w:rPr>
              <w:t xml:space="preserve"> Appendi</w:t>
            </w:r>
            <w:r w:rsidR="00656839">
              <w:rPr>
                <w:rFonts w:cs="Arial"/>
                <w:b/>
              </w:rPr>
              <w:t>x</w:t>
            </w:r>
            <w:r w:rsidR="000B3590">
              <w:rPr>
                <w:rFonts w:cs="Arial"/>
                <w:b/>
              </w:rPr>
              <w:t xml:space="preserve"> </w:t>
            </w:r>
            <w:r w:rsidR="00656839">
              <w:rPr>
                <w:rFonts w:cs="Arial"/>
                <w:b/>
              </w:rPr>
              <w:t>1</w:t>
            </w:r>
            <w:r w:rsidR="00576321" w:rsidRPr="00956B61">
              <w:rPr>
                <w:rFonts w:cs="Arial"/>
              </w:rPr>
              <w:t xml:space="preserve"> </w:t>
            </w:r>
            <w:r w:rsidR="000B3590" w:rsidRPr="00472A52">
              <w:t xml:space="preserve">(relevant legislation: paragraph 3 of Part </w:t>
            </w:r>
            <w:r w:rsidR="00B340EF">
              <w:t>1</w:t>
            </w:r>
            <w:r w:rsidR="000B3590" w:rsidRPr="00472A52">
              <w:t xml:space="preserve"> of Schedule 12A of the Local Government Act 1972)</w:t>
            </w:r>
          </w:p>
          <w:p w:rsidR="00461800" w:rsidRPr="00956B61" w:rsidRDefault="00461800" w:rsidP="000072FE">
            <w:pPr>
              <w:rPr>
                <w:rFonts w:cs="Arial"/>
                <w:b/>
              </w:rPr>
            </w:pPr>
          </w:p>
        </w:tc>
        <w:tc>
          <w:tcPr>
            <w:tcW w:w="4082" w:type="dxa"/>
          </w:tcPr>
          <w:p w:rsidR="000072FE" w:rsidRPr="00956B61" w:rsidRDefault="000072FE" w:rsidP="000072FE">
            <w:pPr>
              <w:rPr>
                <w:rFonts w:cs="Arial"/>
                <w:b/>
              </w:rPr>
            </w:pPr>
            <w:r w:rsidRPr="00956B61">
              <w:rPr>
                <w:rFonts w:cs="Arial"/>
                <w:b/>
              </w:rPr>
              <w:t>For Decision</w:t>
            </w:r>
          </w:p>
          <w:p w:rsidR="00461800" w:rsidRPr="00956B61" w:rsidRDefault="00461800" w:rsidP="00462371">
            <w:pPr>
              <w:rPr>
                <w:rFonts w:cs="Arial"/>
                <w:b/>
              </w:rPr>
            </w:pPr>
          </w:p>
        </w:tc>
      </w:tr>
      <w:tr w:rsidR="00956B61" w:rsidRPr="00956B61" w:rsidTr="00956B61">
        <w:tc>
          <w:tcPr>
            <w:tcW w:w="5665" w:type="dxa"/>
          </w:tcPr>
          <w:p w:rsidR="00462371" w:rsidRPr="00956B61" w:rsidRDefault="00462371" w:rsidP="00462371">
            <w:pPr>
              <w:rPr>
                <w:rFonts w:cs="Arial"/>
              </w:rPr>
            </w:pPr>
            <w:r w:rsidRPr="00956B61">
              <w:rPr>
                <w:rFonts w:cs="Arial"/>
                <w:b/>
              </w:rPr>
              <w:t xml:space="preserve">Wards Affected: </w:t>
            </w:r>
            <w:r w:rsidR="00956B61" w:rsidRPr="00956B61">
              <w:rPr>
                <w:rFonts w:cs="Arial"/>
              </w:rPr>
              <w:t>None</w:t>
            </w:r>
          </w:p>
          <w:p w:rsidR="00462371" w:rsidRPr="00956B61" w:rsidRDefault="00462371" w:rsidP="00462371">
            <w:pPr>
              <w:rPr>
                <w:rFonts w:cs="Arial"/>
                <w:b/>
              </w:rPr>
            </w:pPr>
          </w:p>
        </w:tc>
        <w:tc>
          <w:tcPr>
            <w:tcW w:w="4082" w:type="dxa"/>
          </w:tcPr>
          <w:p w:rsidR="00462371" w:rsidRPr="00956B61" w:rsidRDefault="00462371" w:rsidP="00462371">
            <w:pPr>
              <w:rPr>
                <w:rFonts w:cs="Arial"/>
                <w:b/>
              </w:rPr>
            </w:pPr>
            <w:r w:rsidRPr="00956B61">
              <w:rPr>
                <w:rFonts w:cs="Arial"/>
                <w:b/>
              </w:rPr>
              <w:t xml:space="preserve">Key Decision: </w:t>
            </w:r>
            <w:r w:rsidR="000072FE" w:rsidRPr="00956B61">
              <w:rPr>
                <w:rFonts w:cs="Arial"/>
              </w:rPr>
              <w:t xml:space="preserve">Yes </w:t>
            </w:r>
          </w:p>
        </w:tc>
      </w:tr>
      <w:tr w:rsidR="00956B61" w:rsidRPr="00956B61" w:rsidTr="00956B61">
        <w:tc>
          <w:tcPr>
            <w:tcW w:w="5665" w:type="dxa"/>
          </w:tcPr>
          <w:p w:rsidR="00A558E9" w:rsidRPr="00956B61" w:rsidRDefault="000072FE" w:rsidP="000072FE">
            <w:pPr>
              <w:rPr>
                <w:rFonts w:cs="Arial"/>
                <w:b/>
              </w:rPr>
            </w:pPr>
            <w:r w:rsidRPr="00956B61">
              <w:rPr>
                <w:rFonts w:cs="Arial"/>
                <w:b/>
              </w:rPr>
              <w:t>Report Author</w:t>
            </w:r>
            <w:r w:rsidR="00956B61" w:rsidRPr="00956B61">
              <w:rPr>
                <w:rFonts w:cs="Arial"/>
                <w:b/>
              </w:rPr>
              <w:t>s</w:t>
            </w:r>
            <w:r w:rsidRPr="00956B61">
              <w:rPr>
                <w:rFonts w:cs="Arial"/>
                <w:b/>
              </w:rPr>
              <w:t>:</w:t>
            </w:r>
          </w:p>
          <w:p w:rsidR="000072FE" w:rsidRPr="00956B61" w:rsidRDefault="00685C84" w:rsidP="000072FE">
            <w:pPr>
              <w:rPr>
                <w:rFonts w:cs="Arial"/>
                <w:b/>
              </w:rPr>
            </w:pPr>
            <w:r w:rsidRPr="00685C84">
              <w:rPr>
                <w:rFonts w:cs="Arial"/>
              </w:rPr>
              <w:t>Jane Hargreaves, Commissioning Director Education</w:t>
            </w:r>
          </w:p>
        </w:tc>
        <w:tc>
          <w:tcPr>
            <w:tcW w:w="4082" w:type="dxa"/>
          </w:tcPr>
          <w:p w:rsidR="000072FE" w:rsidRPr="00956B61" w:rsidRDefault="000072FE" w:rsidP="000072FE">
            <w:pPr>
              <w:pStyle w:val="Header"/>
              <w:tabs>
                <w:tab w:val="clear" w:pos="4320"/>
                <w:tab w:val="clear" w:pos="8640"/>
              </w:tabs>
              <w:rPr>
                <w:rFonts w:cs="Arial"/>
                <w:b/>
              </w:rPr>
            </w:pPr>
            <w:r w:rsidRPr="00956B61">
              <w:rPr>
                <w:rFonts w:cs="Arial"/>
                <w:b/>
              </w:rPr>
              <w:t>Contact Details:</w:t>
            </w:r>
          </w:p>
          <w:p w:rsidR="000072FE" w:rsidRPr="00956B61" w:rsidRDefault="000072FE" w:rsidP="000072FE">
            <w:pPr>
              <w:rPr>
                <w:rFonts w:cs="Arial"/>
              </w:rPr>
            </w:pPr>
            <w:r w:rsidRPr="00956B61">
              <w:rPr>
                <w:rFonts w:cs="Arial"/>
              </w:rPr>
              <w:t xml:space="preserve">Tel: </w:t>
            </w:r>
            <w:r w:rsidR="00685C84" w:rsidRPr="00685C84">
              <w:rPr>
                <w:rFonts w:cs="Arial"/>
              </w:rPr>
              <w:t xml:space="preserve">020 8227 2686  </w:t>
            </w:r>
          </w:p>
          <w:p w:rsidR="000072FE" w:rsidRPr="00956B61" w:rsidRDefault="00685C84" w:rsidP="000072FE">
            <w:pPr>
              <w:rPr>
                <w:rFonts w:cs="Arial"/>
              </w:rPr>
            </w:pPr>
            <w:r>
              <w:rPr>
                <w:rFonts w:cs="Arial"/>
              </w:rPr>
              <w:t xml:space="preserve">E-mail: </w:t>
            </w:r>
            <w:r w:rsidRPr="00685C84">
              <w:rPr>
                <w:rFonts w:cs="Arial"/>
                <w:u w:val="single"/>
              </w:rPr>
              <w:t>J</w:t>
            </w:r>
            <w:r w:rsidRPr="00685C84">
              <w:rPr>
                <w:u w:val="single"/>
              </w:rPr>
              <w:t>ane.Hargreaves@lbbd.gov.uk</w:t>
            </w:r>
          </w:p>
          <w:p w:rsidR="001B0574" w:rsidRPr="00956B61" w:rsidRDefault="001B0574" w:rsidP="00685C84">
            <w:pPr>
              <w:rPr>
                <w:rFonts w:cs="Arial"/>
              </w:rPr>
            </w:pPr>
          </w:p>
        </w:tc>
      </w:tr>
      <w:tr w:rsidR="00956B61" w:rsidRPr="00956B61" w:rsidTr="000072FE">
        <w:tc>
          <w:tcPr>
            <w:tcW w:w="9747" w:type="dxa"/>
            <w:gridSpan w:val="2"/>
          </w:tcPr>
          <w:p w:rsidR="001B0574" w:rsidRPr="00956B61" w:rsidRDefault="000072FE" w:rsidP="000072FE">
            <w:pPr>
              <w:rPr>
                <w:rFonts w:cs="Arial"/>
                <w:b/>
              </w:rPr>
            </w:pPr>
            <w:r w:rsidRPr="00956B61">
              <w:rPr>
                <w:rFonts w:cs="Arial"/>
                <w:b/>
              </w:rPr>
              <w:t xml:space="preserve">Accountable Divisional Director: </w:t>
            </w:r>
          </w:p>
          <w:p w:rsidR="000072FE" w:rsidRPr="00956B61" w:rsidRDefault="00726844" w:rsidP="000072FE">
            <w:pPr>
              <w:rPr>
                <w:rFonts w:cs="Arial"/>
              </w:rPr>
            </w:pPr>
            <w:r>
              <w:rPr>
                <w:rFonts w:cs="Arial"/>
              </w:rPr>
              <w:t>Jane Hargreaves</w:t>
            </w:r>
            <w:r w:rsidR="000072FE" w:rsidRPr="00956B61">
              <w:rPr>
                <w:rFonts w:cs="Arial"/>
              </w:rPr>
              <w:t xml:space="preserve">, </w:t>
            </w:r>
            <w:r w:rsidRPr="00726844">
              <w:rPr>
                <w:rFonts w:cs="Arial"/>
              </w:rPr>
              <w:t>Commissioning Director Education</w:t>
            </w:r>
          </w:p>
          <w:p w:rsidR="000072FE" w:rsidRPr="00956B61" w:rsidRDefault="000072FE" w:rsidP="000072FE">
            <w:pPr>
              <w:rPr>
                <w:rFonts w:cs="Arial"/>
                <w:b/>
              </w:rPr>
            </w:pPr>
          </w:p>
        </w:tc>
      </w:tr>
      <w:tr w:rsidR="000072FE" w:rsidRPr="001B297F" w:rsidTr="000072FE">
        <w:tc>
          <w:tcPr>
            <w:tcW w:w="9747" w:type="dxa"/>
            <w:gridSpan w:val="2"/>
          </w:tcPr>
          <w:p w:rsidR="000072FE" w:rsidRPr="001B297F" w:rsidRDefault="000072FE" w:rsidP="000072FE">
            <w:pPr>
              <w:rPr>
                <w:rFonts w:cs="Arial"/>
                <w:b/>
              </w:rPr>
            </w:pPr>
            <w:r w:rsidRPr="001B297F">
              <w:rPr>
                <w:rFonts w:cs="Arial"/>
                <w:b/>
              </w:rPr>
              <w:t xml:space="preserve">Accountable Director: </w:t>
            </w:r>
            <w:r w:rsidR="00726844" w:rsidRPr="00726844">
              <w:rPr>
                <w:rFonts w:cs="Arial"/>
              </w:rPr>
              <w:t>Anne Bristow, Deputy Chief Executive &amp; Strategic Director for Service Development and Integration</w:t>
            </w:r>
          </w:p>
          <w:p w:rsidR="000072FE" w:rsidRPr="001B297F" w:rsidRDefault="000072FE" w:rsidP="000072FE">
            <w:pPr>
              <w:rPr>
                <w:rFonts w:cs="Arial"/>
                <w:b/>
              </w:rPr>
            </w:pPr>
          </w:p>
        </w:tc>
      </w:tr>
      <w:tr w:rsidR="00424A8E" w:rsidRPr="001B297F" w:rsidTr="00956B61">
        <w:tc>
          <w:tcPr>
            <w:tcW w:w="9747" w:type="dxa"/>
            <w:gridSpan w:val="2"/>
            <w:tcBorders>
              <w:bottom w:val="single" w:sz="4" w:space="0" w:color="auto"/>
            </w:tcBorders>
          </w:tcPr>
          <w:p w:rsidR="00245420" w:rsidRPr="00245420" w:rsidRDefault="00245420" w:rsidP="00245420">
            <w:pPr>
              <w:rPr>
                <w:rFonts w:cs="Arial"/>
                <w:b/>
              </w:rPr>
            </w:pPr>
            <w:r w:rsidRPr="00245420">
              <w:rPr>
                <w:rFonts w:cs="Arial"/>
                <w:b/>
              </w:rPr>
              <w:t xml:space="preserve">Summary </w:t>
            </w:r>
          </w:p>
          <w:p w:rsidR="00245420" w:rsidRDefault="00245420" w:rsidP="00245420">
            <w:pPr>
              <w:rPr>
                <w:rFonts w:cs="Arial"/>
              </w:rPr>
            </w:pPr>
          </w:p>
          <w:p w:rsidR="000B2FAD" w:rsidRPr="000B2FAD" w:rsidRDefault="000B2FAD" w:rsidP="000B2FAD">
            <w:pPr>
              <w:rPr>
                <w:rFonts w:cs="Arial"/>
              </w:rPr>
            </w:pPr>
            <w:r w:rsidRPr="000B2FAD">
              <w:rPr>
                <w:rFonts w:cs="Arial"/>
              </w:rPr>
              <w:t xml:space="preserve">This proposal has been developed in partnership with schools through a joint head teacher and officer working group and in consultation with head teachers and governors to ensure that the </w:t>
            </w:r>
            <w:r w:rsidR="00FA1D71">
              <w:rPr>
                <w:rFonts w:cs="Arial"/>
              </w:rPr>
              <w:t xml:space="preserve">new School Improvement Partnership </w:t>
            </w:r>
            <w:r w:rsidRPr="000B2FAD">
              <w:rPr>
                <w:rFonts w:cs="Arial"/>
              </w:rPr>
              <w:t>company will meet the needs of both schools and the Council. The company will enable a new and strengthened formal partnership, fit for the future, between the Counc</w:t>
            </w:r>
            <w:r w:rsidR="00DB468A">
              <w:rPr>
                <w:rFonts w:cs="Arial"/>
              </w:rPr>
              <w:t>il and schools. Its shared educational</w:t>
            </w:r>
            <w:r w:rsidRPr="000B2FAD">
              <w:rPr>
                <w:rFonts w:cs="Arial"/>
              </w:rPr>
              <w:t xml:space="preserve"> purpose will sustain the family of LBBD schools and it will provide hig</w:t>
            </w:r>
            <w:r w:rsidR="00DB468A">
              <w:rPr>
                <w:rFonts w:cs="Arial"/>
              </w:rPr>
              <w:t xml:space="preserve">h quality, best value </w:t>
            </w:r>
            <w:r w:rsidRPr="000B2FAD">
              <w:rPr>
                <w:rFonts w:cs="Arial"/>
              </w:rPr>
              <w:t xml:space="preserve">services to ensure continued improvements in educational standards for all children and young people in the borough. </w:t>
            </w:r>
          </w:p>
          <w:p w:rsidR="000B2FAD" w:rsidRPr="000B2FAD" w:rsidRDefault="000B2FAD" w:rsidP="000B2FAD">
            <w:pPr>
              <w:rPr>
                <w:rFonts w:cs="Arial"/>
              </w:rPr>
            </w:pPr>
          </w:p>
          <w:p w:rsidR="000B2FAD" w:rsidRPr="000B2FAD" w:rsidRDefault="000B2FAD" w:rsidP="000B2FAD">
            <w:pPr>
              <w:rPr>
                <w:rFonts w:cs="Arial"/>
              </w:rPr>
            </w:pPr>
            <w:r w:rsidRPr="000B2FAD">
              <w:rPr>
                <w:rFonts w:cs="Arial"/>
              </w:rPr>
              <w:t>The company will be a strategic forum for the further development of a school led system across the borough through the sharing of proven effective practice and by enabling schools to design the services that will have the greatest impact. The School Improvement Partnership company will need to be sustainable and financially viable and, as a not for profit company, will have the ability to reinvest any surplus to allow the company to provide additional support for local schools.</w:t>
            </w:r>
          </w:p>
          <w:p w:rsidR="000B2FAD" w:rsidRPr="000B2FAD" w:rsidRDefault="000B2FAD" w:rsidP="000B2FAD">
            <w:pPr>
              <w:rPr>
                <w:rFonts w:cs="Arial"/>
              </w:rPr>
            </w:pPr>
          </w:p>
          <w:p w:rsidR="000B2FAD" w:rsidRDefault="000B2FAD" w:rsidP="000B2FAD">
            <w:pPr>
              <w:rPr>
                <w:rFonts w:cs="Arial"/>
              </w:rPr>
            </w:pPr>
            <w:r w:rsidRPr="000B2FAD">
              <w:rPr>
                <w:rFonts w:cs="Arial"/>
              </w:rPr>
              <w:t>The company will be owned by the Council and the Borough’s schools who sign up to becoming members</w:t>
            </w:r>
            <w:r w:rsidR="008A6016">
              <w:rPr>
                <w:rFonts w:cs="Arial"/>
              </w:rPr>
              <w:t>. All schools will be able to</w:t>
            </w:r>
            <w:r w:rsidRPr="000B2FAD">
              <w:rPr>
                <w:rFonts w:cs="Arial"/>
              </w:rPr>
              <w:t xml:space="preserve"> purchase services, should they wish to.  The members </w:t>
            </w:r>
            <w:r w:rsidR="001D58EF">
              <w:rPr>
                <w:rFonts w:cs="Arial"/>
              </w:rPr>
              <w:t xml:space="preserve">of the company </w:t>
            </w:r>
            <w:r w:rsidRPr="000B2FAD">
              <w:rPr>
                <w:rFonts w:cs="Arial"/>
              </w:rPr>
              <w:t xml:space="preserve">will appoint a board of directors who will </w:t>
            </w:r>
            <w:r w:rsidR="00FD2B10">
              <w:rPr>
                <w:rFonts w:cs="Arial"/>
              </w:rPr>
              <w:t xml:space="preserve">lead the strategic direction of the company. A chief executive will </w:t>
            </w:r>
            <w:r w:rsidRPr="000B2FAD">
              <w:rPr>
                <w:rFonts w:cs="Arial"/>
              </w:rPr>
              <w:t>be in control of the da</w:t>
            </w:r>
            <w:r w:rsidR="0062777E">
              <w:rPr>
                <w:rFonts w:cs="Arial"/>
              </w:rPr>
              <w:t>y to day running of the compa</w:t>
            </w:r>
            <w:r w:rsidR="0022203A">
              <w:rPr>
                <w:rFonts w:cs="Arial"/>
              </w:rPr>
              <w:t>ny but m</w:t>
            </w:r>
            <w:r w:rsidR="00853631">
              <w:rPr>
                <w:rFonts w:cs="Arial"/>
              </w:rPr>
              <w:t xml:space="preserve">ajor decisions would need </w:t>
            </w:r>
            <w:r w:rsidR="0062777E">
              <w:rPr>
                <w:rFonts w:cs="Arial"/>
              </w:rPr>
              <w:t xml:space="preserve">approval from the </w:t>
            </w:r>
            <w:r w:rsidR="0022203A">
              <w:rPr>
                <w:rFonts w:cs="Arial"/>
              </w:rPr>
              <w:t xml:space="preserve">board and, on occasion, </w:t>
            </w:r>
            <w:r w:rsidR="0062777E">
              <w:rPr>
                <w:rFonts w:cs="Arial"/>
              </w:rPr>
              <w:t>company members.</w:t>
            </w:r>
            <w:r w:rsidRPr="000B2FAD">
              <w:rPr>
                <w:rFonts w:cs="Arial"/>
              </w:rPr>
              <w:t xml:space="preserve">  The Council will be both a member of the co</w:t>
            </w:r>
            <w:r w:rsidR="0022203A">
              <w:rPr>
                <w:rFonts w:cs="Arial"/>
              </w:rPr>
              <w:t xml:space="preserve">mpany and a </w:t>
            </w:r>
            <w:r w:rsidRPr="000B2FAD">
              <w:rPr>
                <w:rFonts w:cs="Arial"/>
              </w:rPr>
              <w:t>commissioner of statutory and priorit</w:t>
            </w:r>
            <w:r w:rsidR="002229B7">
              <w:rPr>
                <w:rFonts w:cs="Arial"/>
              </w:rPr>
              <w:t xml:space="preserve">y services from the company. These will be </w:t>
            </w:r>
            <w:r w:rsidRPr="000B2FAD">
              <w:rPr>
                <w:rFonts w:cs="Arial"/>
              </w:rPr>
              <w:t>deliver</w:t>
            </w:r>
            <w:r w:rsidR="002229B7">
              <w:rPr>
                <w:rFonts w:cs="Arial"/>
              </w:rPr>
              <w:t xml:space="preserve">ed </w:t>
            </w:r>
            <w:r w:rsidRPr="000B2FAD">
              <w:rPr>
                <w:rFonts w:cs="Arial"/>
              </w:rPr>
              <w:t xml:space="preserve">on the Council’s behalf, through an annual Service Delivery Agreement. </w:t>
            </w:r>
          </w:p>
          <w:p w:rsidR="00F468E8" w:rsidRDefault="00F468E8" w:rsidP="000B2FAD">
            <w:pPr>
              <w:rPr>
                <w:rFonts w:cs="Arial"/>
              </w:rPr>
            </w:pPr>
          </w:p>
          <w:p w:rsidR="00F468E8" w:rsidRDefault="00F468E8" w:rsidP="00F468E8">
            <w:r w:rsidRPr="00063C71">
              <w:lastRenderedPageBreak/>
              <w:t xml:space="preserve">In the light of the analysis </w:t>
            </w:r>
            <w:r>
              <w:t xml:space="preserve">completed as part of the Full Business Case, the recommendation is for the </w:t>
            </w:r>
            <w:r w:rsidRPr="001F6D6E">
              <w:t>establishment of a not-for-profi</w:t>
            </w:r>
            <w:r>
              <w:t>t company, limited by guarantee</w:t>
            </w:r>
            <w:r w:rsidRPr="001F6D6E">
              <w:t xml:space="preserve"> </w:t>
            </w:r>
            <w:r w:rsidRPr="00063C71">
              <w:t xml:space="preserve">and </w:t>
            </w:r>
            <w:r>
              <w:t>jointly</w:t>
            </w:r>
            <w:r w:rsidRPr="00063C71">
              <w:t xml:space="preserve"> owned by </w:t>
            </w:r>
            <w:r>
              <w:t xml:space="preserve">the </w:t>
            </w:r>
            <w:r w:rsidRPr="00063C71">
              <w:t>L</w:t>
            </w:r>
            <w:r>
              <w:t xml:space="preserve">ondon </w:t>
            </w:r>
            <w:r w:rsidRPr="00063C71">
              <w:t>B</w:t>
            </w:r>
            <w:r>
              <w:t xml:space="preserve">orough of </w:t>
            </w:r>
            <w:r w:rsidRPr="00063C71">
              <w:t>B</w:t>
            </w:r>
            <w:r>
              <w:t xml:space="preserve">arking and </w:t>
            </w:r>
            <w:r w:rsidRPr="00063C71">
              <w:t>D</w:t>
            </w:r>
            <w:r>
              <w:t>agenham and the borough’s schools.</w:t>
            </w:r>
          </w:p>
          <w:p w:rsidR="00F468E8" w:rsidRDefault="00F468E8" w:rsidP="000B2FAD">
            <w:pPr>
              <w:rPr>
                <w:rFonts w:cs="Arial"/>
              </w:rPr>
            </w:pPr>
          </w:p>
          <w:p w:rsidR="00245420" w:rsidRDefault="00B71DD5" w:rsidP="000B2FAD">
            <w:pPr>
              <w:rPr>
                <w:rFonts w:cs="Arial"/>
              </w:rPr>
            </w:pPr>
            <w:r>
              <w:rPr>
                <w:rFonts w:cs="Arial"/>
              </w:rPr>
              <w:t xml:space="preserve"> </w:t>
            </w:r>
          </w:p>
          <w:p w:rsidR="00E42523" w:rsidRPr="00245420" w:rsidRDefault="00E42523" w:rsidP="00245420">
            <w:pPr>
              <w:pStyle w:val="ListParagraph"/>
              <w:rPr>
                <w:rFonts w:cs="Arial"/>
              </w:rPr>
            </w:pPr>
          </w:p>
        </w:tc>
      </w:tr>
      <w:tr w:rsidR="009771A2" w:rsidRPr="001B297F" w:rsidTr="00956B61">
        <w:tc>
          <w:tcPr>
            <w:tcW w:w="9747" w:type="dxa"/>
            <w:gridSpan w:val="2"/>
            <w:tcBorders>
              <w:top w:val="single" w:sz="4" w:space="0" w:color="auto"/>
              <w:bottom w:val="single" w:sz="4" w:space="0" w:color="auto"/>
            </w:tcBorders>
          </w:tcPr>
          <w:p w:rsidR="00036AE1" w:rsidRDefault="00036AE1" w:rsidP="00036AE1">
            <w:pPr>
              <w:autoSpaceDE w:val="0"/>
              <w:autoSpaceDN w:val="0"/>
              <w:adjustRightInd w:val="0"/>
              <w:rPr>
                <w:rFonts w:cs="Arial"/>
                <w:b/>
              </w:rPr>
            </w:pPr>
            <w:r w:rsidRPr="001B297F">
              <w:rPr>
                <w:rFonts w:cs="Arial"/>
                <w:b/>
              </w:rPr>
              <w:lastRenderedPageBreak/>
              <w:t>Recommendation(s)</w:t>
            </w:r>
          </w:p>
          <w:p w:rsidR="00036AE1" w:rsidRPr="00036AE1" w:rsidRDefault="00036AE1" w:rsidP="00036AE1">
            <w:pPr>
              <w:autoSpaceDE w:val="0"/>
              <w:autoSpaceDN w:val="0"/>
              <w:adjustRightInd w:val="0"/>
              <w:rPr>
                <w:rFonts w:cs="Arial"/>
              </w:rPr>
            </w:pPr>
          </w:p>
          <w:p w:rsidR="009771A2" w:rsidRPr="001B297F" w:rsidRDefault="009771A2" w:rsidP="000D2F6E">
            <w:pPr>
              <w:rPr>
                <w:rFonts w:cs="Arial"/>
                <w:color w:val="000000"/>
              </w:rPr>
            </w:pPr>
            <w:r w:rsidRPr="001B297F">
              <w:rPr>
                <w:rFonts w:cs="Arial"/>
              </w:rPr>
              <w:t>The</w:t>
            </w:r>
            <w:r w:rsidR="00D9414B" w:rsidRPr="001B297F">
              <w:rPr>
                <w:rFonts w:cs="Arial"/>
              </w:rPr>
              <w:t xml:space="preserve"> Cabinet</w:t>
            </w:r>
            <w:r w:rsidR="00F34AC6" w:rsidRPr="001B297F">
              <w:rPr>
                <w:rFonts w:cs="Arial"/>
                <w:color w:val="000000"/>
              </w:rPr>
              <w:t xml:space="preserve"> is </w:t>
            </w:r>
            <w:r w:rsidR="00334B9F" w:rsidRPr="001B297F">
              <w:rPr>
                <w:rFonts w:cs="Arial"/>
                <w:color w:val="000000"/>
              </w:rPr>
              <w:t>recommended</w:t>
            </w:r>
            <w:r w:rsidRPr="001B297F">
              <w:rPr>
                <w:rFonts w:cs="Arial"/>
                <w:color w:val="000000"/>
              </w:rPr>
              <w:t xml:space="preserve"> to:</w:t>
            </w:r>
          </w:p>
          <w:p w:rsidR="009771A2" w:rsidRPr="00956B61" w:rsidRDefault="009771A2" w:rsidP="00956B61"/>
          <w:p w:rsidR="003D5BB7" w:rsidRPr="00956B61" w:rsidRDefault="00956B61" w:rsidP="00956B61">
            <w:pPr>
              <w:ind w:left="720" w:hanging="720"/>
            </w:pPr>
            <w:r>
              <w:t>(i)</w:t>
            </w:r>
            <w:r>
              <w:tab/>
              <w:t xml:space="preserve">Approve </w:t>
            </w:r>
            <w:r w:rsidR="003D5BB7" w:rsidRPr="00956B61">
              <w:t xml:space="preserve">the </w:t>
            </w:r>
            <w:r w:rsidR="00726844" w:rsidRPr="00726844">
              <w:t xml:space="preserve">School Improvement Partnership </w:t>
            </w:r>
            <w:r w:rsidR="003D5BB7" w:rsidRPr="00956B61">
              <w:t>Full Business Case</w:t>
            </w:r>
            <w:r w:rsidR="00DB1BD4">
              <w:t xml:space="preserve"> at Appendix 1</w:t>
            </w:r>
            <w:r w:rsidR="00F636C9">
              <w:t xml:space="preserve"> to the report</w:t>
            </w:r>
            <w:r>
              <w:t>;</w:t>
            </w:r>
          </w:p>
          <w:p w:rsidR="00956B61" w:rsidRDefault="00956B61" w:rsidP="00956B61">
            <w:pPr>
              <w:ind w:left="720" w:hanging="720"/>
            </w:pPr>
          </w:p>
          <w:p w:rsidR="00223225" w:rsidRDefault="00956B61" w:rsidP="00956B61">
            <w:pPr>
              <w:ind w:left="720" w:hanging="720"/>
            </w:pPr>
            <w:r>
              <w:t>(ii)</w:t>
            </w:r>
            <w:r>
              <w:tab/>
              <w:t xml:space="preserve">Agree </w:t>
            </w:r>
            <w:r w:rsidR="00223225" w:rsidRPr="00956B61">
              <w:t xml:space="preserve">the establishment </w:t>
            </w:r>
            <w:r w:rsidR="00726844" w:rsidRPr="00726844">
              <w:t>of a not-for-profit company, limited by guarantee, also known as the School Improvement Partnership</w:t>
            </w:r>
            <w:r w:rsidR="00223225" w:rsidRPr="00956B61">
              <w:t xml:space="preserve"> in accordance with the proposals set out in the report; </w:t>
            </w:r>
          </w:p>
          <w:p w:rsidR="00685C84" w:rsidRPr="00956B61" w:rsidRDefault="00685C84" w:rsidP="00956B61">
            <w:pPr>
              <w:ind w:left="720" w:hanging="720"/>
            </w:pPr>
          </w:p>
          <w:p w:rsidR="00223225" w:rsidRPr="00956B61" w:rsidRDefault="00726844" w:rsidP="00685C84">
            <w:pPr>
              <w:ind w:left="720" w:hanging="720"/>
            </w:pPr>
            <w:r>
              <w:t>(iii)</w:t>
            </w:r>
            <w:r>
              <w:tab/>
            </w:r>
            <w:r w:rsidR="00223225" w:rsidRPr="00956B61">
              <w:t xml:space="preserve">Delegate authority to the </w:t>
            </w:r>
            <w:r w:rsidRPr="00726844">
              <w:t>Deputy Chief Executive &amp; Strategic Director for Service Development and Integration</w:t>
            </w:r>
            <w:r w:rsidR="00223225" w:rsidRPr="00956B61">
              <w:t xml:space="preserve">, in conjunction with the Cabinet Member for </w:t>
            </w:r>
            <w:r w:rsidR="00685C84" w:rsidRPr="00685C84">
              <w:t xml:space="preserve">Educational Attainment and School Improvement </w:t>
            </w:r>
            <w:r w:rsidR="00223225" w:rsidRPr="00956B61">
              <w:t>and the Director of Law and Governance, to implement all steps leading to the establishment of the new company in line with the proposals;</w:t>
            </w:r>
          </w:p>
          <w:p w:rsidR="00223225" w:rsidRPr="00956B61" w:rsidRDefault="00223225" w:rsidP="00956B61">
            <w:pPr>
              <w:ind w:left="720" w:hanging="720"/>
            </w:pPr>
          </w:p>
          <w:p w:rsidR="00223225" w:rsidRPr="00956B61" w:rsidRDefault="00956B61" w:rsidP="00956B61">
            <w:pPr>
              <w:ind w:left="720" w:hanging="720"/>
            </w:pPr>
            <w:r>
              <w:t>(</w:t>
            </w:r>
            <w:r w:rsidR="00685C84">
              <w:t>i</w:t>
            </w:r>
            <w:r>
              <w:t>v)</w:t>
            </w:r>
            <w:r>
              <w:tab/>
            </w:r>
            <w:r w:rsidR="00223225" w:rsidRPr="00956B61">
              <w:t>Delegate authority to the Director of Law and Governance to execute all the legal agreements, contracts and any other documents on behalf of the Council to implement the setting up of the new company; and</w:t>
            </w:r>
          </w:p>
          <w:p w:rsidR="00223225" w:rsidRPr="00956B61" w:rsidRDefault="00223225" w:rsidP="00956B61">
            <w:pPr>
              <w:ind w:left="720" w:hanging="720"/>
            </w:pPr>
          </w:p>
          <w:p w:rsidR="009771A2" w:rsidRDefault="00685C84" w:rsidP="00CD0062">
            <w:pPr>
              <w:ind w:left="720" w:hanging="720"/>
            </w:pPr>
            <w:r>
              <w:t>(v</w:t>
            </w:r>
            <w:r w:rsidR="00956B61">
              <w:t>)</w:t>
            </w:r>
            <w:r w:rsidR="00956B61">
              <w:tab/>
            </w:r>
            <w:r w:rsidR="00223225" w:rsidRPr="00B71DD5">
              <w:t>Delegate authority to the Chief Executive, in consultation with the Leader, to select the individuals to be appointed to</w:t>
            </w:r>
            <w:r w:rsidR="00B71DD5" w:rsidRPr="00B71DD5">
              <w:t xml:space="preserve"> represent the Council on</w:t>
            </w:r>
            <w:r w:rsidR="00223225" w:rsidRPr="00B71DD5">
              <w:t xml:space="preserve"> the </w:t>
            </w:r>
            <w:r w:rsidR="00B71DD5" w:rsidRPr="00B71DD5">
              <w:t xml:space="preserve">School Improvement Partnership </w:t>
            </w:r>
            <w:r w:rsidR="00CD0062">
              <w:t xml:space="preserve">Company </w:t>
            </w:r>
            <w:r w:rsidR="00223225" w:rsidRPr="00B71DD5">
              <w:t>Board</w:t>
            </w:r>
            <w:r w:rsidR="00CD0062">
              <w:t>.</w:t>
            </w:r>
          </w:p>
          <w:p w:rsidR="00CD0062" w:rsidRPr="001B297F" w:rsidRDefault="00CD0062" w:rsidP="00CD0062">
            <w:pPr>
              <w:ind w:left="720" w:hanging="720"/>
              <w:rPr>
                <w:rFonts w:cs="Arial"/>
              </w:rPr>
            </w:pPr>
          </w:p>
        </w:tc>
      </w:tr>
      <w:tr w:rsidR="009771A2" w:rsidRPr="001B297F" w:rsidTr="000072FE">
        <w:tc>
          <w:tcPr>
            <w:tcW w:w="9747" w:type="dxa"/>
            <w:gridSpan w:val="2"/>
            <w:tcBorders>
              <w:top w:val="nil"/>
            </w:tcBorders>
          </w:tcPr>
          <w:p w:rsidR="00036AE1" w:rsidRDefault="00036AE1" w:rsidP="00036AE1">
            <w:pPr>
              <w:rPr>
                <w:rFonts w:cs="Arial"/>
                <w:b/>
              </w:rPr>
            </w:pPr>
            <w:r w:rsidRPr="001B297F">
              <w:rPr>
                <w:rFonts w:cs="Arial"/>
                <w:b/>
              </w:rPr>
              <w:t>Reason(s)</w:t>
            </w:r>
          </w:p>
          <w:p w:rsidR="00036AE1" w:rsidRPr="00036AE1" w:rsidRDefault="00036AE1" w:rsidP="00036AE1">
            <w:pPr>
              <w:rPr>
                <w:rFonts w:cs="Arial"/>
              </w:rPr>
            </w:pPr>
          </w:p>
          <w:p w:rsidR="000B2FAD" w:rsidRPr="000B2FAD" w:rsidRDefault="000B2FAD" w:rsidP="000B2FAD">
            <w:pPr>
              <w:rPr>
                <w:rFonts w:cs="Arial"/>
              </w:rPr>
            </w:pPr>
            <w:r w:rsidRPr="000B2FAD">
              <w:rPr>
                <w:rFonts w:cs="Arial"/>
              </w:rPr>
              <w:t xml:space="preserve">The national and local educational context continues to change and the school system is becoming increasingly diverse and autonomous. Budget constraints are impacting on schools and local authorities alongside high expectations of continued improvement in outcomes for all children and young people. Although the role of local authorities in relation to school improvement has reduced, there is still a focus in national policy on place based education. The future model of school improvement is of a school led system with the local authority retaining the role of advocate for children, young people and families in their area, specifically in relation to vulnerable learners. </w:t>
            </w:r>
          </w:p>
          <w:p w:rsidR="000B2FAD" w:rsidRPr="000B2FAD" w:rsidRDefault="000B2FAD" w:rsidP="000B2FAD">
            <w:pPr>
              <w:rPr>
                <w:rFonts w:cs="Arial"/>
              </w:rPr>
            </w:pPr>
          </w:p>
          <w:p w:rsidR="004849F9" w:rsidRPr="008B1DBE" w:rsidRDefault="000B2FAD" w:rsidP="000B2FAD">
            <w:pPr>
              <w:rPr>
                <w:rFonts w:cs="Arial"/>
                <w:highlight w:val="yellow"/>
              </w:rPr>
            </w:pPr>
            <w:r w:rsidRPr="000B2FAD">
              <w:rPr>
                <w:rFonts w:cs="Arial"/>
              </w:rPr>
              <w:t>Opportunities are being taken across schools and councils nationally to shape the future of education through the development of new local models and approaches, including jointly owned school and local authority companies delivering a range of services, including school improvement. The London Borough of Barking and Dagenham (LBBD), through the Council’s transformation programme, has the stated aim of becoming a commissioning council and is currently developing a range of new delivery vehicles including a potential School Improvement Partnership company.</w:t>
            </w:r>
          </w:p>
        </w:tc>
      </w:tr>
    </w:tbl>
    <w:p w:rsidR="00424A8E" w:rsidRDefault="00424A8E" w:rsidP="00F7272A">
      <w:pPr>
        <w:rPr>
          <w:rFonts w:cs="Arial"/>
        </w:rPr>
      </w:pPr>
    </w:p>
    <w:p w:rsidR="00FD05CB" w:rsidRDefault="00FD05CB" w:rsidP="00F7272A">
      <w:pPr>
        <w:rPr>
          <w:rFonts w:cs="Arial"/>
        </w:rPr>
      </w:pPr>
    </w:p>
    <w:p w:rsidR="00020A2E" w:rsidRDefault="00020A2E">
      <w:pPr>
        <w:rPr>
          <w:rFonts w:cs="Arial"/>
          <w:b/>
        </w:rPr>
      </w:pPr>
    </w:p>
    <w:p w:rsidR="00A7504D" w:rsidRPr="00EB723D" w:rsidRDefault="00501E01" w:rsidP="00A7504D">
      <w:pPr>
        <w:pStyle w:val="ListParagraph"/>
        <w:numPr>
          <w:ilvl w:val="0"/>
          <w:numId w:val="10"/>
        </w:numPr>
        <w:ind w:left="360"/>
        <w:rPr>
          <w:rFonts w:cs="Arial"/>
          <w:b/>
        </w:rPr>
      </w:pPr>
      <w:r>
        <w:rPr>
          <w:rFonts w:cs="Arial"/>
          <w:b/>
        </w:rPr>
        <w:t xml:space="preserve">Overarching </w:t>
      </w:r>
      <w:r w:rsidR="006E145D" w:rsidRPr="00EB723D">
        <w:rPr>
          <w:rFonts w:cs="Arial"/>
          <w:b/>
        </w:rPr>
        <w:t xml:space="preserve">Introduction </w:t>
      </w:r>
      <w:r w:rsidR="00A7504D" w:rsidRPr="00EB723D">
        <w:rPr>
          <w:rFonts w:cs="Arial"/>
          <w:b/>
        </w:rPr>
        <w:t xml:space="preserve">and Background </w:t>
      </w:r>
    </w:p>
    <w:p w:rsidR="000C6D66" w:rsidRPr="000C6D66" w:rsidRDefault="000C6D66" w:rsidP="000C6D66">
      <w:pPr>
        <w:rPr>
          <w:rFonts w:cs="Arial"/>
        </w:rPr>
      </w:pPr>
    </w:p>
    <w:p w:rsidR="000C6D66" w:rsidRDefault="000C6D66" w:rsidP="00FA1D71">
      <w:pPr>
        <w:pStyle w:val="ListParagraph"/>
        <w:numPr>
          <w:ilvl w:val="1"/>
          <w:numId w:val="10"/>
        </w:numPr>
        <w:ind w:left="720"/>
        <w:rPr>
          <w:rFonts w:cs="Arial"/>
        </w:rPr>
      </w:pPr>
      <w:r w:rsidRPr="000C6D66">
        <w:rPr>
          <w:rFonts w:cs="Arial"/>
        </w:rPr>
        <w:t xml:space="preserve">The national and local educational context continues to change and the school system is becoming increasingly diverse and autonomous. Budget constraints are impacting on schools and local authorities alongside high expectations of continued improvement in outcomes for all children and young people. Although the role of local authorities in relation to school improvement has reduced, there is still a focus in national policy on place based education. </w:t>
      </w:r>
    </w:p>
    <w:p w:rsidR="000C6D66" w:rsidRDefault="000C6D66" w:rsidP="000C6D66">
      <w:pPr>
        <w:pStyle w:val="ListParagraph"/>
        <w:rPr>
          <w:rFonts w:cs="Arial"/>
        </w:rPr>
      </w:pPr>
    </w:p>
    <w:p w:rsidR="000C6D66" w:rsidRPr="000C6D66" w:rsidRDefault="000C6D66" w:rsidP="00FA1D71">
      <w:pPr>
        <w:pStyle w:val="ListParagraph"/>
        <w:numPr>
          <w:ilvl w:val="1"/>
          <w:numId w:val="10"/>
        </w:numPr>
        <w:ind w:left="720"/>
        <w:rPr>
          <w:rFonts w:cs="Arial"/>
        </w:rPr>
      </w:pPr>
      <w:r w:rsidRPr="000C6D66">
        <w:rPr>
          <w:rFonts w:cs="Arial"/>
        </w:rPr>
        <w:t xml:space="preserve">The future model of school improvement is of a school led system with the local authority retaining the role of advocate for children, young people and families in their area, </w:t>
      </w:r>
      <w:r w:rsidR="007B1D28">
        <w:rPr>
          <w:rFonts w:cs="Arial"/>
        </w:rPr>
        <w:t xml:space="preserve">and holding statutory duties, particularly </w:t>
      </w:r>
      <w:r w:rsidRPr="000C6D66">
        <w:rPr>
          <w:rFonts w:cs="Arial"/>
        </w:rPr>
        <w:t xml:space="preserve">in relation to vulnerable learners. </w:t>
      </w:r>
    </w:p>
    <w:p w:rsidR="000C6D66" w:rsidRPr="000C6D66" w:rsidRDefault="000C6D66" w:rsidP="000C6D66">
      <w:pPr>
        <w:rPr>
          <w:rFonts w:cs="Arial"/>
        </w:rPr>
      </w:pPr>
    </w:p>
    <w:p w:rsidR="000C6D66" w:rsidRDefault="000C6D66" w:rsidP="000C6D66">
      <w:pPr>
        <w:pStyle w:val="ListParagraph"/>
        <w:numPr>
          <w:ilvl w:val="1"/>
          <w:numId w:val="10"/>
        </w:numPr>
        <w:ind w:left="720"/>
        <w:rPr>
          <w:rFonts w:cs="Arial"/>
        </w:rPr>
      </w:pPr>
      <w:r w:rsidRPr="000C6D66">
        <w:rPr>
          <w:rFonts w:cs="Arial"/>
        </w:rPr>
        <w:t xml:space="preserve">Opportunities are being taken across schools and councils nationally to shape the future of education through the development of new local models and approaches, including jointly owned school and local authority companies delivering a range of services, including school improvement. </w:t>
      </w:r>
    </w:p>
    <w:p w:rsidR="00A60EED" w:rsidRPr="00A60EED" w:rsidRDefault="00A60EED" w:rsidP="00A60EED">
      <w:pPr>
        <w:pStyle w:val="ListParagraph"/>
        <w:rPr>
          <w:rFonts w:cs="Arial"/>
        </w:rPr>
      </w:pPr>
    </w:p>
    <w:p w:rsidR="009A0F2F" w:rsidRDefault="00B448CA" w:rsidP="00956B61">
      <w:pPr>
        <w:ind w:left="720"/>
        <w:rPr>
          <w:rFonts w:cs="Arial"/>
          <w:b/>
        </w:rPr>
      </w:pPr>
      <w:r>
        <w:rPr>
          <w:rFonts w:cs="Arial"/>
          <w:b/>
        </w:rPr>
        <w:t>Proposal</w:t>
      </w:r>
      <w:r w:rsidR="00C52505">
        <w:rPr>
          <w:rFonts w:cs="Arial"/>
          <w:b/>
        </w:rPr>
        <w:t xml:space="preserve"> and</w:t>
      </w:r>
      <w:r w:rsidR="006E145D">
        <w:rPr>
          <w:rFonts w:cs="Arial"/>
          <w:b/>
        </w:rPr>
        <w:t xml:space="preserve"> Issues </w:t>
      </w:r>
    </w:p>
    <w:p w:rsidR="00C52505" w:rsidRPr="00242399" w:rsidRDefault="00C52505" w:rsidP="00F7272A">
      <w:pPr>
        <w:rPr>
          <w:rFonts w:cs="Arial"/>
        </w:rPr>
      </w:pPr>
    </w:p>
    <w:p w:rsidR="000C6D66" w:rsidRDefault="000C6D66" w:rsidP="000C6D66">
      <w:pPr>
        <w:pStyle w:val="ListParagraph"/>
        <w:numPr>
          <w:ilvl w:val="1"/>
          <w:numId w:val="10"/>
        </w:numPr>
        <w:ind w:left="720"/>
        <w:rPr>
          <w:rFonts w:cs="Arial"/>
        </w:rPr>
      </w:pPr>
      <w:r w:rsidRPr="000C6D66">
        <w:rPr>
          <w:rFonts w:cs="Arial"/>
        </w:rPr>
        <w:t>Solid improvements have been made in standards and quality across schools in the Borough but challenges remain</w:t>
      </w:r>
      <w:r w:rsidR="007B1D28">
        <w:rPr>
          <w:rFonts w:cs="Arial"/>
        </w:rPr>
        <w:t>, particularly</w:t>
      </w:r>
      <w:r w:rsidRPr="000C6D66">
        <w:rPr>
          <w:rFonts w:cs="Arial"/>
        </w:rPr>
        <w:t xml:space="preserve"> in meeting the needs of the most vulnerable children and young people at a time of reducing resources, a rapidly increasing and increasingly diverse child population, and growing difficulties of teacher and school leadership recruitment. </w:t>
      </w:r>
    </w:p>
    <w:p w:rsidR="000C6D66" w:rsidRDefault="000C6D66" w:rsidP="000C6D66">
      <w:pPr>
        <w:pStyle w:val="ListParagraph"/>
        <w:rPr>
          <w:rFonts w:cs="Arial"/>
        </w:rPr>
      </w:pPr>
    </w:p>
    <w:p w:rsidR="000C6D66" w:rsidRDefault="007B1D28" w:rsidP="000C6D66">
      <w:pPr>
        <w:pStyle w:val="ListParagraph"/>
        <w:numPr>
          <w:ilvl w:val="1"/>
          <w:numId w:val="10"/>
        </w:numPr>
        <w:ind w:left="720"/>
        <w:rPr>
          <w:rFonts w:cs="Arial"/>
        </w:rPr>
      </w:pPr>
      <w:r>
        <w:rPr>
          <w:rFonts w:cs="Arial"/>
        </w:rPr>
        <w:t>Councils are increasingly finding t</w:t>
      </w:r>
      <w:r w:rsidR="000C6D66" w:rsidRPr="000C6D66">
        <w:rPr>
          <w:rFonts w:cs="Arial"/>
        </w:rPr>
        <w:t>he model of local authority led school improvement is unsustainable given dimin</w:t>
      </w:r>
      <w:r w:rsidR="00B87167">
        <w:rPr>
          <w:rFonts w:cs="Arial"/>
        </w:rPr>
        <w:t>ishing resources, the growing</w:t>
      </w:r>
      <w:r w:rsidR="000C6D66" w:rsidRPr="000C6D66">
        <w:rPr>
          <w:rFonts w:cs="Arial"/>
        </w:rPr>
        <w:t xml:space="preserve"> autonomy of schools and the national policy drive towards a school led education system. </w:t>
      </w:r>
    </w:p>
    <w:p w:rsidR="000C6D66" w:rsidRPr="000C6D66" w:rsidRDefault="000C6D66" w:rsidP="000C6D66">
      <w:pPr>
        <w:pStyle w:val="ListParagraph"/>
        <w:rPr>
          <w:rFonts w:cs="Arial"/>
        </w:rPr>
      </w:pPr>
    </w:p>
    <w:p w:rsidR="00EB723D" w:rsidRDefault="000C6D66" w:rsidP="000C6D66">
      <w:pPr>
        <w:pStyle w:val="ListParagraph"/>
        <w:numPr>
          <w:ilvl w:val="1"/>
          <w:numId w:val="10"/>
        </w:numPr>
        <w:ind w:left="720"/>
        <w:rPr>
          <w:rFonts w:cs="Arial"/>
        </w:rPr>
      </w:pPr>
      <w:r>
        <w:rPr>
          <w:rFonts w:cs="Arial"/>
        </w:rPr>
        <w:t>T</w:t>
      </w:r>
      <w:r w:rsidRPr="000C6D66">
        <w:rPr>
          <w:rFonts w:cs="Arial"/>
        </w:rPr>
        <w:t>here is a strong partnership history between schools and LBBD</w:t>
      </w:r>
      <w:r w:rsidR="008B1085">
        <w:rPr>
          <w:rFonts w:cs="Arial"/>
        </w:rPr>
        <w:t xml:space="preserve">. In an </w:t>
      </w:r>
      <w:r w:rsidRPr="000C6D66">
        <w:rPr>
          <w:rFonts w:cs="Arial"/>
        </w:rPr>
        <w:t>educational landscape</w:t>
      </w:r>
      <w:r w:rsidR="008B1085">
        <w:rPr>
          <w:rFonts w:cs="Arial"/>
        </w:rPr>
        <w:t xml:space="preserve"> which continues to fragment</w:t>
      </w:r>
      <w:r w:rsidRPr="000C6D66">
        <w:rPr>
          <w:rFonts w:cs="Arial"/>
        </w:rPr>
        <w:t>, there is a clear appetite to maintain the “family of LBBD schools” to ensure the best possible outcomes for schools and the ch</w:t>
      </w:r>
      <w:r w:rsidR="00656839">
        <w:rPr>
          <w:rFonts w:cs="Arial"/>
        </w:rPr>
        <w:t>ildren and young people of the B</w:t>
      </w:r>
      <w:r w:rsidRPr="000C6D66">
        <w:rPr>
          <w:rFonts w:cs="Arial"/>
        </w:rPr>
        <w:t>orough.</w:t>
      </w:r>
    </w:p>
    <w:p w:rsidR="000C6D66" w:rsidRPr="000C6D66" w:rsidRDefault="000C6D66" w:rsidP="000C6D66">
      <w:pPr>
        <w:pStyle w:val="ListParagraph"/>
        <w:rPr>
          <w:rFonts w:cs="Arial"/>
        </w:rPr>
      </w:pPr>
    </w:p>
    <w:p w:rsidR="00A60EED" w:rsidRDefault="000C6D66" w:rsidP="00A60EED">
      <w:pPr>
        <w:pStyle w:val="ListParagraph"/>
        <w:numPr>
          <w:ilvl w:val="1"/>
          <w:numId w:val="10"/>
        </w:numPr>
        <w:ind w:left="720"/>
        <w:rPr>
          <w:rFonts w:cs="Arial"/>
        </w:rPr>
      </w:pPr>
      <w:r w:rsidRPr="000C6D66">
        <w:rPr>
          <w:rFonts w:cs="Arial"/>
        </w:rPr>
        <w:t xml:space="preserve">Going forward, the proposal is to establish a not for profit company limited by guarantee (School Improvement Partnership) jointly owned by the </w:t>
      </w:r>
      <w:r w:rsidR="00CD0062">
        <w:rPr>
          <w:rFonts w:cs="Arial"/>
        </w:rPr>
        <w:t>b</w:t>
      </w:r>
      <w:r w:rsidRPr="000C6D66">
        <w:rPr>
          <w:rFonts w:cs="Arial"/>
        </w:rPr>
        <w:t xml:space="preserve">orough’s schools and the Council which will provide both statutory and priority services, on behalf of the Council, and traded school improvement services to schools. </w:t>
      </w:r>
    </w:p>
    <w:p w:rsidR="00A60EED" w:rsidRPr="00A60EED" w:rsidRDefault="00A60EED" w:rsidP="00A60EED">
      <w:pPr>
        <w:pStyle w:val="ListParagraph"/>
        <w:rPr>
          <w:rFonts w:cs="Arial"/>
        </w:rPr>
      </w:pPr>
    </w:p>
    <w:p w:rsidR="000C6D66" w:rsidRPr="000C6D66" w:rsidRDefault="000C6D66" w:rsidP="00A60EED">
      <w:pPr>
        <w:pStyle w:val="ListParagraph"/>
        <w:numPr>
          <w:ilvl w:val="1"/>
          <w:numId w:val="10"/>
        </w:numPr>
        <w:ind w:left="720"/>
        <w:rPr>
          <w:rFonts w:cs="Arial"/>
        </w:rPr>
      </w:pPr>
      <w:r w:rsidRPr="000C6D66">
        <w:rPr>
          <w:rFonts w:cs="Arial"/>
        </w:rPr>
        <w:t>The company will also broker school to school support, bringing together the best of both school led and Council provided support services, and will provide membership benefits for schools to include networking, support and provision of resources.</w:t>
      </w:r>
    </w:p>
    <w:p w:rsidR="000C6D66" w:rsidRPr="000C6D66" w:rsidRDefault="000C6D66" w:rsidP="000C6D66">
      <w:pPr>
        <w:pStyle w:val="ListParagraph"/>
        <w:rPr>
          <w:rFonts w:cs="Arial"/>
        </w:rPr>
      </w:pPr>
    </w:p>
    <w:p w:rsidR="000C6D66" w:rsidRDefault="000C6D66" w:rsidP="00A60EED">
      <w:pPr>
        <w:pStyle w:val="ListParagraph"/>
        <w:numPr>
          <w:ilvl w:val="1"/>
          <w:numId w:val="10"/>
        </w:numPr>
        <w:ind w:left="720"/>
        <w:rPr>
          <w:rFonts w:cs="Arial"/>
        </w:rPr>
      </w:pPr>
      <w:r w:rsidRPr="000C6D66">
        <w:rPr>
          <w:rFonts w:cs="Arial"/>
        </w:rPr>
        <w:t>The company will enable a new and strengthened formal partnership, fit for the future, between the Counci</w:t>
      </w:r>
      <w:r w:rsidR="00A350CB">
        <w:rPr>
          <w:rFonts w:cs="Arial"/>
        </w:rPr>
        <w:t xml:space="preserve">l and schools. Its shared educational </w:t>
      </w:r>
      <w:r w:rsidRPr="000C6D66">
        <w:rPr>
          <w:rFonts w:cs="Arial"/>
        </w:rPr>
        <w:t>purpose will sustain the family of LBBD schools and it will provide high quality, best value education services to ensure continued improvements in educational standards for all children and young people in the borough.</w:t>
      </w:r>
    </w:p>
    <w:p w:rsidR="00A60EED" w:rsidRPr="00A60EED" w:rsidRDefault="00A60EED" w:rsidP="00A60EED">
      <w:pPr>
        <w:pStyle w:val="ListParagraph"/>
        <w:rPr>
          <w:rFonts w:cs="Arial"/>
        </w:rPr>
      </w:pPr>
    </w:p>
    <w:p w:rsidR="00A60EED" w:rsidRPr="00A60EED" w:rsidRDefault="00A60EED" w:rsidP="00A60EED">
      <w:pPr>
        <w:pStyle w:val="ListParagraph"/>
        <w:numPr>
          <w:ilvl w:val="1"/>
          <w:numId w:val="10"/>
        </w:numPr>
        <w:ind w:left="720"/>
        <w:rPr>
          <w:rFonts w:cs="Arial"/>
        </w:rPr>
      </w:pPr>
      <w:r w:rsidRPr="00A60EED">
        <w:rPr>
          <w:rFonts w:cs="Arial"/>
        </w:rPr>
        <w:t>The company will be a strategic forum for the further development of a school led system across the borough through the sharing of proven effective practice and by enabling schools to design the services that will have the greatest impact. The School Improvement Partnership company will need to be sustainable and financially viable and, as a not for profit company, will have the ability to reinvest any surplus to allow the company to provide additional support for local schools.</w:t>
      </w:r>
    </w:p>
    <w:p w:rsidR="00A60EED" w:rsidRPr="00A60EED" w:rsidRDefault="00A60EED" w:rsidP="00A60EED">
      <w:pPr>
        <w:pStyle w:val="ListParagraph"/>
        <w:ind w:left="862"/>
        <w:rPr>
          <w:rFonts w:cs="Arial"/>
        </w:rPr>
      </w:pPr>
    </w:p>
    <w:p w:rsidR="00685C84" w:rsidRDefault="00A60EED" w:rsidP="00A60EED">
      <w:pPr>
        <w:pStyle w:val="ListParagraph"/>
        <w:numPr>
          <w:ilvl w:val="1"/>
          <w:numId w:val="10"/>
        </w:numPr>
        <w:ind w:left="720"/>
        <w:rPr>
          <w:rFonts w:cs="Arial"/>
        </w:rPr>
      </w:pPr>
      <w:r w:rsidRPr="00A60EED">
        <w:rPr>
          <w:rFonts w:cs="Arial"/>
        </w:rPr>
        <w:t>The company will be owned by the Council and the Borough’s schools who sign up to becoming members</w:t>
      </w:r>
      <w:r w:rsidR="00B55887">
        <w:rPr>
          <w:rFonts w:cs="Arial"/>
        </w:rPr>
        <w:t xml:space="preserve">. All schools will be able to </w:t>
      </w:r>
      <w:r w:rsidRPr="00A60EED">
        <w:rPr>
          <w:rFonts w:cs="Arial"/>
        </w:rPr>
        <w:t xml:space="preserve">purchase services, should they wish to.  </w:t>
      </w:r>
    </w:p>
    <w:p w:rsidR="00685C84" w:rsidRPr="00685C84" w:rsidRDefault="00685C84" w:rsidP="00685C84">
      <w:pPr>
        <w:pStyle w:val="ListParagraph"/>
        <w:rPr>
          <w:rFonts w:cs="Arial"/>
        </w:rPr>
      </w:pPr>
    </w:p>
    <w:p w:rsidR="00A60EED" w:rsidRPr="00A60EED" w:rsidRDefault="00A60EED" w:rsidP="00A60EED">
      <w:pPr>
        <w:pStyle w:val="ListParagraph"/>
        <w:numPr>
          <w:ilvl w:val="1"/>
          <w:numId w:val="10"/>
        </w:numPr>
        <w:ind w:left="720"/>
        <w:rPr>
          <w:rFonts w:cs="Arial"/>
        </w:rPr>
      </w:pPr>
      <w:r w:rsidRPr="00A60EED">
        <w:rPr>
          <w:rFonts w:cs="Arial"/>
        </w:rPr>
        <w:t>The company will be funded through a combination of:</w:t>
      </w:r>
    </w:p>
    <w:p w:rsidR="00A60EED" w:rsidRPr="00A60EED" w:rsidRDefault="00A60EED" w:rsidP="00685C84">
      <w:pPr>
        <w:pStyle w:val="ListParagraph"/>
        <w:rPr>
          <w:rFonts w:cs="Arial"/>
        </w:rPr>
      </w:pPr>
    </w:p>
    <w:p w:rsidR="00A60EED" w:rsidRPr="00685C84" w:rsidRDefault="00A60EED" w:rsidP="00685C84">
      <w:pPr>
        <w:pStyle w:val="ListParagraph"/>
        <w:numPr>
          <w:ilvl w:val="0"/>
          <w:numId w:val="23"/>
        </w:numPr>
        <w:rPr>
          <w:lang w:val="en-US"/>
        </w:rPr>
      </w:pPr>
      <w:r w:rsidRPr="00685C84">
        <w:rPr>
          <w:lang w:val="en-US"/>
        </w:rPr>
        <w:t>Core Council funding for statutory and priority requirements through an annual Service Delivery Agreement</w:t>
      </w:r>
    </w:p>
    <w:p w:rsidR="00A60EED" w:rsidRPr="00685C84" w:rsidRDefault="00A60EED" w:rsidP="00685C84">
      <w:pPr>
        <w:pStyle w:val="ListParagraph"/>
        <w:numPr>
          <w:ilvl w:val="0"/>
          <w:numId w:val="23"/>
        </w:numPr>
        <w:rPr>
          <w:lang w:val="en-US"/>
        </w:rPr>
      </w:pPr>
      <w:r w:rsidRPr="00685C84">
        <w:rPr>
          <w:lang w:val="en-US"/>
        </w:rPr>
        <w:t>An element of the Dedicated Schools Grant subject to agreement by the Schools’ Forum</w:t>
      </w:r>
    </w:p>
    <w:p w:rsidR="00A60EED" w:rsidRPr="00685C84" w:rsidRDefault="00A60EED" w:rsidP="00685C84">
      <w:pPr>
        <w:pStyle w:val="ListParagraph"/>
        <w:numPr>
          <w:ilvl w:val="0"/>
          <w:numId w:val="23"/>
        </w:numPr>
        <w:rPr>
          <w:lang w:val="en-US"/>
        </w:rPr>
      </w:pPr>
      <w:r w:rsidRPr="00685C84">
        <w:rPr>
          <w:lang w:val="en-US"/>
        </w:rPr>
        <w:t xml:space="preserve">Income from schools buying back traded school improvement services </w:t>
      </w:r>
    </w:p>
    <w:p w:rsidR="00A60EED" w:rsidRPr="00685C84" w:rsidRDefault="00A60EED" w:rsidP="00685C84">
      <w:pPr>
        <w:pStyle w:val="ListParagraph"/>
        <w:numPr>
          <w:ilvl w:val="0"/>
          <w:numId w:val="23"/>
        </w:numPr>
        <w:rPr>
          <w:lang w:val="en-US"/>
        </w:rPr>
      </w:pPr>
      <w:r w:rsidRPr="00685C84">
        <w:rPr>
          <w:lang w:val="en-US"/>
        </w:rPr>
        <w:t>Membership subscriptions from LBBD schools who choose to become members of the company</w:t>
      </w:r>
    </w:p>
    <w:p w:rsidR="00A60EED" w:rsidRPr="00A60EED" w:rsidRDefault="00A60EED" w:rsidP="00685C84">
      <w:pPr>
        <w:pStyle w:val="ListParagraph"/>
        <w:rPr>
          <w:rFonts w:cs="Arial"/>
        </w:rPr>
      </w:pPr>
    </w:p>
    <w:p w:rsidR="00CD0062" w:rsidRDefault="00A60EED" w:rsidP="00A60EED">
      <w:pPr>
        <w:pStyle w:val="ListParagraph"/>
        <w:numPr>
          <w:ilvl w:val="1"/>
          <w:numId w:val="10"/>
        </w:numPr>
        <w:ind w:left="720"/>
        <w:rPr>
          <w:rFonts w:cs="Arial"/>
        </w:rPr>
      </w:pPr>
      <w:r w:rsidRPr="00A60EED">
        <w:rPr>
          <w:rFonts w:cs="Arial"/>
        </w:rPr>
        <w:t xml:space="preserve">The services which it is proposed will move to the new company currently sit across Education, Youth and Childcare Services in the Council but principally will be drawn from the current School Improvement Service. </w:t>
      </w:r>
    </w:p>
    <w:p w:rsidR="00CD0062" w:rsidRDefault="00CD0062" w:rsidP="00CD0062">
      <w:pPr>
        <w:pStyle w:val="ListParagraph"/>
        <w:rPr>
          <w:rFonts w:cs="Arial"/>
        </w:rPr>
      </w:pPr>
    </w:p>
    <w:p w:rsidR="00A60EED" w:rsidRPr="00A60EED" w:rsidRDefault="00A60EED" w:rsidP="00A60EED">
      <w:pPr>
        <w:pStyle w:val="ListParagraph"/>
        <w:numPr>
          <w:ilvl w:val="1"/>
          <w:numId w:val="10"/>
        </w:numPr>
        <w:ind w:left="720"/>
        <w:rPr>
          <w:rFonts w:cs="Arial"/>
        </w:rPr>
      </w:pPr>
      <w:r w:rsidRPr="00A60EED">
        <w:rPr>
          <w:rFonts w:cs="Arial"/>
        </w:rPr>
        <w:t>The services proposed to be delivered through the School Improvement Partnership company at its launch are:</w:t>
      </w:r>
    </w:p>
    <w:p w:rsidR="00A60EED" w:rsidRDefault="00A60EED" w:rsidP="00A60EED">
      <w:pPr>
        <w:pStyle w:val="ListParagraph"/>
        <w:ind w:left="1967"/>
        <w:rPr>
          <w:lang w:val="en-US"/>
        </w:rPr>
      </w:pPr>
    </w:p>
    <w:p w:rsidR="00A60EED" w:rsidRPr="00A60EED" w:rsidRDefault="00A60EED" w:rsidP="00685C84">
      <w:pPr>
        <w:pStyle w:val="ListParagraph"/>
        <w:numPr>
          <w:ilvl w:val="0"/>
          <w:numId w:val="23"/>
        </w:numPr>
        <w:rPr>
          <w:lang w:val="en-US"/>
        </w:rPr>
      </w:pPr>
      <w:r w:rsidRPr="00A60EED">
        <w:rPr>
          <w:lang w:val="en-US"/>
        </w:rPr>
        <w:t>School Improvement advisory support – statutory and traded</w:t>
      </w:r>
    </w:p>
    <w:p w:rsidR="00A60EED" w:rsidRPr="00A60EED" w:rsidRDefault="00A60EED" w:rsidP="00685C84">
      <w:pPr>
        <w:pStyle w:val="ListParagraph"/>
        <w:numPr>
          <w:ilvl w:val="0"/>
          <w:numId w:val="23"/>
        </w:numPr>
        <w:rPr>
          <w:lang w:val="en-US"/>
        </w:rPr>
      </w:pPr>
      <w:r w:rsidRPr="00A60EED">
        <w:rPr>
          <w:lang w:val="en-US"/>
        </w:rPr>
        <w:t>Governor Services and Governor Training</w:t>
      </w:r>
    </w:p>
    <w:p w:rsidR="00A60EED" w:rsidRPr="00A60EED" w:rsidRDefault="00A60EED" w:rsidP="00685C84">
      <w:pPr>
        <w:pStyle w:val="ListParagraph"/>
        <w:numPr>
          <w:ilvl w:val="0"/>
          <w:numId w:val="23"/>
        </w:numPr>
        <w:rPr>
          <w:lang w:val="en-US"/>
        </w:rPr>
      </w:pPr>
      <w:r w:rsidRPr="00A60EED">
        <w:rPr>
          <w:lang w:val="en-US"/>
        </w:rPr>
        <w:t>Professional development, including support for recruitment and retention</w:t>
      </w:r>
    </w:p>
    <w:p w:rsidR="00A60EED" w:rsidRPr="00A60EED" w:rsidRDefault="00A60EED" w:rsidP="00685C84">
      <w:pPr>
        <w:pStyle w:val="ListParagraph"/>
        <w:numPr>
          <w:ilvl w:val="0"/>
          <w:numId w:val="23"/>
        </w:numPr>
        <w:rPr>
          <w:lang w:val="en-US"/>
        </w:rPr>
      </w:pPr>
      <w:r w:rsidRPr="00A60EED">
        <w:rPr>
          <w:lang w:val="en-US"/>
        </w:rPr>
        <w:t>14-19 services including work experience, careers and Aim Higher</w:t>
      </w:r>
    </w:p>
    <w:p w:rsidR="00A60EED" w:rsidRPr="00A60EED" w:rsidRDefault="00A60EED" w:rsidP="00685C84">
      <w:pPr>
        <w:pStyle w:val="ListParagraph"/>
        <w:numPr>
          <w:ilvl w:val="0"/>
          <w:numId w:val="23"/>
        </w:numPr>
        <w:rPr>
          <w:lang w:val="en-US"/>
        </w:rPr>
      </w:pPr>
      <w:r w:rsidRPr="00A60EED">
        <w:rPr>
          <w:lang w:val="en-US"/>
        </w:rPr>
        <w:t>Information Technology support</w:t>
      </w:r>
    </w:p>
    <w:p w:rsidR="00A60EED" w:rsidRPr="00A60EED" w:rsidRDefault="00A60EED" w:rsidP="00685C84">
      <w:pPr>
        <w:pStyle w:val="ListParagraph"/>
        <w:numPr>
          <w:ilvl w:val="0"/>
          <w:numId w:val="23"/>
        </w:numPr>
        <w:rPr>
          <w:lang w:val="en-US"/>
        </w:rPr>
      </w:pPr>
      <w:r w:rsidRPr="00A60EED">
        <w:rPr>
          <w:lang w:val="en-US"/>
        </w:rPr>
        <w:t xml:space="preserve">Attendance and Inclusion advisory support (traded not statutory) </w:t>
      </w:r>
    </w:p>
    <w:p w:rsidR="000C6D66" w:rsidRPr="00A60EED" w:rsidRDefault="000C6D66" w:rsidP="00A60EED">
      <w:pPr>
        <w:rPr>
          <w:rFonts w:cs="Arial"/>
        </w:rPr>
      </w:pPr>
    </w:p>
    <w:p w:rsidR="00685C84" w:rsidRDefault="00685C84" w:rsidP="00685C84">
      <w:pPr>
        <w:pStyle w:val="ListParagraph"/>
        <w:numPr>
          <w:ilvl w:val="1"/>
          <w:numId w:val="10"/>
        </w:numPr>
        <w:ind w:left="720"/>
      </w:pPr>
      <w:r w:rsidRPr="00685C84">
        <w:t xml:space="preserve">It is proposed </w:t>
      </w:r>
      <w:r w:rsidR="00A5545B">
        <w:t xml:space="preserve">that </w:t>
      </w:r>
      <w:r w:rsidR="00551D45" w:rsidRPr="00551D45">
        <w:t>34</w:t>
      </w:r>
      <w:r w:rsidRPr="00551D45">
        <w:t xml:space="preserve"> staff</w:t>
      </w:r>
      <w:r>
        <w:t xml:space="preserve"> will transfer into the company and TUPE would apply. There are also staffing vacancies which would enable the new company to either make efficiencies or recruit to new roles to reflect the business and commercial needs of the company. </w:t>
      </w:r>
    </w:p>
    <w:p w:rsidR="00685C84" w:rsidRDefault="00685C84" w:rsidP="00685C84">
      <w:pPr>
        <w:pStyle w:val="ListParagraph"/>
      </w:pPr>
    </w:p>
    <w:p w:rsidR="00C52505" w:rsidRPr="00EB644E" w:rsidRDefault="00C52505" w:rsidP="00956B61">
      <w:pPr>
        <w:ind w:left="720"/>
        <w:rPr>
          <w:rFonts w:cs="Arial"/>
          <w:b/>
        </w:rPr>
      </w:pPr>
      <w:r w:rsidRPr="00EB644E">
        <w:rPr>
          <w:rFonts w:cs="Arial"/>
          <w:b/>
        </w:rPr>
        <w:t>Options Appraisal</w:t>
      </w:r>
    </w:p>
    <w:p w:rsidR="00C52505" w:rsidRDefault="00C52505" w:rsidP="00D17978">
      <w:pPr>
        <w:ind w:left="720" w:hanging="720"/>
      </w:pPr>
    </w:p>
    <w:p w:rsidR="00685C84" w:rsidRDefault="00685C84" w:rsidP="00CD0062">
      <w:pPr>
        <w:pStyle w:val="ListParagraph"/>
        <w:numPr>
          <w:ilvl w:val="1"/>
          <w:numId w:val="10"/>
        </w:numPr>
        <w:ind w:left="720"/>
        <w:rPr>
          <w:lang w:val="en-US"/>
        </w:rPr>
      </w:pPr>
      <w:r w:rsidRPr="00685C84">
        <w:rPr>
          <w:lang w:val="en-US"/>
        </w:rPr>
        <w:t xml:space="preserve">The concept of a School Improvement Partnership company has been developed jointly with schools through a heads and officers working group which has met regularly over the past year. </w:t>
      </w:r>
      <w:r w:rsidR="00CD0062">
        <w:rPr>
          <w:lang w:val="en-US"/>
        </w:rPr>
        <w:t xml:space="preserve">This approach was used </w:t>
      </w:r>
      <w:r w:rsidR="00CD0062" w:rsidRPr="00CD0062">
        <w:rPr>
          <w:lang w:val="en-US"/>
        </w:rPr>
        <w:t>to ensure the company will meet the needs of both schools and the Council.</w:t>
      </w:r>
    </w:p>
    <w:p w:rsidR="00685C84" w:rsidRDefault="00685C84" w:rsidP="00685C84">
      <w:pPr>
        <w:pStyle w:val="ListParagraph"/>
        <w:rPr>
          <w:lang w:val="en-US"/>
        </w:rPr>
      </w:pPr>
    </w:p>
    <w:p w:rsidR="00775788" w:rsidRDefault="00685C84" w:rsidP="00775788">
      <w:pPr>
        <w:pStyle w:val="ListParagraph"/>
        <w:numPr>
          <w:ilvl w:val="1"/>
          <w:numId w:val="10"/>
        </w:numPr>
        <w:ind w:left="720"/>
        <w:rPr>
          <w:lang w:val="en-US"/>
        </w:rPr>
      </w:pPr>
      <w:r w:rsidRPr="00685C84">
        <w:rPr>
          <w:lang w:val="en-US"/>
        </w:rPr>
        <w:t>The working group, having identified in detail what the partnership should be, reviewed the options</w:t>
      </w:r>
      <w:r w:rsidR="00775788">
        <w:rPr>
          <w:lang w:val="en-US"/>
        </w:rPr>
        <w:t xml:space="preserve">, </w:t>
      </w:r>
      <w:r w:rsidR="00775788" w:rsidRPr="00685C84">
        <w:rPr>
          <w:lang w:val="en-US"/>
        </w:rPr>
        <w:t>including ‘Do Nothing’ and the full range of possible company and governance structures</w:t>
      </w:r>
      <w:r w:rsidR="00775788">
        <w:rPr>
          <w:lang w:val="en-US"/>
        </w:rPr>
        <w:t xml:space="preserve">. </w:t>
      </w:r>
      <w:r w:rsidR="00775788" w:rsidRPr="00775788">
        <w:rPr>
          <w:lang w:val="en-US"/>
        </w:rPr>
        <w:t>In developing this business case, two options were considered</w:t>
      </w:r>
      <w:r w:rsidR="00775788">
        <w:rPr>
          <w:lang w:val="en-US"/>
        </w:rPr>
        <w:t xml:space="preserve"> in more detail</w:t>
      </w:r>
      <w:r w:rsidR="00775788" w:rsidRPr="00775788">
        <w:rPr>
          <w:lang w:val="en-US"/>
        </w:rPr>
        <w:t>:</w:t>
      </w:r>
    </w:p>
    <w:p w:rsidR="00775788" w:rsidRPr="00775788" w:rsidRDefault="00775788" w:rsidP="00775788">
      <w:pPr>
        <w:pStyle w:val="ListParagraph"/>
        <w:rPr>
          <w:lang w:val="en-US"/>
        </w:rPr>
      </w:pPr>
    </w:p>
    <w:tbl>
      <w:tblPr>
        <w:tblStyle w:val="TableGrid"/>
        <w:tblW w:w="8853" w:type="dxa"/>
        <w:tblInd w:w="862" w:type="dxa"/>
        <w:tblLook w:val="04A0" w:firstRow="1" w:lastRow="0" w:firstColumn="1" w:lastColumn="0" w:noHBand="0" w:noVBand="1"/>
      </w:tblPr>
      <w:tblGrid>
        <w:gridCol w:w="4381"/>
        <w:gridCol w:w="4472"/>
      </w:tblGrid>
      <w:tr w:rsidR="002E4EA7" w:rsidTr="0085530D">
        <w:tc>
          <w:tcPr>
            <w:tcW w:w="4381" w:type="dxa"/>
            <w:shd w:val="clear" w:color="auto" w:fill="800000"/>
          </w:tcPr>
          <w:p w:rsidR="00775788" w:rsidRPr="00775788" w:rsidRDefault="00775788" w:rsidP="00775788">
            <w:pPr>
              <w:pStyle w:val="TableHeadings"/>
              <w:rPr>
                <w:rFonts w:ascii="Arial" w:hAnsi="Arial" w:cs="Arial"/>
                <w:sz w:val="20"/>
                <w:szCs w:val="20"/>
              </w:rPr>
            </w:pPr>
            <w:r w:rsidRPr="00775788">
              <w:rPr>
                <w:rFonts w:ascii="Arial" w:hAnsi="Arial" w:cs="Arial"/>
                <w:sz w:val="20"/>
                <w:szCs w:val="20"/>
              </w:rPr>
              <w:t>Option</w:t>
            </w:r>
          </w:p>
        </w:tc>
        <w:tc>
          <w:tcPr>
            <w:tcW w:w="4472" w:type="dxa"/>
            <w:shd w:val="clear" w:color="auto" w:fill="800000"/>
          </w:tcPr>
          <w:p w:rsidR="00775788" w:rsidRPr="00775788" w:rsidRDefault="00775788" w:rsidP="00775788">
            <w:pPr>
              <w:pStyle w:val="TableHeadings"/>
              <w:rPr>
                <w:rFonts w:ascii="Arial" w:hAnsi="Arial" w:cs="Arial"/>
                <w:sz w:val="20"/>
                <w:szCs w:val="20"/>
              </w:rPr>
            </w:pPr>
            <w:r w:rsidRPr="00775788">
              <w:rPr>
                <w:rFonts w:ascii="Arial" w:hAnsi="Arial" w:cs="Arial"/>
                <w:sz w:val="20"/>
                <w:szCs w:val="20"/>
              </w:rPr>
              <w:t>Summary</w:t>
            </w:r>
          </w:p>
        </w:tc>
      </w:tr>
      <w:tr w:rsidR="002E4EA7" w:rsidRPr="00775788" w:rsidTr="0085530D">
        <w:trPr>
          <w:trHeight w:val="7865"/>
        </w:trPr>
        <w:tc>
          <w:tcPr>
            <w:tcW w:w="4381" w:type="dxa"/>
          </w:tcPr>
          <w:p w:rsidR="00775788" w:rsidRPr="00775788" w:rsidRDefault="00FE1DF1" w:rsidP="00775788">
            <w:pPr>
              <w:pStyle w:val="ListParagraph"/>
              <w:ind w:left="0"/>
              <w:rPr>
                <w:sz w:val="20"/>
                <w:lang w:val="en-US"/>
              </w:rPr>
            </w:pPr>
            <w:r>
              <w:rPr>
                <w:sz w:val="20"/>
                <w:lang w:val="en-US"/>
              </w:rPr>
              <w:t xml:space="preserve">Do Nothing – </w:t>
            </w:r>
            <w:r w:rsidR="00D97EF1">
              <w:rPr>
                <w:sz w:val="20"/>
                <w:lang w:val="en-US"/>
              </w:rPr>
              <w:t>gradual</w:t>
            </w:r>
            <w:r w:rsidR="00E90DD5">
              <w:rPr>
                <w:sz w:val="20"/>
                <w:lang w:val="en-US"/>
              </w:rPr>
              <w:t xml:space="preserve"> move to statutory only</w:t>
            </w:r>
            <w:r w:rsidR="00C920AF">
              <w:rPr>
                <w:sz w:val="20"/>
                <w:lang w:val="en-US"/>
              </w:rPr>
              <w:t xml:space="preserve"> </w:t>
            </w:r>
            <w:r w:rsidR="00E90DD5">
              <w:rPr>
                <w:sz w:val="20"/>
                <w:lang w:val="en-US"/>
              </w:rPr>
              <w:t>provision</w:t>
            </w:r>
          </w:p>
        </w:tc>
        <w:tc>
          <w:tcPr>
            <w:tcW w:w="4472" w:type="dxa"/>
          </w:tcPr>
          <w:p w:rsidR="00775788" w:rsidRDefault="00775788" w:rsidP="00775788">
            <w:pPr>
              <w:rPr>
                <w:sz w:val="20"/>
                <w:lang w:val="en-US"/>
              </w:rPr>
            </w:pPr>
            <w:r w:rsidRPr="00775788">
              <w:rPr>
                <w:sz w:val="20"/>
                <w:lang w:val="en-US"/>
              </w:rPr>
              <w:t xml:space="preserve">In this model, the Council would continue to provide all school improvement and inclusion services to schools and employ all staff directly. The Council would retain full responsibility for all expenditure, service delivery and income generation. </w:t>
            </w:r>
          </w:p>
          <w:p w:rsidR="00814B6F" w:rsidRPr="00775788" w:rsidRDefault="00814B6F" w:rsidP="00775788">
            <w:pPr>
              <w:rPr>
                <w:sz w:val="20"/>
                <w:lang w:val="en-US"/>
              </w:rPr>
            </w:pPr>
          </w:p>
          <w:p w:rsidR="00414DF9" w:rsidRDefault="00775788" w:rsidP="00775788">
            <w:pPr>
              <w:pStyle w:val="ListParagraph"/>
              <w:ind w:left="0"/>
              <w:rPr>
                <w:sz w:val="20"/>
                <w:lang w:val="en-US"/>
              </w:rPr>
            </w:pPr>
            <w:r w:rsidRPr="00775788">
              <w:rPr>
                <w:sz w:val="20"/>
                <w:lang w:val="en-US"/>
              </w:rPr>
              <w:t>The advantage</w:t>
            </w:r>
            <w:r w:rsidR="00E90DD5">
              <w:rPr>
                <w:sz w:val="20"/>
                <w:lang w:val="en-US"/>
              </w:rPr>
              <w:t>s of this option are</w:t>
            </w:r>
            <w:r w:rsidRPr="00775788">
              <w:rPr>
                <w:sz w:val="20"/>
                <w:lang w:val="en-US"/>
              </w:rPr>
              <w:t>, in the short term, co</w:t>
            </w:r>
            <w:r w:rsidR="002E4EA7">
              <w:rPr>
                <w:sz w:val="20"/>
                <w:lang w:val="en-US"/>
              </w:rPr>
              <w:t>nti</w:t>
            </w:r>
            <w:r w:rsidR="00EB428F">
              <w:rPr>
                <w:sz w:val="20"/>
                <w:lang w:val="en-US"/>
              </w:rPr>
              <w:t xml:space="preserve">nuity and minimal disruption as well as </w:t>
            </w:r>
            <w:r w:rsidR="002E4EA7">
              <w:rPr>
                <w:sz w:val="20"/>
                <w:lang w:val="en-US"/>
              </w:rPr>
              <w:t xml:space="preserve">the Council’s retained control and influence over the services and workforce for the medium term. </w:t>
            </w:r>
            <w:r w:rsidR="00814B6F">
              <w:rPr>
                <w:sz w:val="20"/>
                <w:lang w:val="en-US"/>
              </w:rPr>
              <w:t>However,</w:t>
            </w:r>
            <w:r w:rsidR="00414DF9">
              <w:rPr>
                <w:sz w:val="20"/>
                <w:lang w:val="en-US"/>
              </w:rPr>
              <w:t xml:space="preserve"> this model is at odds with the new educational landscape of a school led education system</w:t>
            </w:r>
            <w:r w:rsidR="00814B6F">
              <w:rPr>
                <w:sz w:val="20"/>
                <w:lang w:val="en-US"/>
              </w:rPr>
              <w:t xml:space="preserve"> </w:t>
            </w:r>
            <w:r w:rsidR="00414DF9">
              <w:rPr>
                <w:sz w:val="20"/>
                <w:lang w:val="en-US"/>
              </w:rPr>
              <w:t>and declining gove</w:t>
            </w:r>
            <w:r w:rsidR="00EA6C0D">
              <w:rPr>
                <w:sz w:val="20"/>
                <w:lang w:val="en-US"/>
              </w:rPr>
              <w:t>rnment funding of Councils for school i</w:t>
            </w:r>
            <w:r w:rsidR="00414DF9">
              <w:rPr>
                <w:sz w:val="20"/>
                <w:lang w:val="en-US"/>
              </w:rPr>
              <w:t>mprovement. T</w:t>
            </w:r>
            <w:r w:rsidR="00814B6F" w:rsidRPr="00814B6F">
              <w:rPr>
                <w:sz w:val="20"/>
                <w:lang w:val="en-US"/>
              </w:rPr>
              <w:t>ake up of traded</w:t>
            </w:r>
            <w:r w:rsidR="003E79F9">
              <w:rPr>
                <w:sz w:val="20"/>
                <w:lang w:val="en-US"/>
              </w:rPr>
              <w:t xml:space="preserve"> school improvement services </w:t>
            </w:r>
            <w:r w:rsidR="00814B6F" w:rsidRPr="00814B6F">
              <w:rPr>
                <w:sz w:val="20"/>
                <w:lang w:val="en-US"/>
              </w:rPr>
              <w:t xml:space="preserve">overall has been declining over time. </w:t>
            </w:r>
          </w:p>
          <w:p w:rsidR="00414DF9" w:rsidRDefault="00414DF9" w:rsidP="00775788">
            <w:pPr>
              <w:pStyle w:val="ListParagraph"/>
              <w:ind w:left="0"/>
              <w:rPr>
                <w:sz w:val="20"/>
                <w:lang w:val="en-US"/>
              </w:rPr>
            </w:pPr>
          </w:p>
          <w:p w:rsidR="0067213E" w:rsidRDefault="00814B6F" w:rsidP="00775788">
            <w:pPr>
              <w:pStyle w:val="ListParagraph"/>
              <w:ind w:left="0"/>
              <w:rPr>
                <w:sz w:val="20"/>
                <w:lang w:val="en-US"/>
              </w:rPr>
            </w:pPr>
            <w:r w:rsidRPr="00814B6F">
              <w:rPr>
                <w:sz w:val="20"/>
                <w:lang w:val="en-US"/>
              </w:rPr>
              <w:t>The risk to the Council is</w:t>
            </w:r>
            <w:r w:rsidR="00414DF9">
              <w:rPr>
                <w:sz w:val="20"/>
                <w:lang w:val="en-US"/>
              </w:rPr>
              <w:t>, that</w:t>
            </w:r>
            <w:r w:rsidRPr="00814B6F">
              <w:rPr>
                <w:sz w:val="20"/>
                <w:lang w:val="en-US"/>
              </w:rPr>
              <w:t xml:space="preserve"> as services reduce or are discontinued and the Council moves to a limited statutory provision only mode, there would be increased fragmentation of the education system locally, leaving vulnerable schools and young people more exposed and potentially with less support. This would lead to a decline in standards and outcomes overall with an impact on the </w:t>
            </w:r>
            <w:r w:rsidR="00414DF9">
              <w:rPr>
                <w:sz w:val="20"/>
                <w:lang w:val="en-US"/>
              </w:rPr>
              <w:t xml:space="preserve">life chances </w:t>
            </w:r>
            <w:r w:rsidRPr="00814B6F">
              <w:rPr>
                <w:sz w:val="20"/>
                <w:lang w:val="en-US"/>
              </w:rPr>
              <w:t>children and young people affected as well as the reputational damage to the Council</w:t>
            </w:r>
            <w:r>
              <w:rPr>
                <w:sz w:val="20"/>
                <w:lang w:val="en-US"/>
              </w:rPr>
              <w:t xml:space="preserve">. </w:t>
            </w:r>
          </w:p>
          <w:p w:rsidR="0067213E" w:rsidRDefault="0067213E" w:rsidP="00775788">
            <w:pPr>
              <w:pStyle w:val="ListParagraph"/>
              <w:ind w:left="0"/>
              <w:rPr>
                <w:sz w:val="20"/>
                <w:lang w:val="en-US"/>
              </w:rPr>
            </w:pPr>
          </w:p>
          <w:p w:rsidR="00775788" w:rsidRPr="00775788" w:rsidRDefault="00C03839" w:rsidP="00775788">
            <w:pPr>
              <w:pStyle w:val="ListParagraph"/>
              <w:ind w:left="0"/>
              <w:rPr>
                <w:sz w:val="20"/>
                <w:lang w:val="en-US"/>
              </w:rPr>
            </w:pPr>
            <w:r>
              <w:rPr>
                <w:sz w:val="20"/>
                <w:lang w:val="en-US"/>
              </w:rPr>
              <w:t>The weakness</w:t>
            </w:r>
            <w:r w:rsidR="0067213E">
              <w:rPr>
                <w:sz w:val="20"/>
                <w:lang w:val="en-US"/>
              </w:rPr>
              <w:t>es</w:t>
            </w:r>
            <w:r>
              <w:rPr>
                <w:sz w:val="20"/>
                <w:lang w:val="en-US"/>
              </w:rPr>
              <w:t xml:space="preserve"> of </w:t>
            </w:r>
            <w:r w:rsidR="00414DF9">
              <w:rPr>
                <w:sz w:val="20"/>
                <w:lang w:val="en-US"/>
              </w:rPr>
              <w:t xml:space="preserve">this model </w:t>
            </w:r>
            <w:r w:rsidR="0067213E">
              <w:rPr>
                <w:sz w:val="20"/>
                <w:lang w:val="en-US"/>
              </w:rPr>
              <w:t>are</w:t>
            </w:r>
            <w:r>
              <w:rPr>
                <w:sz w:val="20"/>
                <w:lang w:val="en-US"/>
              </w:rPr>
              <w:t xml:space="preserve"> that it </w:t>
            </w:r>
            <w:r w:rsidR="00414DF9">
              <w:rPr>
                <w:sz w:val="20"/>
                <w:lang w:val="en-US"/>
              </w:rPr>
              <w:t>would not support the Council’s Growth Commission ambitions and would miss the opportunity to strengthen partnership working with a key community stakeholder – schools.</w:t>
            </w:r>
          </w:p>
        </w:tc>
      </w:tr>
      <w:tr w:rsidR="002E4EA7" w:rsidRPr="00775788" w:rsidTr="0085530D">
        <w:tc>
          <w:tcPr>
            <w:tcW w:w="4381" w:type="dxa"/>
          </w:tcPr>
          <w:p w:rsidR="007D729E" w:rsidRPr="00775788" w:rsidRDefault="007D729E" w:rsidP="00775788">
            <w:pPr>
              <w:pStyle w:val="ListParagraph"/>
              <w:ind w:left="0"/>
              <w:rPr>
                <w:sz w:val="20"/>
                <w:lang w:val="en-US"/>
              </w:rPr>
            </w:pPr>
          </w:p>
        </w:tc>
        <w:tc>
          <w:tcPr>
            <w:tcW w:w="4472" w:type="dxa"/>
          </w:tcPr>
          <w:p w:rsidR="00426EF1" w:rsidRPr="00775788" w:rsidRDefault="00426EF1" w:rsidP="00775788">
            <w:pPr>
              <w:rPr>
                <w:sz w:val="20"/>
                <w:lang w:val="en-US"/>
              </w:rPr>
            </w:pPr>
          </w:p>
        </w:tc>
      </w:tr>
      <w:tr w:rsidR="002E4EA7" w:rsidRPr="00775788" w:rsidTr="0085530D">
        <w:trPr>
          <w:trHeight w:val="4292"/>
        </w:trPr>
        <w:tc>
          <w:tcPr>
            <w:tcW w:w="4381" w:type="dxa"/>
          </w:tcPr>
          <w:p w:rsidR="00775788" w:rsidRPr="00775788" w:rsidRDefault="00775788" w:rsidP="00775788">
            <w:pPr>
              <w:pStyle w:val="ListParagraph"/>
              <w:ind w:left="0"/>
              <w:rPr>
                <w:sz w:val="20"/>
                <w:lang w:val="en-US"/>
              </w:rPr>
            </w:pPr>
            <w:r w:rsidRPr="00775788">
              <w:rPr>
                <w:sz w:val="20"/>
                <w:lang w:val="en-US"/>
              </w:rPr>
              <w:t>Establish a School Improvement Partnership company</w:t>
            </w:r>
          </w:p>
        </w:tc>
        <w:tc>
          <w:tcPr>
            <w:tcW w:w="4472" w:type="dxa"/>
          </w:tcPr>
          <w:p w:rsidR="00775788" w:rsidRPr="0085530D" w:rsidRDefault="00775788" w:rsidP="0085530D">
            <w:pPr>
              <w:rPr>
                <w:sz w:val="20"/>
                <w:lang w:val="en-US"/>
              </w:rPr>
            </w:pPr>
            <w:r w:rsidRPr="00775788">
              <w:rPr>
                <w:sz w:val="20"/>
                <w:lang w:val="en-US"/>
              </w:rPr>
              <w:t>In this model, a new company, limited by guarantee and owned jointly by schools and the Council, will deliver a range of services both statutory and traded, which are currently delivered by the Council to schools. It will also be the vehicle to drive and support the development of a successful school-led system for the Borough for the future.</w:t>
            </w:r>
            <w:r w:rsidR="0085530D">
              <w:rPr>
                <w:sz w:val="20"/>
                <w:lang w:val="en-US"/>
              </w:rPr>
              <w:t xml:space="preserve"> This option has been developed in partnership with headteachers and governors through ongoing consultation and working groups.</w:t>
            </w:r>
          </w:p>
          <w:p w:rsidR="0085530D" w:rsidRDefault="0085530D" w:rsidP="00775788">
            <w:pPr>
              <w:pStyle w:val="ListParagraph"/>
              <w:ind w:left="0"/>
              <w:rPr>
                <w:sz w:val="20"/>
                <w:lang w:val="en-US"/>
              </w:rPr>
            </w:pPr>
          </w:p>
          <w:p w:rsidR="00775788" w:rsidRDefault="0085530D" w:rsidP="00775788">
            <w:pPr>
              <w:pStyle w:val="ListParagraph"/>
              <w:ind w:left="0"/>
              <w:rPr>
                <w:sz w:val="20"/>
                <w:lang w:val="en-US"/>
              </w:rPr>
            </w:pPr>
            <w:r>
              <w:rPr>
                <w:sz w:val="20"/>
                <w:lang w:val="en-US"/>
              </w:rPr>
              <w:t xml:space="preserve">The company will </w:t>
            </w:r>
            <w:r w:rsidR="00775788" w:rsidRPr="00775788">
              <w:rPr>
                <w:sz w:val="20"/>
                <w:lang w:val="en-US"/>
              </w:rPr>
              <w:t>take full responsibility for the employment of staff transferred from the Council, the delivery of outcomes defined through the Council’s contract with the company for statutory and priority services and the generation of income from traded services.</w:t>
            </w:r>
          </w:p>
          <w:p w:rsidR="0085530D" w:rsidRDefault="0085530D" w:rsidP="00775788">
            <w:pPr>
              <w:pStyle w:val="ListParagraph"/>
              <w:ind w:left="0"/>
              <w:rPr>
                <w:sz w:val="20"/>
                <w:lang w:val="en-US"/>
              </w:rPr>
            </w:pPr>
          </w:p>
          <w:p w:rsidR="0085530D" w:rsidRDefault="0085530D" w:rsidP="00775788">
            <w:pPr>
              <w:pStyle w:val="ListParagraph"/>
              <w:ind w:left="0"/>
              <w:rPr>
                <w:sz w:val="20"/>
                <w:lang w:val="en-US"/>
              </w:rPr>
            </w:pPr>
            <w:r>
              <w:rPr>
                <w:sz w:val="20"/>
                <w:lang w:val="en-US"/>
              </w:rPr>
              <w:t>The</w:t>
            </w:r>
            <w:r w:rsidR="007C0681">
              <w:rPr>
                <w:sz w:val="20"/>
                <w:lang w:val="en-US"/>
              </w:rPr>
              <w:t xml:space="preserve"> benefits of this model include the opportunities to;  reshape</w:t>
            </w:r>
            <w:r>
              <w:rPr>
                <w:sz w:val="20"/>
                <w:lang w:val="en-US"/>
              </w:rPr>
              <w:t xml:space="preserve"> the current partnership between schools and the Council to ensure the future viability of the “f</w:t>
            </w:r>
            <w:r w:rsidR="007C0681">
              <w:rPr>
                <w:sz w:val="20"/>
                <w:lang w:val="en-US"/>
              </w:rPr>
              <w:t xml:space="preserve">amily” of LBBD schools; </w:t>
            </w:r>
            <w:r>
              <w:rPr>
                <w:sz w:val="20"/>
                <w:lang w:val="en-US"/>
              </w:rPr>
              <w:t xml:space="preserve">operate independently from the </w:t>
            </w:r>
            <w:r>
              <w:rPr>
                <w:sz w:val="20"/>
                <w:lang w:val="en-US"/>
              </w:rPr>
              <w:lastRenderedPageBreak/>
              <w:t>Council, enter into contracts and access funding not available to local authorities; build a cost effective school</w:t>
            </w:r>
            <w:r w:rsidR="00C03839">
              <w:rPr>
                <w:sz w:val="20"/>
                <w:lang w:val="en-US"/>
              </w:rPr>
              <w:t xml:space="preserve"> l</w:t>
            </w:r>
            <w:r>
              <w:rPr>
                <w:sz w:val="20"/>
                <w:lang w:val="en-US"/>
              </w:rPr>
              <w:t xml:space="preserve">ed education system for the borough; </w:t>
            </w:r>
            <w:r w:rsidR="007C0681">
              <w:rPr>
                <w:sz w:val="20"/>
                <w:lang w:val="en-US"/>
              </w:rPr>
              <w:t xml:space="preserve">enable </w:t>
            </w:r>
            <w:r w:rsidR="00C03839">
              <w:rPr>
                <w:sz w:val="20"/>
                <w:lang w:val="en-US"/>
              </w:rPr>
              <w:t>schools and the Council to buy services from a company which has as its core purpose, the raising of outcomes and standards for all LBBD children and young people.</w:t>
            </w:r>
          </w:p>
          <w:p w:rsidR="0067213E" w:rsidRDefault="0067213E" w:rsidP="00775788">
            <w:pPr>
              <w:pStyle w:val="ListParagraph"/>
              <w:ind w:left="0"/>
              <w:rPr>
                <w:sz w:val="20"/>
                <w:lang w:val="en-US"/>
              </w:rPr>
            </w:pPr>
          </w:p>
          <w:p w:rsidR="0067213E" w:rsidRDefault="0067213E" w:rsidP="00775788">
            <w:pPr>
              <w:pStyle w:val="ListParagraph"/>
              <w:ind w:left="0"/>
              <w:rPr>
                <w:sz w:val="20"/>
                <w:lang w:val="en-US"/>
              </w:rPr>
            </w:pPr>
            <w:r>
              <w:rPr>
                <w:sz w:val="20"/>
                <w:lang w:val="en-US"/>
              </w:rPr>
              <w:t>The weaknesses of this model are that it will require investment in set up costs and time to scope, design and</w:t>
            </w:r>
            <w:r w:rsidR="004435DF">
              <w:rPr>
                <w:sz w:val="20"/>
                <w:lang w:val="en-US"/>
              </w:rPr>
              <w:t xml:space="preserve"> implement the new model and train</w:t>
            </w:r>
            <w:r>
              <w:rPr>
                <w:sz w:val="20"/>
                <w:lang w:val="en-US"/>
              </w:rPr>
              <w:t xml:space="preserve"> and support for staff to grow commercial skills.</w:t>
            </w:r>
          </w:p>
          <w:p w:rsidR="0067213E" w:rsidRDefault="0067213E" w:rsidP="00775788">
            <w:pPr>
              <w:pStyle w:val="ListParagraph"/>
              <w:ind w:left="0"/>
              <w:rPr>
                <w:sz w:val="20"/>
                <w:lang w:val="en-US"/>
              </w:rPr>
            </w:pPr>
          </w:p>
          <w:p w:rsidR="0067213E" w:rsidRDefault="0067213E" w:rsidP="00775788">
            <w:pPr>
              <w:pStyle w:val="ListParagraph"/>
              <w:ind w:left="0"/>
              <w:rPr>
                <w:sz w:val="20"/>
                <w:lang w:val="en-US"/>
              </w:rPr>
            </w:pPr>
            <w:r w:rsidRPr="00B340EF">
              <w:rPr>
                <w:sz w:val="20"/>
              </w:rPr>
              <w:t>The risks are</w:t>
            </w:r>
            <w:r w:rsidR="005231E7" w:rsidRPr="00B340EF">
              <w:rPr>
                <w:sz w:val="20"/>
              </w:rPr>
              <w:t xml:space="preserve"> that unexpected rapid changes to government policy and funding</w:t>
            </w:r>
            <w:r w:rsidR="00656839" w:rsidRPr="00B340EF">
              <w:rPr>
                <w:sz w:val="20"/>
              </w:rPr>
              <w:t>,</w:t>
            </w:r>
            <w:r w:rsidR="005231E7" w:rsidRPr="00B340EF">
              <w:rPr>
                <w:sz w:val="20"/>
              </w:rPr>
              <w:t xml:space="preserve"> </w:t>
            </w:r>
            <w:r w:rsidR="00B340EF" w:rsidRPr="00B340EF">
              <w:rPr>
                <w:sz w:val="20"/>
              </w:rPr>
              <w:t>post-election</w:t>
            </w:r>
            <w:r w:rsidR="006A01F6" w:rsidRPr="00B340EF">
              <w:rPr>
                <w:sz w:val="20"/>
              </w:rPr>
              <w:t xml:space="preserve"> could jeopardise resources and increase the requirement for immediate income growth; schools may not engage fully with the new model – though this should be mitigated through a </w:t>
            </w:r>
            <w:r w:rsidR="00B340EF" w:rsidRPr="00B340EF">
              <w:rPr>
                <w:sz w:val="20"/>
              </w:rPr>
              <w:t>low-level</w:t>
            </w:r>
            <w:r w:rsidR="006A01F6" w:rsidRPr="00B340EF">
              <w:rPr>
                <w:sz w:val="20"/>
              </w:rPr>
              <w:t xml:space="preserve"> membership fee and through the leadership and promotion of the new company through heads and governors groups</w:t>
            </w:r>
          </w:p>
          <w:p w:rsidR="00C03839" w:rsidRDefault="00C03839" w:rsidP="00775788">
            <w:pPr>
              <w:pStyle w:val="ListParagraph"/>
              <w:ind w:left="0"/>
              <w:rPr>
                <w:sz w:val="20"/>
                <w:lang w:val="en-US"/>
              </w:rPr>
            </w:pPr>
          </w:p>
          <w:p w:rsidR="00C03839" w:rsidRPr="00775788" w:rsidRDefault="00C03839" w:rsidP="00775788">
            <w:pPr>
              <w:pStyle w:val="ListParagraph"/>
              <w:ind w:left="0"/>
              <w:rPr>
                <w:sz w:val="20"/>
                <w:lang w:val="en-US"/>
              </w:rPr>
            </w:pPr>
          </w:p>
        </w:tc>
      </w:tr>
    </w:tbl>
    <w:p w:rsidR="00775788" w:rsidRPr="00775788" w:rsidRDefault="00775788" w:rsidP="00775788">
      <w:pPr>
        <w:pStyle w:val="ListParagraph"/>
        <w:ind w:left="862"/>
        <w:rPr>
          <w:sz w:val="20"/>
          <w:lang w:val="en-US"/>
        </w:rPr>
      </w:pPr>
    </w:p>
    <w:p w:rsidR="00775788" w:rsidRPr="00775788" w:rsidRDefault="00775788" w:rsidP="00775788">
      <w:pPr>
        <w:pStyle w:val="ListParagraph"/>
        <w:rPr>
          <w:lang w:val="en-US"/>
        </w:rPr>
      </w:pPr>
    </w:p>
    <w:p w:rsidR="00775788" w:rsidRPr="00775788" w:rsidRDefault="00775788" w:rsidP="00775788">
      <w:pPr>
        <w:pStyle w:val="ListParagraph"/>
        <w:numPr>
          <w:ilvl w:val="1"/>
          <w:numId w:val="10"/>
        </w:numPr>
        <w:ind w:left="720"/>
        <w:rPr>
          <w:lang w:val="en-US"/>
        </w:rPr>
      </w:pPr>
      <w:r w:rsidRPr="00775788">
        <w:rPr>
          <w:lang w:val="en-US"/>
        </w:rPr>
        <w:t>The detailed options analysis can be found in the School Improvement Partnership</w:t>
      </w:r>
      <w:r w:rsidR="00E4193B">
        <w:rPr>
          <w:lang w:val="en-US"/>
        </w:rPr>
        <w:t xml:space="preserve"> Full Business Case Appendix 1</w:t>
      </w:r>
      <w:r w:rsidRPr="00775788">
        <w:rPr>
          <w:lang w:val="en-US"/>
        </w:rPr>
        <w:t xml:space="preserve"> - this document is in the exempt section of the agenda as it contains commercially confidential information (relevant legislation: paragraph 3 of Part I of Schedule 12A of the Local Government Act 1972) and the public interest in maintaining the exemption outweighs the public interest in disclosing the information.</w:t>
      </w:r>
    </w:p>
    <w:p w:rsidR="00775788" w:rsidRPr="00775788" w:rsidRDefault="00775788" w:rsidP="00775788">
      <w:pPr>
        <w:pStyle w:val="ListParagraph"/>
        <w:rPr>
          <w:lang w:val="en-US"/>
        </w:rPr>
      </w:pPr>
    </w:p>
    <w:p w:rsidR="00685C84" w:rsidRDefault="00775788" w:rsidP="00685C84">
      <w:pPr>
        <w:pStyle w:val="ListParagraph"/>
        <w:numPr>
          <w:ilvl w:val="1"/>
          <w:numId w:val="10"/>
        </w:numPr>
        <w:ind w:left="720"/>
        <w:rPr>
          <w:lang w:val="en-US"/>
        </w:rPr>
      </w:pPr>
      <w:r>
        <w:rPr>
          <w:lang w:val="en-US"/>
        </w:rPr>
        <w:t>The options appraisal, supported by the working group,</w:t>
      </w:r>
      <w:r w:rsidR="00685C84" w:rsidRPr="00685C84">
        <w:rPr>
          <w:lang w:val="en-US"/>
        </w:rPr>
        <w:t xml:space="preserve"> concluded that the most appropriate company structure would be a company limited by guarantee.  </w:t>
      </w:r>
    </w:p>
    <w:p w:rsidR="00801DF3" w:rsidRPr="00801DF3" w:rsidRDefault="00801DF3" w:rsidP="00801DF3">
      <w:pPr>
        <w:rPr>
          <w:lang w:val="en-US"/>
        </w:rPr>
      </w:pPr>
    </w:p>
    <w:p w:rsidR="00685C84" w:rsidRPr="00685C84" w:rsidRDefault="00685C84" w:rsidP="00685C84">
      <w:pPr>
        <w:pStyle w:val="ListParagraph"/>
        <w:numPr>
          <w:ilvl w:val="1"/>
          <w:numId w:val="10"/>
        </w:numPr>
        <w:ind w:left="720"/>
        <w:rPr>
          <w:lang w:val="en-US"/>
        </w:rPr>
      </w:pPr>
      <w:r w:rsidRPr="00685C84">
        <w:rPr>
          <w:lang w:val="en-US"/>
        </w:rPr>
        <w:t>Advantages of establishing a School Improvement Partnership company approach are:</w:t>
      </w:r>
    </w:p>
    <w:p w:rsidR="00685C84" w:rsidRPr="00685C84" w:rsidRDefault="00685C84" w:rsidP="00685C84">
      <w:pPr>
        <w:pStyle w:val="ListParagraph"/>
        <w:rPr>
          <w:lang w:val="en-US"/>
        </w:rPr>
      </w:pPr>
    </w:p>
    <w:p w:rsidR="00685C84" w:rsidRPr="00685C84" w:rsidRDefault="00685C84" w:rsidP="00685C84">
      <w:pPr>
        <w:pStyle w:val="ListParagraph"/>
        <w:numPr>
          <w:ilvl w:val="0"/>
          <w:numId w:val="23"/>
        </w:numPr>
        <w:rPr>
          <w:lang w:val="en-US"/>
        </w:rPr>
      </w:pPr>
      <w:r w:rsidRPr="00685C84">
        <w:rPr>
          <w:lang w:val="en-US"/>
        </w:rPr>
        <w:t>Clear formal leadership and governance with accountability to both LBBD and schools as joint members of the company</w:t>
      </w:r>
    </w:p>
    <w:p w:rsidR="00685C84" w:rsidRPr="00685C84" w:rsidRDefault="00685C84" w:rsidP="00685C84">
      <w:pPr>
        <w:pStyle w:val="ListParagraph"/>
        <w:numPr>
          <w:ilvl w:val="0"/>
          <w:numId w:val="23"/>
        </w:numPr>
        <w:rPr>
          <w:lang w:val="en-US"/>
        </w:rPr>
      </w:pPr>
      <w:r w:rsidRPr="00685C84">
        <w:rPr>
          <w:lang w:val="en-US"/>
        </w:rPr>
        <w:t>Dedicated focus on school improvement in LBBD</w:t>
      </w:r>
    </w:p>
    <w:p w:rsidR="00685C84" w:rsidRPr="00685C84" w:rsidRDefault="00685C84" w:rsidP="00685C84">
      <w:pPr>
        <w:pStyle w:val="ListParagraph"/>
        <w:numPr>
          <w:ilvl w:val="0"/>
          <w:numId w:val="23"/>
        </w:numPr>
        <w:rPr>
          <w:lang w:val="en-US"/>
        </w:rPr>
      </w:pPr>
      <w:r w:rsidRPr="00685C84">
        <w:rPr>
          <w:lang w:val="en-US"/>
        </w:rPr>
        <w:t>An evolving approach allowing the partnership to develop and add further services in a phased way</w:t>
      </w:r>
    </w:p>
    <w:p w:rsidR="00685C84" w:rsidRPr="00685C84" w:rsidRDefault="00685C84" w:rsidP="00685C84">
      <w:pPr>
        <w:pStyle w:val="ListParagraph"/>
        <w:numPr>
          <w:ilvl w:val="0"/>
          <w:numId w:val="23"/>
        </w:numPr>
        <w:rPr>
          <w:lang w:val="en-US"/>
        </w:rPr>
      </w:pPr>
      <w:r w:rsidRPr="00685C84">
        <w:rPr>
          <w:lang w:val="en-US"/>
        </w:rPr>
        <w:t>Ability to operate independently from the Council, enter into contracts, employ its own staff and develop flexible and new services in partnership with LBBD schools</w:t>
      </w:r>
    </w:p>
    <w:p w:rsidR="00685C84" w:rsidRPr="00685C84" w:rsidRDefault="00685C84" w:rsidP="00685C84">
      <w:pPr>
        <w:pStyle w:val="ListParagraph"/>
        <w:rPr>
          <w:lang w:val="en-US"/>
        </w:rPr>
      </w:pPr>
    </w:p>
    <w:p w:rsidR="00685C84" w:rsidRDefault="00685C84" w:rsidP="00685C84">
      <w:pPr>
        <w:pStyle w:val="ListParagraph"/>
        <w:numPr>
          <w:ilvl w:val="1"/>
          <w:numId w:val="10"/>
        </w:numPr>
        <w:ind w:left="720"/>
        <w:rPr>
          <w:lang w:val="en-US"/>
        </w:rPr>
      </w:pPr>
      <w:r w:rsidRPr="00685C84">
        <w:rPr>
          <w:lang w:val="en-US"/>
        </w:rPr>
        <w:t xml:space="preserve">If we do nothing and </w:t>
      </w:r>
      <w:r w:rsidR="00F11698">
        <w:rPr>
          <w:lang w:val="en-US"/>
        </w:rPr>
        <w:t xml:space="preserve">continue to provide business as usual, </w:t>
      </w:r>
      <w:r w:rsidRPr="00685C84">
        <w:rPr>
          <w:lang w:val="en-US"/>
        </w:rPr>
        <w:t xml:space="preserve">schools </w:t>
      </w:r>
      <w:r w:rsidR="00F11698">
        <w:rPr>
          <w:lang w:val="en-US"/>
        </w:rPr>
        <w:t xml:space="preserve">may </w:t>
      </w:r>
      <w:r w:rsidRPr="00685C84">
        <w:rPr>
          <w:lang w:val="en-US"/>
        </w:rPr>
        <w:t xml:space="preserve">choose </w:t>
      </w:r>
      <w:r w:rsidR="00F11698">
        <w:rPr>
          <w:lang w:val="en-US"/>
        </w:rPr>
        <w:t xml:space="preserve">in the future </w:t>
      </w:r>
      <w:r w:rsidRPr="00685C84">
        <w:rPr>
          <w:lang w:val="en-US"/>
        </w:rPr>
        <w:t>not to buy back at all or to buy services from elsewhere</w:t>
      </w:r>
      <w:r w:rsidR="00F11698">
        <w:rPr>
          <w:lang w:val="en-US"/>
        </w:rPr>
        <w:t xml:space="preserve">. This would leave Council services </w:t>
      </w:r>
      <w:r w:rsidRPr="00685C84">
        <w:rPr>
          <w:lang w:val="en-US"/>
        </w:rPr>
        <w:t>at serious risk of being discontinued as central and local governm</w:t>
      </w:r>
      <w:r w:rsidR="00F11698">
        <w:rPr>
          <w:lang w:val="en-US"/>
        </w:rPr>
        <w:t>ent budgets continue to reduce.</w:t>
      </w:r>
      <w:r w:rsidR="00566652">
        <w:rPr>
          <w:lang w:val="en-US"/>
        </w:rPr>
        <w:t xml:space="preserve"> </w:t>
      </w:r>
      <w:r w:rsidR="00F11698">
        <w:rPr>
          <w:lang w:val="en-US"/>
        </w:rPr>
        <w:t xml:space="preserve">If the Council chose to withdraw from the provision of school improvement services, it would incur significant redundancy costs and would still need to fund the provision of statutory local authority </w:t>
      </w:r>
      <w:r w:rsidR="00F11698">
        <w:rPr>
          <w:lang w:val="en-US"/>
        </w:rPr>
        <w:lastRenderedPageBreak/>
        <w:t xml:space="preserve">requirements in relation to schools. This has a high risk </w:t>
      </w:r>
      <w:r w:rsidR="00566652">
        <w:rPr>
          <w:lang w:val="en-US"/>
        </w:rPr>
        <w:t xml:space="preserve">of </w:t>
      </w:r>
      <w:r w:rsidRPr="00685C84">
        <w:rPr>
          <w:lang w:val="en-US"/>
        </w:rPr>
        <w:t xml:space="preserve">increased fragmentation of the </w:t>
      </w:r>
      <w:r w:rsidR="00566652">
        <w:rPr>
          <w:lang w:val="en-US"/>
        </w:rPr>
        <w:t>education system in LBBD and would leave</w:t>
      </w:r>
      <w:r w:rsidRPr="00685C84">
        <w:rPr>
          <w:lang w:val="en-US"/>
        </w:rPr>
        <w:t xml:space="preserve"> vulnerabl</w:t>
      </w:r>
      <w:r w:rsidR="00566652">
        <w:rPr>
          <w:lang w:val="en-US"/>
        </w:rPr>
        <w:t xml:space="preserve">e schools and young people </w:t>
      </w:r>
      <w:r w:rsidRPr="00685C84">
        <w:rPr>
          <w:lang w:val="en-US"/>
        </w:rPr>
        <w:t>exposed and</w:t>
      </w:r>
      <w:r w:rsidR="00566652">
        <w:rPr>
          <w:lang w:val="en-US"/>
        </w:rPr>
        <w:t xml:space="preserve"> potentially with less support resulting in reduced quality and declining educational outcomes.</w:t>
      </w:r>
    </w:p>
    <w:p w:rsidR="00685C84" w:rsidRDefault="00685C84" w:rsidP="00685C84">
      <w:pPr>
        <w:pStyle w:val="ListParagraph"/>
        <w:rPr>
          <w:lang w:val="en-US"/>
        </w:rPr>
      </w:pPr>
    </w:p>
    <w:p w:rsidR="00685C84" w:rsidRDefault="00685C84" w:rsidP="00685C84">
      <w:pPr>
        <w:pStyle w:val="ListParagraph"/>
        <w:numPr>
          <w:ilvl w:val="1"/>
          <w:numId w:val="10"/>
        </w:numPr>
        <w:ind w:left="720"/>
        <w:rPr>
          <w:lang w:val="en-US"/>
        </w:rPr>
      </w:pPr>
      <w:r w:rsidRPr="00685C84">
        <w:rPr>
          <w:lang w:val="en-US"/>
        </w:rPr>
        <w:t>The proposed Partnership aims to increase the effectiveness of the partnership between the Council and schools and make a genuine difference to the lives of children and young people in the face of increasing external pressures.</w:t>
      </w:r>
    </w:p>
    <w:p w:rsidR="00F72798" w:rsidRPr="00F72798" w:rsidRDefault="00F72798" w:rsidP="00F72798">
      <w:pPr>
        <w:rPr>
          <w:lang w:val="en-US"/>
        </w:rPr>
      </w:pPr>
    </w:p>
    <w:p w:rsidR="000B181B" w:rsidRDefault="0048135F" w:rsidP="000B181B">
      <w:pPr>
        <w:jc w:val="both"/>
        <w:rPr>
          <w:rFonts w:cstheme="minorHAnsi"/>
          <w:bCs/>
          <w:sz w:val="22"/>
          <w:szCs w:val="22"/>
        </w:rPr>
      </w:pPr>
      <w:r w:rsidRPr="0048135F">
        <w:rPr>
          <w:rFonts w:cstheme="minorHAnsi"/>
          <w:bCs/>
        </w:rPr>
        <w:t xml:space="preserve">The following section sets out the baseline financial information for the services which are proposed to be delivered by the School Improvement Partnership company. The baseline year is 2016/17. Projections have also been made for the transition year 2017/18 during which the partnership will be established and key staff recruited. Further projections have been made for the company when it is fully trading from 2018/19 onwards. </w:t>
      </w:r>
      <w:r w:rsidRPr="0048135F">
        <w:rPr>
          <w:rFonts w:cstheme="minorHAnsi"/>
          <w:b/>
          <w:bCs/>
        </w:rPr>
        <w:t xml:space="preserve">Overall, it is forecast that in the first year of trading (2018/19), the School Improvement Partnership company would turnover </w:t>
      </w:r>
      <w:r w:rsidRPr="0048135F">
        <w:rPr>
          <w:rFonts w:cstheme="minorHAnsi"/>
          <w:b/>
          <w:bCs/>
          <w:color w:val="000000" w:themeColor="text1"/>
        </w:rPr>
        <w:t xml:space="preserve">£2.29m, </w:t>
      </w:r>
      <w:r w:rsidRPr="0048135F">
        <w:rPr>
          <w:rFonts w:cstheme="minorHAnsi"/>
          <w:b/>
          <w:bCs/>
        </w:rPr>
        <w:t>of which £1.33m (c.60%) is traded income from schools, and would generate a surplus of £80k, after expenditure of £2.2m.</w:t>
      </w:r>
      <w:r w:rsidRPr="0048135F">
        <w:rPr>
          <w:rFonts w:cstheme="minorHAnsi"/>
          <w:bCs/>
        </w:rPr>
        <w:t xml:space="preserve"> Going forward, the company will need to make efficiencies on its cost base and/or generate additional income from LBBD schools or other sources of revenue in order to maintain viability and build up reserves, which can be reinvested into services for LBBD schools</w:t>
      </w:r>
      <w:r w:rsidR="000B181B">
        <w:rPr>
          <w:rFonts w:cstheme="minorHAnsi"/>
          <w:bCs/>
        </w:rPr>
        <w:t>.</w:t>
      </w:r>
      <w:r w:rsidR="000B181B">
        <w:rPr>
          <w:rFonts w:cstheme="minorHAnsi"/>
          <w:bCs/>
          <w:color w:val="FF0000"/>
        </w:rPr>
        <w:t xml:space="preserve"> </w:t>
      </w:r>
    </w:p>
    <w:p w:rsidR="000B181B" w:rsidRPr="000A1752" w:rsidRDefault="000B181B" w:rsidP="000B181B">
      <w:pPr>
        <w:jc w:val="both"/>
        <w:rPr>
          <w:rFonts w:cstheme="minorHAnsi"/>
          <w:bCs/>
          <w:sz w:val="22"/>
          <w:szCs w:val="22"/>
        </w:rPr>
      </w:pPr>
    </w:p>
    <w:p w:rsidR="00396CCA" w:rsidRPr="00DE4B98" w:rsidRDefault="00DE4B98" w:rsidP="00DE4B98">
      <w:pPr>
        <w:pStyle w:val="ListParagraph"/>
        <w:numPr>
          <w:ilvl w:val="1"/>
          <w:numId w:val="10"/>
        </w:numPr>
        <w:ind w:left="720"/>
        <w:rPr>
          <w:rFonts w:cs="Arial"/>
        </w:rPr>
      </w:pPr>
      <w:r w:rsidRPr="00DE4B98">
        <w:rPr>
          <w:rFonts w:cstheme="minorHAnsi"/>
          <w:bCs/>
          <w:color w:val="000000" w:themeColor="text1"/>
        </w:rPr>
        <w:t>Although current financial modelling shows a projected cumulative loss of £61k in 2021/22, it is felt that this is a reasonable additional income target for the company to achieve by that point</w:t>
      </w:r>
      <w:r>
        <w:rPr>
          <w:rFonts w:cstheme="minorHAnsi"/>
          <w:bCs/>
          <w:color w:val="000000" w:themeColor="text1"/>
        </w:rPr>
        <w:t>.</w:t>
      </w:r>
    </w:p>
    <w:p w:rsidR="00396CCA" w:rsidRPr="00396CCA" w:rsidRDefault="00396CCA" w:rsidP="00396CCA">
      <w:pPr>
        <w:pStyle w:val="ListParagraph"/>
        <w:rPr>
          <w:rFonts w:cs="Arial"/>
        </w:rPr>
      </w:pPr>
    </w:p>
    <w:p w:rsidR="00D84CD2" w:rsidRPr="00887F38" w:rsidRDefault="0019324F" w:rsidP="00637701">
      <w:pPr>
        <w:pStyle w:val="ListParagraph"/>
        <w:numPr>
          <w:ilvl w:val="1"/>
          <w:numId w:val="10"/>
        </w:numPr>
        <w:ind w:left="720"/>
        <w:rPr>
          <w:rFonts w:cs="Arial"/>
        </w:rPr>
      </w:pPr>
      <w:r w:rsidRPr="00F72798">
        <w:rPr>
          <w:rFonts w:cstheme="minorHAnsi"/>
          <w:bCs/>
        </w:rPr>
        <w:t xml:space="preserve">The following </w:t>
      </w:r>
      <w:r>
        <w:rPr>
          <w:rFonts w:cstheme="minorHAnsi"/>
          <w:bCs/>
        </w:rPr>
        <w:t>figure</w:t>
      </w:r>
      <w:r w:rsidR="00CE49F1">
        <w:rPr>
          <w:rFonts w:cstheme="minorHAnsi"/>
          <w:bCs/>
        </w:rPr>
        <w:t>s</w:t>
      </w:r>
      <w:r w:rsidR="00396CCA">
        <w:rPr>
          <w:rFonts w:cstheme="minorHAnsi"/>
          <w:bCs/>
        </w:rPr>
        <w:t xml:space="preserve"> overleaf</w:t>
      </w:r>
      <w:r w:rsidRPr="00F72798">
        <w:rPr>
          <w:rFonts w:cstheme="minorHAnsi"/>
          <w:bCs/>
        </w:rPr>
        <w:t xml:space="preserve"> </w:t>
      </w:r>
      <w:r>
        <w:rPr>
          <w:rFonts w:cstheme="minorHAnsi"/>
          <w:bCs/>
        </w:rPr>
        <w:t>detail the projected income for the School Improvement Partnership from 2017-2022, including the required increase in traded income.</w:t>
      </w:r>
    </w:p>
    <w:p w:rsidR="00887F38" w:rsidRPr="00887F38" w:rsidRDefault="00887F38" w:rsidP="00887F38">
      <w:pPr>
        <w:rPr>
          <w:rFonts w:cs="Arial"/>
        </w:rPr>
      </w:pPr>
    </w:p>
    <w:p w:rsidR="00887F38" w:rsidRPr="00DE4B98" w:rsidRDefault="00887F38" w:rsidP="00887F38">
      <w:pPr>
        <w:pStyle w:val="ListParagraph"/>
        <w:rPr>
          <w:rFonts w:cs="Arial"/>
        </w:rPr>
      </w:pPr>
    </w:p>
    <w:p w:rsidR="00DE4B98" w:rsidRDefault="00DE4B98" w:rsidP="00637701">
      <w:pPr>
        <w:pStyle w:val="ListParagraph"/>
        <w:numPr>
          <w:ilvl w:val="1"/>
          <w:numId w:val="10"/>
        </w:numPr>
        <w:ind w:left="720"/>
        <w:rPr>
          <w:rFonts w:cs="Arial"/>
        </w:rPr>
      </w:pPr>
      <w:r w:rsidRPr="00DE4B98">
        <w:rPr>
          <w:rFonts w:cstheme="minorHAnsi"/>
          <w:bCs/>
          <w:color w:val="000000" w:themeColor="text1"/>
        </w:rPr>
        <w:t>Set up costs for the new company will be taken from the projected surplus of £204k in 2017/18</w:t>
      </w:r>
    </w:p>
    <w:p w:rsidR="005D680E" w:rsidRDefault="005D680E" w:rsidP="00F31EF0">
      <w:pPr>
        <w:rPr>
          <w:rFonts w:cstheme="minorHAnsi"/>
        </w:rPr>
      </w:pPr>
    </w:p>
    <w:p w:rsidR="005A1059" w:rsidRDefault="005A1059" w:rsidP="008B0EF5">
      <w:pPr>
        <w:rPr>
          <w:rFonts w:cstheme="minorHAnsi"/>
        </w:rPr>
      </w:pPr>
    </w:p>
    <w:p w:rsidR="008B0EF5" w:rsidRDefault="008B0EF5" w:rsidP="008B0EF5">
      <w:pPr>
        <w:rPr>
          <w:lang w:val="en-US"/>
        </w:rPr>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EA4435" w:rsidRDefault="00EA4435" w:rsidP="00EA4435">
      <w:pPr>
        <w:ind w:left="142"/>
      </w:pPr>
    </w:p>
    <w:p w:rsidR="00396CCA" w:rsidRDefault="00396CCA" w:rsidP="00EA4435">
      <w:pPr>
        <w:ind w:left="142"/>
        <w:sectPr w:rsidR="00396CCA" w:rsidSect="00D2737F">
          <w:pgSz w:w="11909" w:h="16834" w:code="9"/>
          <w:pgMar w:top="1134" w:right="1134" w:bottom="1134" w:left="1134" w:header="720" w:footer="720" w:gutter="0"/>
          <w:paperSrc w:first="15" w:other="15"/>
          <w:cols w:space="720"/>
          <w:docGrid w:linePitch="360"/>
        </w:sectPr>
      </w:pPr>
    </w:p>
    <w:p w:rsidR="00EA4435" w:rsidRDefault="00EA4435" w:rsidP="00EA4435">
      <w:pPr>
        <w:ind w:left="142"/>
      </w:pPr>
    </w:p>
    <w:p w:rsidR="00EA4435" w:rsidRDefault="00EA4435" w:rsidP="00EA4435">
      <w:pPr>
        <w:ind w:left="142"/>
      </w:pPr>
    </w:p>
    <w:p w:rsidR="00EA4435" w:rsidRDefault="00EA4435" w:rsidP="00EA4435">
      <w:pPr>
        <w:ind w:left="142"/>
      </w:pPr>
    </w:p>
    <w:tbl>
      <w:tblPr>
        <w:tblW w:w="14560" w:type="dxa"/>
        <w:tblCellMar>
          <w:top w:w="15" w:type="dxa"/>
          <w:bottom w:w="15" w:type="dxa"/>
        </w:tblCellMar>
        <w:tblLook w:val="04A0" w:firstRow="1" w:lastRow="0" w:firstColumn="1" w:lastColumn="0" w:noHBand="0" w:noVBand="1"/>
      </w:tblPr>
      <w:tblGrid>
        <w:gridCol w:w="3340"/>
        <w:gridCol w:w="2110"/>
        <w:gridCol w:w="1921"/>
        <w:gridCol w:w="1687"/>
        <w:gridCol w:w="1834"/>
        <w:gridCol w:w="1834"/>
        <w:gridCol w:w="1834"/>
      </w:tblGrid>
      <w:tr w:rsidR="00396CCA" w:rsidRPr="005D0175" w:rsidTr="00FA1D71">
        <w:trPr>
          <w:trHeight w:val="330"/>
        </w:trPr>
        <w:tc>
          <w:tcPr>
            <w:tcW w:w="3340" w:type="dxa"/>
            <w:tcBorders>
              <w:top w:val="nil"/>
              <w:left w:val="nil"/>
              <w:bottom w:val="nil"/>
              <w:right w:val="nil"/>
            </w:tcBorders>
            <w:shd w:val="clear" w:color="000000" w:fill="FFFFFF"/>
            <w:noWrap/>
            <w:vAlign w:val="bottom"/>
            <w:hideMark/>
          </w:tcPr>
          <w:p w:rsidR="00396CCA" w:rsidRPr="005D0175" w:rsidRDefault="00396CCA" w:rsidP="00FA1D71">
            <w:pPr>
              <w:rPr>
                <w:rFonts w:ascii="Times New Roman" w:hAnsi="Times New Roman"/>
              </w:rPr>
            </w:pPr>
          </w:p>
        </w:tc>
        <w:tc>
          <w:tcPr>
            <w:tcW w:w="2110" w:type="dxa"/>
            <w:tcBorders>
              <w:top w:val="nil"/>
              <w:left w:val="nil"/>
              <w:bottom w:val="nil"/>
              <w:right w:val="nil"/>
            </w:tcBorders>
            <w:shd w:val="clear" w:color="000000" w:fill="C6E0B4"/>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Actuals Baseline Yr</w:t>
            </w:r>
          </w:p>
        </w:tc>
        <w:tc>
          <w:tcPr>
            <w:tcW w:w="1921" w:type="dxa"/>
            <w:tcBorders>
              <w:top w:val="nil"/>
              <w:left w:val="nil"/>
              <w:bottom w:val="nil"/>
              <w:right w:val="nil"/>
            </w:tcBorders>
            <w:shd w:val="clear" w:color="000000" w:fill="E7E6E6"/>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Budget Transition Yr</w:t>
            </w:r>
          </w:p>
        </w:tc>
        <w:tc>
          <w:tcPr>
            <w:tcW w:w="7189" w:type="dxa"/>
            <w:gridSpan w:val="4"/>
            <w:tcBorders>
              <w:top w:val="nil"/>
              <w:left w:val="nil"/>
              <w:bottom w:val="nil"/>
              <w:right w:val="nil"/>
            </w:tcBorders>
            <w:shd w:val="clear" w:color="000000" w:fill="FFF2CC"/>
            <w:vAlign w:val="center"/>
            <w:hideMark/>
          </w:tcPr>
          <w:p w:rsidR="00396CCA" w:rsidRPr="005D0175" w:rsidRDefault="00396CCA" w:rsidP="00FA1D71">
            <w:pPr>
              <w:jc w:val="center"/>
              <w:rPr>
                <w:rFonts w:ascii="Calibri" w:hAnsi="Calibri" w:cs="Calibri"/>
                <w:b/>
                <w:bCs/>
                <w:color w:val="000000"/>
                <w:sz w:val="20"/>
                <w:szCs w:val="20"/>
              </w:rPr>
            </w:pPr>
            <w:r w:rsidRPr="005D0175">
              <w:rPr>
                <w:rFonts w:ascii="Calibri" w:hAnsi="Calibri" w:cs="Calibri"/>
                <w:b/>
                <w:bCs/>
                <w:color w:val="000000"/>
                <w:sz w:val="20"/>
                <w:szCs w:val="20"/>
              </w:rPr>
              <w:t>Trading Projections for School Improvement Partnership</w:t>
            </w:r>
          </w:p>
        </w:tc>
      </w:tr>
      <w:tr w:rsidR="00396CCA" w:rsidRPr="005D0175" w:rsidTr="00FA1D71">
        <w:trPr>
          <w:trHeight w:val="630"/>
        </w:trPr>
        <w:tc>
          <w:tcPr>
            <w:tcW w:w="3340" w:type="dxa"/>
            <w:tcBorders>
              <w:top w:val="single" w:sz="8" w:space="0" w:color="FFFFFF"/>
              <w:left w:val="single" w:sz="8" w:space="0" w:color="FFFFFF"/>
              <w:bottom w:val="nil"/>
              <w:right w:val="nil"/>
            </w:tcBorders>
            <w:shd w:val="clear" w:color="000000" w:fill="FFFFFF"/>
            <w:vAlign w:val="center"/>
            <w:hideMark/>
          </w:tcPr>
          <w:p w:rsidR="00396CCA" w:rsidRPr="005D0175" w:rsidRDefault="00396CCA" w:rsidP="00FA1D71">
            <w:pPr>
              <w:jc w:val="center"/>
              <w:rPr>
                <w:rFonts w:ascii="Calibri" w:hAnsi="Calibri" w:cs="Calibri"/>
                <w:b/>
                <w:bCs/>
                <w:color w:val="000000"/>
                <w:sz w:val="20"/>
                <w:szCs w:val="20"/>
              </w:rPr>
            </w:pPr>
          </w:p>
        </w:tc>
        <w:tc>
          <w:tcPr>
            <w:tcW w:w="2110" w:type="dxa"/>
            <w:tcBorders>
              <w:top w:val="nil"/>
              <w:left w:val="nil"/>
              <w:bottom w:val="nil"/>
              <w:right w:val="nil"/>
            </w:tcBorders>
            <w:shd w:val="clear" w:color="000000" w:fill="C6E0B4"/>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2016/17</w:t>
            </w:r>
          </w:p>
        </w:tc>
        <w:tc>
          <w:tcPr>
            <w:tcW w:w="1921" w:type="dxa"/>
            <w:tcBorders>
              <w:top w:val="nil"/>
              <w:left w:val="nil"/>
              <w:bottom w:val="nil"/>
              <w:right w:val="nil"/>
            </w:tcBorders>
            <w:shd w:val="clear" w:color="000000" w:fill="E7E6E6"/>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2017/18</w:t>
            </w:r>
          </w:p>
        </w:tc>
        <w:tc>
          <w:tcPr>
            <w:tcW w:w="1687" w:type="dxa"/>
            <w:tcBorders>
              <w:top w:val="nil"/>
              <w:left w:val="nil"/>
              <w:bottom w:val="nil"/>
              <w:right w:val="nil"/>
            </w:tcBorders>
            <w:shd w:val="clear" w:color="000000" w:fill="FFF2CC"/>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2018/19</w:t>
            </w:r>
          </w:p>
        </w:tc>
        <w:tc>
          <w:tcPr>
            <w:tcW w:w="1834" w:type="dxa"/>
            <w:tcBorders>
              <w:top w:val="nil"/>
              <w:left w:val="nil"/>
              <w:bottom w:val="nil"/>
              <w:right w:val="nil"/>
            </w:tcBorders>
            <w:shd w:val="clear" w:color="000000" w:fill="FFF2CC"/>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2019/20</w:t>
            </w:r>
          </w:p>
        </w:tc>
        <w:tc>
          <w:tcPr>
            <w:tcW w:w="1834" w:type="dxa"/>
            <w:tcBorders>
              <w:top w:val="nil"/>
              <w:left w:val="nil"/>
              <w:bottom w:val="nil"/>
              <w:right w:val="nil"/>
            </w:tcBorders>
            <w:shd w:val="clear" w:color="000000" w:fill="FFF2CC"/>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2020/2021</w:t>
            </w:r>
          </w:p>
        </w:tc>
        <w:tc>
          <w:tcPr>
            <w:tcW w:w="1834" w:type="dxa"/>
            <w:tcBorders>
              <w:top w:val="nil"/>
              <w:left w:val="nil"/>
              <w:bottom w:val="nil"/>
              <w:right w:val="nil"/>
            </w:tcBorders>
            <w:shd w:val="clear" w:color="000000" w:fill="FFF2CC"/>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2021/2022</w:t>
            </w: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 xml:space="preserve">Income </w:t>
            </w:r>
          </w:p>
        </w:tc>
        <w:tc>
          <w:tcPr>
            <w:tcW w:w="2110" w:type="dxa"/>
            <w:tcBorders>
              <w:top w:val="nil"/>
              <w:left w:val="nil"/>
              <w:bottom w:val="nil"/>
              <w:right w:val="nil"/>
            </w:tcBorders>
            <w:shd w:val="clear" w:color="000000" w:fill="C6E0B4"/>
            <w:vAlign w:val="center"/>
            <w:hideMark/>
          </w:tcPr>
          <w:p w:rsidR="00396CCA" w:rsidRPr="005D0175" w:rsidRDefault="00396CCA" w:rsidP="00FA1D71">
            <w:pPr>
              <w:rPr>
                <w:rFonts w:ascii="Calibri" w:hAnsi="Calibri" w:cs="Calibri"/>
                <w:b/>
                <w:bCs/>
                <w:color w:val="000000"/>
                <w:sz w:val="20"/>
                <w:szCs w:val="20"/>
              </w:rPr>
            </w:pPr>
          </w:p>
        </w:tc>
        <w:tc>
          <w:tcPr>
            <w:tcW w:w="1921" w:type="dxa"/>
            <w:tcBorders>
              <w:top w:val="nil"/>
              <w:left w:val="nil"/>
              <w:bottom w:val="nil"/>
              <w:right w:val="nil"/>
            </w:tcBorders>
            <w:shd w:val="clear" w:color="000000" w:fill="E7E6E6"/>
            <w:vAlign w:val="center"/>
            <w:hideMark/>
          </w:tcPr>
          <w:p w:rsidR="00396CCA" w:rsidRPr="005D0175" w:rsidRDefault="00396CCA" w:rsidP="00FA1D71">
            <w:pPr>
              <w:rPr>
                <w:rFonts w:ascii="Times New Roman" w:hAnsi="Times New Roman"/>
                <w:sz w:val="20"/>
                <w:szCs w:val="20"/>
              </w:rPr>
            </w:pPr>
          </w:p>
        </w:tc>
        <w:tc>
          <w:tcPr>
            <w:tcW w:w="1687"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r>
      <w:tr w:rsidR="00396CCA" w:rsidRPr="005D0175" w:rsidTr="00FA1D71">
        <w:trPr>
          <w:trHeight w:val="6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color w:val="000000"/>
                <w:sz w:val="20"/>
                <w:szCs w:val="20"/>
              </w:rPr>
            </w:pPr>
            <w:r w:rsidRPr="005D0175">
              <w:rPr>
                <w:rFonts w:ascii="Calibri" w:hAnsi="Calibri" w:cs="Calibri"/>
                <w:color w:val="000000"/>
                <w:sz w:val="20"/>
                <w:szCs w:val="20"/>
              </w:rPr>
              <w:t>Traded income/school buy-back</w:t>
            </w:r>
          </w:p>
        </w:tc>
        <w:tc>
          <w:tcPr>
            <w:tcW w:w="2110" w:type="dxa"/>
            <w:tcBorders>
              <w:top w:val="nil"/>
              <w:left w:val="nil"/>
              <w:bottom w:val="nil"/>
              <w:right w:val="nil"/>
            </w:tcBorders>
            <w:shd w:val="clear" w:color="000000" w:fill="C6E0B4"/>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£1,263,326.51 </w:t>
            </w:r>
          </w:p>
        </w:tc>
        <w:tc>
          <w:tcPr>
            <w:tcW w:w="1921" w:type="dxa"/>
            <w:tcBorders>
              <w:top w:val="nil"/>
              <w:left w:val="nil"/>
              <w:bottom w:val="nil"/>
              <w:right w:val="nil"/>
            </w:tcBorders>
            <w:shd w:val="clear" w:color="000000" w:fill="E7E6E6"/>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£1,305,357.67 </w:t>
            </w: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£1,331,464.82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£1,358,094.12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£1,385,256.00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£1,412,961.12 </w:t>
            </w: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color w:val="000000"/>
                <w:sz w:val="20"/>
                <w:szCs w:val="20"/>
              </w:rPr>
            </w:pPr>
            <w:r w:rsidRPr="005D0175">
              <w:rPr>
                <w:rFonts w:ascii="Calibri" w:hAnsi="Calibri" w:cs="Calibri"/>
                <w:color w:val="000000"/>
                <w:sz w:val="20"/>
                <w:szCs w:val="20"/>
              </w:rPr>
              <w:t>DSG</w:t>
            </w:r>
          </w:p>
        </w:tc>
        <w:tc>
          <w:tcPr>
            <w:tcW w:w="2110" w:type="dxa"/>
            <w:tcBorders>
              <w:top w:val="nil"/>
              <w:left w:val="nil"/>
              <w:bottom w:val="nil"/>
              <w:right w:val="nil"/>
            </w:tcBorders>
            <w:shd w:val="clear" w:color="000000" w:fill="C6E0B4"/>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£330,000.00 </w:t>
            </w:r>
          </w:p>
        </w:tc>
        <w:tc>
          <w:tcPr>
            <w:tcW w:w="1921" w:type="dxa"/>
            <w:tcBorders>
              <w:top w:val="nil"/>
              <w:left w:val="nil"/>
              <w:bottom w:val="nil"/>
              <w:right w:val="nil"/>
            </w:tcBorders>
            <w:shd w:val="clear" w:color="000000" w:fill="E7E6E6"/>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£330,000.00 </w:t>
            </w: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£200,000.00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£150,000.00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£120,000.00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£100,000.00 </w:t>
            </w: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color w:val="000000"/>
                <w:sz w:val="20"/>
                <w:szCs w:val="20"/>
              </w:rPr>
            </w:pPr>
            <w:r w:rsidRPr="005D0175">
              <w:rPr>
                <w:rFonts w:ascii="Calibri" w:hAnsi="Calibri" w:cs="Calibri"/>
                <w:color w:val="000000"/>
                <w:sz w:val="20"/>
                <w:szCs w:val="20"/>
              </w:rPr>
              <w:t>Other income</w:t>
            </w:r>
          </w:p>
        </w:tc>
        <w:tc>
          <w:tcPr>
            <w:tcW w:w="2110" w:type="dxa"/>
            <w:tcBorders>
              <w:top w:val="nil"/>
              <w:left w:val="nil"/>
              <w:bottom w:val="nil"/>
              <w:right w:val="nil"/>
            </w:tcBorders>
            <w:shd w:val="clear" w:color="000000" w:fill="C6E0B4"/>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£133,009.00 </w:t>
            </w:r>
          </w:p>
        </w:tc>
        <w:tc>
          <w:tcPr>
            <w:tcW w:w="1921" w:type="dxa"/>
            <w:tcBorders>
              <w:top w:val="nil"/>
              <w:left w:val="nil"/>
              <w:bottom w:val="nil"/>
              <w:right w:val="nil"/>
            </w:tcBorders>
            <w:shd w:val="clear" w:color="000000" w:fill="E7E6E6"/>
            <w:vAlign w:val="center"/>
            <w:hideMark/>
          </w:tcPr>
          <w:p w:rsidR="00396CCA" w:rsidRPr="005D0175" w:rsidRDefault="00396CCA" w:rsidP="00FA1D71">
            <w:pPr>
              <w:jc w:val="right"/>
              <w:rPr>
                <w:rFonts w:ascii="Calibri" w:hAnsi="Calibri" w:cs="Calibri"/>
                <w:color w:val="000000"/>
                <w:sz w:val="20"/>
                <w:szCs w:val="20"/>
              </w:rPr>
            </w:pPr>
          </w:p>
        </w:tc>
        <w:tc>
          <w:tcPr>
            <w:tcW w:w="1687" w:type="dxa"/>
            <w:tcBorders>
              <w:top w:val="nil"/>
              <w:left w:val="nil"/>
              <w:bottom w:val="nil"/>
              <w:right w:val="nil"/>
            </w:tcBorders>
            <w:shd w:val="clear" w:color="000000" w:fill="FFF2CC"/>
            <w:vAlign w:val="center"/>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vAlign w:val="center"/>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vAlign w:val="center"/>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vAlign w:val="center"/>
            <w:hideMark/>
          </w:tcPr>
          <w:p w:rsidR="00396CCA" w:rsidRPr="005D0175" w:rsidRDefault="00396CCA" w:rsidP="00FA1D71">
            <w:pPr>
              <w:rPr>
                <w:rFonts w:ascii="Times New Roman" w:hAnsi="Times New Roman"/>
                <w:sz w:val="20"/>
                <w:szCs w:val="20"/>
              </w:rPr>
            </w:pP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color w:val="000000"/>
                <w:sz w:val="20"/>
                <w:szCs w:val="20"/>
              </w:rPr>
            </w:pPr>
            <w:r w:rsidRPr="005D0175">
              <w:rPr>
                <w:rFonts w:ascii="Calibri" w:hAnsi="Calibri" w:cs="Calibri"/>
                <w:color w:val="000000"/>
                <w:sz w:val="20"/>
                <w:szCs w:val="20"/>
              </w:rPr>
              <w:t>Council commission of SI</w:t>
            </w:r>
          </w:p>
        </w:tc>
        <w:tc>
          <w:tcPr>
            <w:tcW w:w="2110" w:type="dxa"/>
            <w:tcBorders>
              <w:top w:val="nil"/>
              <w:left w:val="nil"/>
              <w:bottom w:val="nil"/>
              <w:right w:val="nil"/>
            </w:tcBorders>
            <w:shd w:val="clear" w:color="000000" w:fill="C6E0B4"/>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£150,000.00 </w:t>
            </w:r>
          </w:p>
        </w:tc>
        <w:tc>
          <w:tcPr>
            <w:tcW w:w="1921" w:type="dxa"/>
            <w:tcBorders>
              <w:top w:val="nil"/>
              <w:left w:val="nil"/>
              <w:bottom w:val="nil"/>
              <w:right w:val="nil"/>
            </w:tcBorders>
            <w:shd w:val="clear" w:color="000000" w:fill="E7E6E6"/>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£150,000.00 </w:t>
            </w: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£153,000.00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£156,060.00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£159,181.20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£162,364.82 </w:t>
            </w:r>
          </w:p>
        </w:tc>
      </w:tr>
      <w:tr w:rsidR="00396CCA" w:rsidRPr="005D0175" w:rsidTr="00FA1D71">
        <w:trPr>
          <w:trHeight w:val="51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color w:val="000000"/>
                <w:sz w:val="20"/>
                <w:szCs w:val="20"/>
              </w:rPr>
            </w:pPr>
            <w:r w:rsidRPr="005D0175">
              <w:rPr>
                <w:rFonts w:ascii="Calibri" w:hAnsi="Calibri" w:cs="Calibri"/>
                <w:color w:val="000000"/>
                <w:sz w:val="20"/>
                <w:szCs w:val="20"/>
              </w:rPr>
              <w:t>Council commission of SEND/ Inclusion</w:t>
            </w:r>
          </w:p>
        </w:tc>
        <w:tc>
          <w:tcPr>
            <w:tcW w:w="2110" w:type="dxa"/>
            <w:tcBorders>
              <w:top w:val="nil"/>
              <w:left w:val="nil"/>
              <w:bottom w:val="nil"/>
              <w:right w:val="nil"/>
            </w:tcBorders>
            <w:shd w:val="clear" w:color="000000" w:fill="C6E0B4"/>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£300,000.00 </w:t>
            </w:r>
          </w:p>
        </w:tc>
        <w:tc>
          <w:tcPr>
            <w:tcW w:w="1921" w:type="dxa"/>
            <w:tcBorders>
              <w:top w:val="nil"/>
              <w:left w:val="nil"/>
              <w:bottom w:val="nil"/>
              <w:right w:val="nil"/>
            </w:tcBorders>
            <w:shd w:val="clear" w:color="000000" w:fill="E7E6E6"/>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£300,000.00 </w:t>
            </w: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£300,000.00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£300,000.00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£300,000.00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£300,000.00 </w:t>
            </w: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color w:val="000000"/>
                <w:sz w:val="20"/>
                <w:szCs w:val="20"/>
              </w:rPr>
            </w:pPr>
            <w:r w:rsidRPr="005D0175">
              <w:rPr>
                <w:rFonts w:ascii="Calibri" w:hAnsi="Calibri" w:cs="Calibri"/>
                <w:color w:val="000000"/>
                <w:sz w:val="20"/>
                <w:szCs w:val="20"/>
              </w:rPr>
              <w:t>Central Government grant funding</w:t>
            </w:r>
          </w:p>
        </w:tc>
        <w:tc>
          <w:tcPr>
            <w:tcW w:w="2110" w:type="dxa"/>
            <w:tcBorders>
              <w:top w:val="nil"/>
              <w:left w:val="nil"/>
              <w:bottom w:val="nil"/>
              <w:right w:val="nil"/>
            </w:tcBorders>
            <w:shd w:val="clear" w:color="000000" w:fill="C6E0B4"/>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£150,000.00 </w:t>
            </w:r>
          </w:p>
        </w:tc>
        <w:tc>
          <w:tcPr>
            <w:tcW w:w="1921" w:type="dxa"/>
            <w:tcBorders>
              <w:top w:val="nil"/>
              <w:left w:val="nil"/>
              <w:bottom w:val="nil"/>
              <w:right w:val="nil"/>
            </w:tcBorders>
            <w:shd w:val="clear" w:color="000000" w:fill="E7E6E6"/>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£150,000.00 </w:t>
            </w: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£150,000.00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£135,000.00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£121,500.00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£109,350.00 </w:t>
            </w: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color w:val="000000"/>
                <w:sz w:val="20"/>
                <w:szCs w:val="20"/>
              </w:rPr>
            </w:pPr>
            <w:r w:rsidRPr="005D0175">
              <w:rPr>
                <w:rFonts w:ascii="Calibri" w:hAnsi="Calibri" w:cs="Calibri"/>
                <w:color w:val="000000"/>
                <w:sz w:val="20"/>
                <w:szCs w:val="20"/>
              </w:rPr>
              <w:t>Corporate overhead contribution</w:t>
            </w:r>
          </w:p>
        </w:tc>
        <w:tc>
          <w:tcPr>
            <w:tcW w:w="2110" w:type="dxa"/>
            <w:tcBorders>
              <w:top w:val="nil"/>
              <w:left w:val="nil"/>
              <w:bottom w:val="nil"/>
              <w:right w:val="nil"/>
            </w:tcBorders>
            <w:shd w:val="clear" w:color="000000" w:fill="C6E0B4"/>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£135,364.00 </w:t>
            </w:r>
          </w:p>
        </w:tc>
        <w:tc>
          <w:tcPr>
            <w:tcW w:w="1921" w:type="dxa"/>
            <w:tcBorders>
              <w:top w:val="nil"/>
              <w:left w:val="nil"/>
              <w:bottom w:val="nil"/>
              <w:right w:val="nil"/>
            </w:tcBorders>
            <w:shd w:val="clear" w:color="000000" w:fill="E7E6E6"/>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£135,364.00 </w:t>
            </w: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£135,364.00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£135,364.00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£135,364.00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£135,364.00 </w:t>
            </w: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color w:val="000000"/>
                <w:sz w:val="20"/>
                <w:szCs w:val="20"/>
              </w:rPr>
            </w:pPr>
            <w:r w:rsidRPr="005D0175">
              <w:rPr>
                <w:rFonts w:ascii="Calibri" w:hAnsi="Calibri" w:cs="Calibri"/>
                <w:color w:val="000000"/>
                <w:sz w:val="20"/>
                <w:szCs w:val="20"/>
              </w:rPr>
              <w:t>School membership fee</w:t>
            </w:r>
          </w:p>
        </w:tc>
        <w:tc>
          <w:tcPr>
            <w:tcW w:w="2110" w:type="dxa"/>
            <w:tcBorders>
              <w:top w:val="nil"/>
              <w:left w:val="nil"/>
              <w:bottom w:val="nil"/>
              <w:right w:val="nil"/>
            </w:tcBorders>
            <w:shd w:val="clear" w:color="000000" w:fill="C6E0B4"/>
            <w:vAlign w:val="center"/>
            <w:hideMark/>
          </w:tcPr>
          <w:p w:rsidR="00396CCA" w:rsidRPr="005D0175" w:rsidRDefault="00396CCA" w:rsidP="00FA1D71">
            <w:pPr>
              <w:rPr>
                <w:rFonts w:ascii="Calibri" w:hAnsi="Calibri" w:cs="Calibri"/>
                <w:color w:val="000000"/>
                <w:sz w:val="20"/>
                <w:szCs w:val="20"/>
              </w:rPr>
            </w:pPr>
          </w:p>
        </w:tc>
        <w:tc>
          <w:tcPr>
            <w:tcW w:w="1921" w:type="dxa"/>
            <w:tcBorders>
              <w:top w:val="nil"/>
              <w:left w:val="nil"/>
              <w:bottom w:val="nil"/>
              <w:right w:val="nil"/>
            </w:tcBorders>
            <w:shd w:val="clear" w:color="000000" w:fill="E7E6E6"/>
            <w:vAlign w:val="center"/>
            <w:hideMark/>
          </w:tcPr>
          <w:p w:rsidR="00396CCA" w:rsidRPr="005D0175" w:rsidRDefault="00396CCA" w:rsidP="00FA1D71">
            <w:pPr>
              <w:rPr>
                <w:rFonts w:ascii="Times New Roman" w:hAnsi="Times New Roman"/>
                <w:sz w:val="20"/>
                <w:szCs w:val="20"/>
              </w:rPr>
            </w:pP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£16,800.00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£16,800.00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£16,800.00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color w:val="000000"/>
                <w:sz w:val="20"/>
                <w:szCs w:val="20"/>
              </w:rPr>
            </w:pPr>
            <w:r w:rsidRPr="005D0175">
              <w:rPr>
                <w:rFonts w:ascii="Calibri" w:hAnsi="Calibri" w:cs="Calibri"/>
                <w:color w:val="000000"/>
                <w:sz w:val="20"/>
                <w:szCs w:val="20"/>
              </w:rPr>
              <w:t xml:space="preserve"> £16,800.00 </w:t>
            </w: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Total Income</w:t>
            </w:r>
          </w:p>
        </w:tc>
        <w:tc>
          <w:tcPr>
            <w:tcW w:w="2110" w:type="dxa"/>
            <w:tcBorders>
              <w:top w:val="nil"/>
              <w:left w:val="nil"/>
              <w:bottom w:val="nil"/>
              <w:right w:val="nil"/>
            </w:tcBorders>
            <w:shd w:val="clear" w:color="000000" w:fill="C6E0B4"/>
            <w:vAlign w:val="center"/>
            <w:hideMark/>
          </w:tcPr>
          <w:p w:rsidR="00396CCA" w:rsidRPr="005D0175" w:rsidRDefault="00396CCA" w:rsidP="00FA1D71">
            <w:pPr>
              <w:jc w:val="right"/>
              <w:rPr>
                <w:rFonts w:ascii="Calibri" w:hAnsi="Calibri" w:cs="Calibri"/>
                <w:b/>
                <w:bCs/>
                <w:color w:val="000000"/>
                <w:sz w:val="20"/>
                <w:szCs w:val="20"/>
              </w:rPr>
            </w:pPr>
            <w:r w:rsidRPr="005D0175">
              <w:rPr>
                <w:rFonts w:ascii="Calibri" w:hAnsi="Calibri" w:cs="Calibri"/>
                <w:b/>
                <w:bCs/>
                <w:color w:val="000000"/>
                <w:sz w:val="20"/>
                <w:szCs w:val="20"/>
              </w:rPr>
              <w:t xml:space="preserve"> £2,461,699.51 </w:t>
            </w:r>
          </w:p>
        </w:tc>
        <w:tc>
          <w:tcPr>
            <w:tcW w:w="1921" w:type="dxa"/>
            <w:tcBorders>
              <w:top w:val="nil"/>
              <w:left w:val="nil"/>
              <w:bottom w:val="nil"/>
              <w:right w:val="nil"/>
            </w:tcBorders>
            <w:shd w:val="clear" w:color="000000" w:fill="E7E6E6"/>
            <w:vAlign w:val="center"/>
            <w:hideMark/>
          </w:tcPr>
          <w:p w:rsidR="00396CCA" w:rsidRPr="005D0175" w:rsidRDefault="00396CCA" w:rsidP="00FA1D71">
            <w:pPr>
              <w:jc w:val="right"/>
              <w:rPr>
                <w:rFonts w:ascii="Calibri" w:hAnsi="Calibri" w:cs="Calibri"/>
                <w:b/>
                <w:bCs/>
                <w:color w:val="000000"/>
                <w:sz w:val="20"/>
                <w:szCs w:val="20"/>
              </w:rPr>
            </w:pPr>
            <w:r w:rsidRPr="005D0175">
              <w:rPr>
                <w:rFonts w:ascii="Calibri" w:hAnsi="Calibri" w:cs="Calibri"/>
                <w:b/>
                <w:bCs/>
                <w:color w:val="000000"/>
                <w:sz w:val="20"/>
                <w:szCs w:val="20"/>
              </w:rPr>
              <w:t xml:space="preserve"> £2,370,721.67 </w:t>
            </w: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b/>
                <w:bCs/>
                <w:color w:val="000000"/>
                <w:sz w:val="20"/>
                <w:szCs w:val="20"/>
              </w:rPr>
            </w:pPr>
            <w:r w:rsidRPr="005D0175">
              <w:rPr>
                <w:rFonts w:ascii="Calibri" w:hAnsi="Calibri" w:cs="Calibri"/>
                <w:b/>
                <w:bCs/>
                <w:color w:val="000000"/>
                <w:sz w:val="20"/>
                <w:szCs w:val="20"/>
              </w:rPr>
              <w:t xml:space="preserve"> £2,286,628.82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b/>
                <w:bCs/>
                <w:color w:val="000000"/>
                <w:sz w:val="20"/>
                <w:szCs w:val="20"/>
              </w:rPr>
            </w:pPr>
            <w:r w:rsidRPr="005D0175">
              <w:rPr>
                <w:rFonts w:ascii="Calibri" w:hAnsi="Calibri" w:cs="Calibri"/>
                <w:b/>
                <w:bCs/>
                <w:color w:val="000000"/>
                <w:sz w:val="20"/>
                <w:szCs w:val="20"/>
              </w:rPr>
              <w:t xml:space="preserve"> £2,251,318.12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b/>
                <w:bCs/>
                <w:color w:val="000000"/>
                <w:sz w:val="20"/>
                <w:szCs w:val="20"/>
              </w:rPr>
            </w:pPr>
            <w:r w:rsidRPr="005D0175">
              <w:rPr>
                <w:rFonts w:ascii="Calibri" w:hAnsi="Calibri" w:cs="Calibri"/>
                <w:b/>
                <w:bCs/>
                <w:color w:val="000000"/>
                <w:sz w:val="20"/>
                <w:szCs w:val="20"/>
              </w:rPr>
              <w:t xml:space="preserve"> £2,238,101.20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b/>
                <w:bCs/>
                <w:color w:val="000000"/>
                <w:sz w:val="20"/>
                <w:szCs w:val="20"/>
              </w:rPr>
            </w:pPr>
            <w:r w:rsidRPr="005D0175">
              <w:rPr>
                <w:rFonts w:ascii="Calibri" w:hAnsi="Calibri" w:cs="Calibri"/>
                <w:b/>
                <w:bCs/>
                <w:color w:val="000000"/>
                <w:sz w:val="20"/>
                <w:szCs w:val="20"/>
              </w:rPr>
              <w:t xml:space="preserve"> £2,236,839.95 </w:t>
            </w: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jc w:val="right"/>
              <w:rPr>
                <w:rFonts w:ascii="Calibri" w:hAnsi="Calibri" w:cs="Calibri"/>
                <w:b/>
                <w:bCs/>
                <w:color w:val="000000"/>
                <w:sz w:val="20"/>
                <w:szCs w:val="20"/>
              </w:rPr>
            </w:pPr>
          </w:p>
        </w:tc>
        <w:tc>
          <w:tcPr>
            <w:tcW w:w="2110" w:type="dxa"/>
            <w:tcBorders>
              <w:top w:val="nil"/>
              <w:left w:val="nil"/>
              <w:bottom w:val="nil"/>
              <w:right w:val="nil"/>
            </w:tcBorders>
            <w:shd w:val="clear" w:color="000000" w:fill="C6E0B4"/>
            <w:vAlign w:val="center"/>
            <w:hideMark/>
          </w:tcPr>
          <w:p w:rsidR="00396CCA" w:rsidRPr="005D0175" w:rsidRDefault="00396CCA" w:rsidP="00FA1D71">
            <w:pPr>
              <w:rPr>
                <w:rFonts w:ascii="Times New Roman" w:hAnsi="Times New Roman"/>
                <w:sz w:val="20"/>
                <w:szCs w:val="20"/>
              </w:rPr>
            </w:pPr>
          </w:p>
        </w:tc>
        <w:tc>
          <w:tcPr>
            <w:tcW w:w="1921" w:type="dxa"/>
            <w:tcBorders>
              <w:top w:val="nil"/>
              <w:left w:val="nil"/>
              <w:bottom w:val="nil"/>
              <w:right w:val="nil"/>
            </w:tcBorders>
            <w:shd w:val="clear" w:color="000000" w:fill="E7E6E6"/>
            <w:vAlign w:val="center"/>
            <w:hideMark/>
          </w:tcPr>
          <w:p w:rsidR="00396CCA" w:rsidRPr="005D0175" w:rsidRDefault="00396CCA" w:rsidP="00FA1D71">
            <w:pPr>
              <w:rPr>
                <w:rFonts w:ascii="Times New Roman" w:hAnsi="Times New Roman"/>
                <w:sz w:val="20"/>
                <w:szCs w:val="20"/>
              </w:rPr>
            </w:pPr>
          </w:p>
        </w:tc>
        <w:tc>
          <w:tcPr>
            <w:tcW w:w="1687"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Expenditure</w:t>
            </w:r>
          </w:p>
        </w:tc>
        <w:tc>
          <w:tcPr>
            <w:tcW w:w="2110" w:type="dxa"/>
            <w:tcBorders>
              <w:top w:val="nil"/>
              <w:left w:val="nil"/>
              <w:bottom w:val="nil"/>
              <w:right w:val="nil"/>
            </w:tcBorders>
            <w:shd w:val="clear" w:color="000000" w:fill="C6E0B4"/>
            <w:vAlign w:val="center"/>
            <w:hideMark/>
          </w:tcPr>
          <w:p w:rsidR="00396CCA" w:rsidRPr="005D0175" w:rsidRDefault="00396CCA" w:rsidP="00FA1D71">
            <w:pPr>
              <w:rPr>
                <w:rFonts w:ascii="Calibri" w:hAnsi="Calibri" w:cs="Calibri"/>
                <w:b/>
                <w:bCs/>
                <w:color w:val="000000"/>
                <w:sz w:val="20"/>
                <w:szCs w:val="20"/>
              </w:rPr>
            </w:pPr>
          </w:p>
        </w:tc>
        <w:tc>
          <w:tcPr>
            <w:tcW w:w="1921" w:type="dxa"/>
            <w:tcBorders>
              <w:top w:val="nil"/>
              <w:left w:val="nil"/>
              <w:bottom w:val="nil"/>
              <w:right w:val="nil"/>
            </w:tcBorders>
            <w:shd w:val="clear" w:color="000000" w:fill="E7E6E6"/>
            <w:vAlign w:val="center"/>
            <w:hideMark/>
          </w:tcPr>
          <w:p w:rsidR="00396CCA" w:rsidRPr="005D0175" w:rsidRDefault="00396CCA" w:rsidP="00FA1D71">
            <w:pPr>
              <w:rPr>
                <w:rFonts w:ascii="Times New Roman" w:hAnsi="Times New Roman"/>
                <w:sz w:val="20"/>
                <w:szCs w:val="20"/>
              </w:rPr>
            </w:pPr>
          </w:p>
        </w:tc>
        <w:tc>
          <w:tcPr>
            <w:tcW w:w="1687" w:type="dxa"/>
            <w:tcBorders>
              <w:top w:val="nil"/>
              <w:left w:val="nil"/>
              <w:bottom w:val="nil"/>
              <w:right w:val="nil"/>
            </w:tcBorders>
            <w:shd w:val="clear" w:color="000000" w:fill="FFF2CC"/>
            <w:vAlign w:val="center"/>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vAlign w:val="center"/>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vAlign w:val="center"/>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vAlign w:val="center"/>
            <w:hideMark/>
          </w:tcPr>
          <w:p w:rsidR="00396CCA" w:rsidRPr="005D0175" w:rsidRDefault="00396CCA" w:rsidP="00FA1D71">
            <w:pPr>
              <w:rPr>
                <w:rFonts w:ascii="Times New Roman" w:hAnsi="Times New Roman"/>
                <w:sz w:val="20"/>
                <w:szCs w:val="20"/>
              </w:rPr>
            </w:pP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color w:val="000000"/>
                <w:sz w:val="20"/>
                <w:szCs w:val="20"/>
              </w:rPr>
            </w:pPr>
            <w:r w:rsidRPr="005D0175">
              <w:rPr>
                <w:rFonts w:ascii="Calibri" w:hAnsi="Calibri" w:cs="Calibri"/>
                <w:color w:val="000000"/>
                <w:sz w:val="20"/>
                <w:szCs w:val="20"/>
              </w:rPr>
              <w:t>Salaries and oncosts</w:t>
            </w:r>
          </w:p>
        </w:tc>
        <w:tc>
          <w:tcPr>
            <w:tcW w:w="2110" w:type="dxa"/>
            <w:tcBorders>
              <w:top w:val="nil"/>
              <w:left w:val="nil"/>
              <w:bottom w:val="nil"/>
              <w:right w:val="nil"/>
            </w:tcBorders>
            <w:shd w:val="clear" w:color="000000" w:fill="C6E0B4"/>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-£1,903,316.00 </w:t>
            </w:r>
          </w:p>
        </w:tc>
        <w:tc>
          <w:tcPr>
            <w:tcW w:w="1921" w:type="dxa"/>
            <w:tcBorders>
              <w:top w:val="nil"/>
              <w:left w:val="nil"/>
              <w:bottom w:val="nil"/>
              <w:right w:val="nil"/>
            </w:tcBorders>
            <w:shd w:val="clear" w:color="000000" w:fill="E7E6E6"/>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-£1,988,772.35 </w:t>
            </w: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-£2,028,547.80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-£2,069,118.75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-£2,110,501.13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-£2,152,711.15 </w:t>
            </w: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color w:val="000000"/>
                <w:sz w:val="20"/>
                <w:szCs w:val="20"/>
              </w:rPr>
            </w:pPr>
            <w:r w:rsidRPr="005D0175">
              <w:rPr>
                <w:rFonts w:ascii="Calibri" w:hAnsi="Calibri" w:cs="Calibri"/>
                <w:color w:val="000000"/>
                <w:sz w:val="20"/>
                <w:szCs w:val="20"/>
              </w:rPr>
              <w:t>Recharges/overheads</w:t>
            </w:r>
          </w:p>
        </w:tc>
        <w:tc>
          <w:tcPr>
            <w:tcW w:w="2110" w:type="dxa"/>
            <w:tcBorders>
              <w:top w:val="nil"/>
              <w:left w:val="nil"/>
              <w:bottom w:val="nil"/>
              <w:right w:val="nil"/>
            </w:tcBorders>
            <w:shd w:val="clear" w:color="000000" w:fill="C6E0B4"/>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-£135,364.00 </w:t>
            </w:r>
          </w:p>
        </w:tc>
        <w:tc>
          <w:tcPr>
            <w:tcW w:w="1921" w:type="dxa"/>
            <w:tcBorders>
              <w:top w:val="nil"/>
              <w:left w:val="nil"/>
              <w:bottom w:val="nil"/>
              <w:right w:val="nil"/>
            </w:tcBorders>
            <w:shd w:val="clear" w:color="000000" w:fill="E7E6E6"/>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-£135,364.00 </w:t>
            </w: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-£135,364.00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-£135,364.00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-£135,364.00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-£135,364.00 </w:t>
            </w: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color w:val="000000"/>
                <w:sz w:val="20"/>
                <w:szCs w:val="20"/>
              </w:rPr>
            </w:pPr>
            <w:r w:rsidRPr="005D0175">
              <w:rPr>
                <w:rFonts w:ascii="Calibri" w:hAnsi="Calibri" w:cs="Calibri"/>
                <w:color w:val="000000"/>
                <w:sz w:val="20"/>
                <w:szCs w:val="20"/>
              </w:rPr>
              <w:t>Other costs</w:t>
            </w:r>
          </w:p>
        </w:tc>
        <w:tc>
          <w:tcPr>
            <w:tcW w:w="2110" w:type="dxa"/>
            <w:tcBorders>
              <w:top w:val="nil"/>
              <w:left w:val="nil"/>
              <w:bottom w:val="nil"/>
              <w:right w:val="nil"/>
            </w:tcBorders>
            <w:shd w:val="clear" w:color="000000" w:fill="C6E0B4"/>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-£41,742.00 </w:t>
            </w:r>
          </w:p>
        </w:tc>
        <w:tc>
          <w:tcPr>
            <w:tcW w:w="1921" w:type="dxa"/>
            <w:tcBorders>
              <w:top w:val="nil"/>
              <w:left w:val="nil"/>
              <w:bottom w:val="nil"/>
              <w:right w:val="nil"/>
            </w:tcBorders>
            <w:shd w:val="clear" w:color="000000" w:fill="E7E6E6"/>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-£41,742.00 </w:t>
            </w: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-£42,576.84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-£42,576.84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-£43,428.38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 xml:space="preserve">-£43,428.38 </w:t>
            </w: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Total Expenditure</w:t>
            </w:r>
          </w:p>
        </w:tc>
        <w:tc>
          <w:tcPr>
            <w:tcW w:w="2110" w:type="dxa"/>
            <w:tcBorders>
              <w:top w:val="nil"/>
              <w:left w:val="nil"/>
              <w:bottom w:val="nil"/>
              <w:right w:val="nil"/>
            </w:tcBorders>
            <w:shd w:val="clear" w:color="000000" w:fill="C6E0B4"/>
            <w:vAlign w:val="center"/>
            <w:hideMark/>
          </w:tcPr>
          <w:p w:rsidR="00396CCA" w:rsidRPr="005D0175" w:rsidRDefault="00396CCA" w:rsidP="00FA1D71">
            <w:pPr>
              <w:jc w:val="right"/>
              <w:rPr>
                <w:rFonts w:ascii="Calibri" w:hAnsi="Calibri" w:cs="Calibri"/>
                <w:b/>
                <w:bCs/>
                <w:sz w:val="20"/>
                <w:szCs w:val="20"/>
              </w:rPr>
            </w:pPr>
            <w:r w:rsidRPr="005D0175">
              <w:rPr>
                <w:rFonts w:ascii="Calibri" w:hAnsi="Calibri" w:cs="Calibri"/>
                <w:b/>
                <w:bCs/>
                <w:sz w:val="20"/>
                <w:szCs w:val="20"/>
              </w:rPr>
              <w:t xml:space="preserve">-£2,080,422.00 </w:t>
            </w:r>
          </w:p>
        </w:tc>
        <w:tc>
          <w:tcPr>
            <w:tcW w:w="1921" w:type="dxa"/>
            <w:tcBorders>
              <w:top w:val="nil"/>
              <w:left w:val="nil"/>
              <w:bottom w:val="nil"/>
              <w:right w:val="nil"/>
            </w:tcBorders>
            <w:shd w:val="clear" w:color="000000" w:fill="E7E6E6"/>
            <w:vAlign w:val="center"/>
            <w:hideMark/>
          </w:tcPr>
          <w:p w:rsidR="00396CCA" w:rsidRPr="005D0175" w:rsidRDefault="00396CCA" w:rsidP="00FA1D71">
            <w:pPr>
              <w:jc w:val="right"/>
              <w:rPr>
                <w:rFonts w:ascii="Calibri" w:hAnsi="Calibri" w:cs="Calibri"/>
                <w:b/>
                <w:bCs/>
                <w:sz w:val="20"/>
                <w:szCs w:val="20"/>
              </w:rPr>
            </w:pPr>
            <w:r w:rsidRPr="005D0175">
              <w:rPr>
                <w:rFonts w:ascii="Calibri" w:hAnsi="Calibri" w:cs="Calibri"/>
                <w:b/>
                <w:bCs/>
                <w:sz w:val="20"/>
                <w:szCs w:val="20"/>
              </w:rPr>
              <w:t xml:space="preserve">-£2,165,878.35 </w:t>
            </w: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b/>
                <w:bCs/>
                <w:sz w:val="20"/>
                <w:szCs w:val="20"/>
              </w:rPr>
            </w:pPr>
            <w:r w:rsidRPr="005D0175">
              <w:rPr>
                <w:rFonts w:ascii="Calibri" w:hAnsi="Calibri" w:cs="Calibri"/>
                <w:b/>
                <w:bCs/>
                <w:sz w:val="20"/>
                <w:szCs w:val="20"/>
              </w:rPr>
              <w:t xml:space="preserve">-£2,206,488.64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b/>
                <w:bCs/>
                <w:sz w:val="20"/>
                <w:szCs w:val="20"/>
              </w:rPr>
            </w:pPr>
            <w:r w:rsidRPr="005D0175">
              <w:rPr>
                <w:rFonts w:ascii="Calibri" w:hAnsi="Calibri" w:cs="Calibri"/>
                <w:b/>
                <w:bCs/>
                <w:sz w:val="20"/>
                <w:szCs w:val="20"/>
              </w:rPr>
              <w:t xml:space="preserve">-£2,247,059.59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b/>
                <w:bCs/>
                <w:sz w:val="20"/>
                <w:szCs w:val="20"/>
              </w:rPr>
            </w:pPr>
            <w:r w:rsidRPr="005D0175">
              <w:rPr>
                <w:rFonts w:ascii="Calibri" w:hAnsi="Calibri" w:cs="Calibri"/>
                <w:b/>
                <w:bCs/>
                <w:sz w:val="20"/>
                <w:szCs w:val="20"/>
              </w:rPr>
              <w:t xml:space="preserve">-£2,289,293.50 </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b/>
                <w:bCs/>
                <w:sz w:val="20"/>
                <w:szCs w:val="20"/>
              </w:rPr>
            </w:pPr>
            <w:r w:rsidRPr="005D0175">
              <w:rPr>
                <w:rFonts w:ascii="Calibri" w:hAnsi="Calibri" w:cs="Calibri"/>
                <w:b/>
                <w:bCs/>
                <w:sz w:val="20"/>
                <w:szCs w:val="20"/>
              </w:rPr>
              <w:t xml:space="preserve">-£2,331,503.53 </w:t>
            </w: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jc w:val="right"/>
              <w:rPr>
                <w:rFonts w:ascii="Calibri" w:hAnsi="Calibri" w:cs="Calibri"/>
                <w:b/>
                <w:bCs/>
                <w:sz w:val="20"/>
                <w:szCs w:val="20"/>
              </w:rPr>
            </w:pPr>
          </w:p>
        </w:tc>
        <w:tc>
          <w:tcPr>
            <w:tcW w:w="2110" w:type="dxa"/>
            <w:tcBorders>
              <w:top w:val="nil"/>
              <w:left w:val="nil"/>
              <w:bottom w:val="nil"/>
              <w:right w:val="nil"/>
            </w:tcBorders>
            <w:shd w:val="clear" w:color="000000" w:fill="C6E0B4"/>
            <w:vAlign w:val="center"/>
            <w:hideMark/>
          </w:tcPr>
          <w:p w:rsidR="00396CCA" w:rsidRPr="005D0175" w:rsidRDefault="00396CCA" w:rsidP="00FA1D71">
            <w:pPr>
              <w:rPr>
                <w:rFonts w:ascii="Times New Roman" w:hAnsi="Times New Roman"/>
                <w:sz w:val="20"/>
                <w:szCs w:val="20"/>
              </w:rPr>
            </w:pPr>
          </w:p>
        </w:tc>
        <w:tc>
          <w:tcPr>
            <w:tcW w:w="1921" w:type="dxa"/>
            <w:tcBorders>
              <w:top w:val="nil"/>
              <w:left w:val="nil"/>
              <w:bottom w:val="nil"/>
              <w:right w:val="nil"/>
            </w:tcBorders>
            <w:shd w:val="clear" w:color="000000" w:fill="E7E6E6"/>
            <w:vAlign w:val="center"/>
            <w:hideMark/>
          </w:tcPr>
          <w:p w:rsidR="00396CCA" w:rsidRPr="005D0175" w:rsidRDefault="00396CCA" w:rsidP="00FA1D71">
            <w:pPr>
              <w:rPr>
                <w:rFonts w:ascii="Times New Roman" w:hAnsi="Times New Roman"/>
                <w:sz w:val="20"/>
                <w:szCs w:val="20"/>
              </w:rPr>
            </w:pPr>
          </w:p>
        </w:tc>
        <w:tc>
          <w:tcPr>
            <w:tcW w:w="1687"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 xml:space="preserve">Surplus </w:t>
            </w:r>
            <w:r w:rsidRPr="005D0175">
              <w:rPr>
                <w:rFonts w:ascii="Calibri" w:hAnsi="Calibri" w:cs="Calibri"/>
                <w:b/>
                <w:bCs/>
                <w:color w:val="FF0000"/>
                <w:sz w:val="20"/>
                <w:szCs w:val="20"/>
              </w:rPr>
              <w:t>(Loss)</w:t>
            </w:r>
          </w:p>
        </w:tc>
        <w:tc>
          <w:tcPr>
            <w:tcW w:w="2110" w:type="dxa"/>
            <w:tcBorders>
              <w:top w:val="nil"/>
              <w:left w:val="nil"/>
              <w:bottom w:val="nil"/>
              <w:right w:val="nil"/>
            </w:tcBorders>
            <w:shd w:val="clear" w:color="000000" w:fill="C6E0B4"/>
            <w:vAlign w:val="center"/>
            <w:hideMark/>
          </w:tcPr>
          <w:p w:rsidR="00396CCA" w:rsidRPr="005D0175" w:rsidRDefault="00396CCA" w:rsidP="00FA1D71">
            <w:pPr>
              <w:jc w:val="right"/>
              <w:rPr>
                <w:rFonts w:ascii="Calibri" w:hAnsi="Calibri" w:cs="Calibri"/>
                <w:b/>
                <w:bCs/>
                <w:sz w:val="20"/>
                <w:szCs w:val="20"/>
              </w:rPr>
            </w:pPr>
            <w:r w:rsidRPr="005D0175">
              <w:rPr>
                <w:rFonts w:ascii="Calibri" w:hAnsi="Calibri" w:cs="Calibri"/>
                <w:b/>
                <w:bCs/>
                <w:sz w:val="20"/>
                <w:szCs w:val="20"/>
              </w:rPr>
              <w:t>£381,277.51</w:t>
            </w:r>
          </w:p>
        </w:tc>
        <w:tc>
          <w:tcPr>
            <w:tcW w:w="1921" w:type="dxa"/>
            <w:tcBorders>
              <w:top w:val="nil"/>
              <w:left w:val="nil"/>
              <w:bottom w:val="nil"/>
              <w:right w:val="nil"/>
            </w:tcBorders>
            <w:shd w:val="clear" w:color="000000" w:fill="E7E6E6"/>
            <w:vAlign w:val="center"/>
            <w:hideMark/>
          </w:tcPr>
          <w:p w:rsidR="00396CCA" w:rsidRPr="005D0175" w:rsidRDefault="00396CCA" w:rsidP="00FA1D71">
            <w:pPr>
              <w:jc w:val="right"/>
              <w:rPr>
                <w:rFonts w:ascii="Calibri" w:hAnsi="Calibri" w:cs="Calibri"/>
                <w:b/>
                <w:bCs/>
                <w:sz w:val="20"/>
                <w:szCs w:val="20"/>
              </w:rPr>
            </w:pPr>
            <w:r w:rsidRPr="005D0175">
              <w:rPr>
                <w:rFonts w:ascii="Calibri" w:hAnsi="Calibri" w:cs="Calibri"/>
                <w:b/>
                <w:bCs/>
                <w:sz w:val="20"/>
                <w:szCs w:val="20"/>
              </w:rPr>
              <w:t>£204,843.32</w:t>
            </w: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b/>
                <w:bCs/>
                <w:sz w:val="20"/>
                <w:szCs w:val="20"/>
              </w:rPr>
            </w:pPr>
            <w:r w:rsidRPr="005D0175">
              <w:rPr>
                <w:rFonts w:ascii="Calibri" w:hAnsi="Calibri" w:cs="Calibri"/>
                <w:b/>
                <w:bCs/>
                <w:sz w:val="20"/>
                <w:szCs w:val="20"/>
              </w:rPr>
              <w:t>£80,140.19</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b/>
                <w:bCs/>
                <w:sz w:val="20"/>
                <w:szCs w:val="20"/>
              </w:rPr>
            </w:pPr>
            <w:r w:rsidRPr="005D0175">
              <w:rPr>
                <w:rFonts w:ascii="Calibri" w:hAnsi="Calibri" w:cs="Calibri"/>
                <w:b/>
                <w:bCs/>
                <w:sz w:val="20"/>
                <w:szCs w:val="20"/>
              </w:rPr>
              <w:t>£4,258.53</w:t>
            </w:r>
          </w:p>
        </w:tc>
        <w:tc>
          <w:tcPr>
            <w:tcW w:w="1834" w:type="dxa"/>
            <w:tcBorders>
              <w:top w:val="nil"/>
              <w:left w:val="nil"/>
              <w:bottom w:val="nil"/>
              <w:right w:val="nil"/>
            </w:tcBorders>
            <w:shd w:val="clear" w:color="000000" w:fill="FFF2CC"/>
            <w:vAlign w:val="center"/>
            <w:hideMark/>
          </w:tcPr>
          <w:p w:rsidR="00396CCA" w:rsidRPr="005D0175" w:rsidRDefault="0048135F" w:rsidP="00FA1D71">
            <w:pPr>
              <w:jc w:val="right"/>
              <w:rPr>
                <w:rFonts w:ascii="Calibri" w:hAnsi="Calibri" w:cs="Calibri"/>
                <w:b/>
                <w:bCs/>
                <w:sz w:val="20"/>
                <w:szCs w:val="20"/>
              </w:rPr>
            </w:pPr>
            <w:r>
              <w:rPr>
                <w:rFonts w:ascii="Calibri" w:hAnsi="Calibri" w:cs="Calibri"/>
                <w:b/>
                <w:bCs/>
                <w:sz w:val="20"/>
                <w:szCs w:val="20"/>
              </w:rPr>
              <w:t>(</w:t>
            </w:r>
            <w:r w:rsidR="00396CCA" w:rsidRPr="005D0175">
              <w:rPr>
                <w:rFonts w:ascii="Calibri" w:hAnsi="Calibri" w:cs="Calibri"/>
                <w:b/>
                <w:bCs/>
                <w:sz w:val="20"/>
                <w:szCs w:val="20"/>
              </w:rPr>
              <w:t>£51,192.30</w:t>
            </w:r>
            <w:r>
              <w:rPr>
                <w:rFonts w:ascii="Calibri" w:hAnsi="Calibri" w:cs="Calibri"/>
                <w:b/>
                <w:bCs/>
                <w:sz w:val="20"/>
                <w:szCs w:val="20"/>
              </w:rPr>
              <w:t>)</w:t>
            </w:r>
          </w:p>
        </w:tc>
        <w:tc>
          <w:tcPr>
            <w:tcW w:w="1834" w:type="dxa"/>
            <w:tcBorders>
              <w:top w:val="nil"/>
              <w:left w:val="nil"/>
              <w:bottom w:val="nil"/>
              <w:right w:val="nil"/>
            </w:tcBorders>
            <w:shd w:val="clear" w:color="000000" w:fill="FFF2CC"/>
            <w:vAlign w:val="center"/>
            <w:hideMark/>
          </w:tcPr>
          <w:p w:rsidR="00396CCA" w:rsidRPr="005D0175" w:rsidRDefault="0048135F" w:rsidP="00FA1D71">
            <w:pPr>
              <w:jc w:val="right"/>
              <w:rPr>
                <w:rFonts w:ascii="Calibri" w:hAnsi="Calibri" w:cs="Calibri"/>
                <w:b/>
                <w:bCs/>
                <w:sz w:val="20"/>
                <w:szCs w:val="20"/>
              </w:rPr>
            </w:pPr>
            <w:r>
              <w:rPr>
                <w:rFonts w:ascii="Calibri" w:hAnsi="Calibri" w:cs="Calibri"/>
                <w:b/>
                <w:bCs/>
                <w:sz w:val="20"/>
                <w:szCs w:val="20"/>
              </w:rPr>
              <w:t>(</w:t>
            </w:r>
            <w:r w:rsidR="00396CCA" w:rsidRPr="005D0175">
              <w:rPr>
                <w:rFonts w:ascii="Calibri" w:hAnsi="Calibri" w:cs="Calibri"/>
                <w:b/>
                <w:bCs/>
                <w:sz w:val="20"/>
                <w:szCs w:val="20"/>
              </w:rPr>
              <w:t>£94,663.58</w:t>
            </w:r>
            <w:r>
              <w:rPr>
                <w:rFonts w:ascii="Calibri" w:hAnsi="Calibri" w:cs="Calibri"/>
                <w:b/>
                <w:bCs/>
                <w:sz w:val="20"/>
                <w:szCs w:val="20"/>
              </w:rPr>
              <w:t>)</w:t>
            </w: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Cumulative</w:t>
            </w:r>
          </w:p>
        </w:tc>
        <w:tc>
          <w:tcPr>
            <w:tcW w:w="2110" w:type="dxa"/>
            <w:tcBorders>
              <w:top w:val="nil"/>
              <w:left w:val="nil"/>
              <w:bottom w:val="nil"/>
              <w:right w:val="nil"/>
            </w:tcBorders>
            <w:shd w:val="clear" w:color="000000" w:fill="C6E0B4"/>
            <w:vAlign w:val="center"/>
            <w:hideMark/>
          </w:tcPr>
          <w:p w:rsidR="00396CCA" w:rsidRPr="005D0175" w:rsidRDefault="00396CCA" w:rsidP="00FA1D71">
            <w:pPr>
              <w:rPr>
                <w:rFonts w:ascii="Calibri" w:hAnsi="Calibri" w:cs="Calibri"/>
                <w:b/>
                <w:bCs/>
                <w:color w:val="000000"/>
                <w:sz w:val="20"/>
                <w:szCs w:val="20"/>
              </w:rPr>
            </w:pPr>
          </w:p>
        </w:tc>
        <w:tc>
          <w:tcPr>
            <w:tcW w:w="1921" w:type="dxa"/>
            <w:tcBorders>
              <w:top w:val="nil"/>
              <w:left w:val="nil"/>
              <w:bottom w:val="nil"/>
              <w:right w:val="nil"/>
            </w:tcBorders>
            <w:shd w:val="clear" w:color="000000" w:fill="E7E6E6"/>
            <w:vAlign w:val="center"/>
            <w:hideMark/>
          </w:tcPr>
          <w:p w:rsidR="00396CCA" w:rsidRPr="005D0175" w:rsidRDefault="00396CCA" w:rsidP="00FA1D71">
            <w:pPr>
              <w:rPr>
                <w:rFonts w:ascii="Times New Roman" w:hAnsi="Times New Roman"/>
                <w:sz w:val="20"/>
                <w:szCs w:val="20"/>
              </w:rPr>
            </w:pPr>
          </w:p>
        </w:tc>
        <w:tc>
          <w:tcPr>
            <w:tcW w:w="1687"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b/>
                <w:bCs/>
                <w:sz w:val="20"/>
                <w:szCs w:val="20"/>
              </w:rPr>
            </w:pPr>
            <w:r w:rsidRPr="005D0175">
              <w:rPr>
                <w:rFonts w:ascii="Calibri" w:hAnsi="Calibri" w:cs="Calibri"/>
                <w:b/>
                <w:bCs/>
                <w:sz w:val="20"/>
                <w:szCs w:val="20"/>
              </w:rPr>
              <w:t>£80,140.19</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b/>
                <w:bCs/>
                <w:sz w:val="20"/>
                <w:szCs w:val="20"/>
              </w:rPr>
            </w:pPr>
            <w:r w:rsidRPr="005D0175">
              <w:rPr>
                <w:rFonts w:ascii="Calibri" w:hAnsi="Calibri" w:cs="Calibri"/>
                <w:b/>
                <w:bCs/>
                <w:sz w:val="20"/>
                <w:szCs w:val="20"/>
              </w:rPr>
              <w:t>£84,398.71</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b/>
                <w:bCs/>
                <w:sz w:val="20"/>
                <w:szCs w:val="20"/>
              </w:rPr>
            </w:pPr>
            <w:r w:rsidRPr="005D0175">
              <w:rPr>
                <w:rFonts w:ascii="Calibri" w:hAnsi="Calibri" w:cs="Calibri"/>
                <w:b/>
                <w:bCs/>
                <w:sz w:val="20"/>
                <w:szCs w:val="20"/>
              </w:rPr>
              <w:t>£33,206.41</w:t>
            </w:r>
          </w:p>
        </w:tc>
        <w:tc>
          <w:tcPr>
            <w:tcW w:w="1834" w:type="dxa"/>
            <w:tcBorders>
              <w:top w:val="nil"/>
              <w:left w:val="nil"/>
              <w:bottom w:val="nil"/>
              <w:right w:val="nil"/>
            </w:tcBorders>
            <w:shd w:val="clear" w:color="000000" w:fill="FFF2CC"/>
            <w:vAlign w:val="center"/>
            <w:hideMark/>
          </w:tcPr>
          <w:p w:rsidR="00396CCA" w:rsidRPr="005D0175" w:rsidRDefault="0048135F" w:rsidP="00FA1D71">
            <w:pPr>
              <w:jc w:val="right"/>
              <w:rPr>
                <w:rFonts w:ascii="Calibri" w:hAnsi="Calibri" w:cs="Calibri"/>
                <w:b/>
                <w:bCs/>
                <w:sz w:val="20"/>
                <w:szCs w:val="20"/>
              </w:rPr>
            </w:pPr>
            <w:r>
              <w:rPr>
                <w:rFonts w:ascii="Calibri" w:hAnsi="Calibri" w:cs="Calibri"/>
                <w:b/>
                <w:bCs/>
                <w:sz w:val="20"/>
                <w:szCs w:val="20"/>
              </w:rPr>
              <w:t>(</w:t>
            </w:r>
            <w:r w:rsidR="00396CCA" w:rsidRPr="005D0175">
              <w:rPr>
                <w:rFonts w:ascii="Calibri" w:hAnsi="Calibri" w:cs="Calibri"/>
                <w:b/>
                <w:bCs/>
                <w:sz w:val="20"/>
                <w:szCs w:val="20"/>
              </w:rPr>
              <w:t>£61,457.17</w:t>
            </w:r>
            <w:r>
              <w:rPr>
                <w:rFonts w:ascii="Calibri" w:hAnsi="Calibri" w:cs="Calibri"/>
                <w:b/>
                <w:bCs/>
                <w:sz w:val="20"/>
                <w:szCs w:val="20"/>
              </w:rPr>
              <w:t>)</w:t>
            </w:r>
          </w:p>
        </w:tc>
      </w:tr>
      <w:tr w:rsidR="00396CCA" w:rsidRPr="005D0175" w:rsidTr="00FA1D71">
        <w:trPr>
          <w:trHeight w:val="300"/>
        </w:trPr>
        <w:tc>
          <w:tcPr>
            <w:tcW w:w="3340" w:type="dxa"/>
            <w:tcBorders>
              <w:top w:val="nil"/>
              <w:left w:val="nil"/>
              <w:bottom w:val="nil"/>
              <w:right w:val="nil"/>
            </w:tcBorders>
            <w:noWrap/>
            <w:vAlign w:val="bottom"/>
            <w:hideMark/>
          </w:tcPr>
          <w:p w:rsidR="00396CCA" w:rsidRPr="005D0175" w:rsidRDefault="00396CCA" w:rsidP="00FA1D71">
            <w:pPr>
              <w:jc w:val="right"/>
              <w:rPr>
                <w:rFonts w:ascii="Calibri" w:hAnsi="Calibri" w:cs="Calibri"/>
                <w:b/>
                <w:bCs/>
                <w:sz w:val="20"/>
                <w:szCs w:val="20"/>
              </w:rPr>
            </w:pPr>
          </w:p>
        </w:tc>
        <w:tc>
          <w:tcPr>
            <w:tcW w:w="2110" w:type="dxa"/>
            <w:tcBorders>
              <w:top w:val="nil"/>
              <w:left w:val="nil"/>
              <w:bottom w:val="nil"/>
              <w:right w:val="nil"/>
            </w:tcBorders>
            <w:shd w:val="clear" w:color="000000" w:fill="C6E0B4"/>
            <w:noWrap/>
            <w:vAlign w:val="bottom"/>
            <w:hideMark/>
          </w:tcPr>
          <w:p w:rsidR="00396CCA" w:rsidRPr="005D0175" w:rsidRDefault="00396CCA" w:rsidP="00FA1D71">
            <w:pPr>
              <w:rPr>
                <w:rFonts w:ascii="Times New Roman" w:hAnsi="Times New Roman"/>
                <w:sz w:val="20"/>
                <w:szCs w:val="20"/>
              </w:rPr>
            </w:pPr>
          </w:p>
        </w:tc>
        <w:tc>
          <w:tcPr>
            <w:tcW w:w="1921" w:type="dxa"/>
            <w:tcBorders>
              <w:top w:val="nil"/>
              <w:left w:val="nil"/>
              <w:bottom w:val="nil"/>
              <w:right w:val="nil"/>
            </w:tcBorders>
            <w:shd w:val="clear" w:color="000000" w:fill="E7E6E6"/>
            <w:noWrap/>
            <w:vAlign w:val="bottom"/>
            <w:hideMark/>
          </w:tcPr>
          <w:p w:rsidR="00396CCA" w:rsidRPr="005D0175" w:rsidRDefault="00396CCA" w:rsidP="00FA1D71">
            <w:pPr>
              <w:rPr>
                <w:rFonts w:ascii="Times New Roman" w:hAnsi="Times New Roman"/>
                <w:sz w:val="20"/>
                <w:szCs w:val="20"/>
              </w:rPr>
            </w:pPr>
          </w:p>
        </w:tc>
        <w:tc>
          <w:tcPr>
            <w:tcW w:w="1687"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r>
      <w:tr w:rsidR="00396CCA" w:rsidRPr="005D0175" w:rsidTr="00FA1D71">
        <w:trPr>
          <w:trHeight w:val="300"/>
        </w:trPr>
        <w:tc>
          <w:tcPr>
            <w:tcW w:w="3340" w:type="dxa"/>
            <w:tcBorders>
              <w:top w:val="nil"/>
              <w:left w:val="nil"/>
              <w:bottom w:val="nil"/>
              <w:right w:val="nil"/>
            </w:tcBorders>
            <w:shd w:val="clear" w:color="000000" w:fill="FFFFFF"/>
            <w:vAlign w:val="center"/>
            <w:hideMark/>
          </w:tcPr>
          <w:p w:rsidR="00396CCA" w:rsidRPr="005D0175" w:rsidRDefault="00396CCA" w:rsidP="00FA1D71">
            <w:pPr>
              <w:rPr>
                <w:rFonts w:ascii="Calibri" w:hAnsi="Calibri" w:cs="Calibri"/>
                <w:b/>
                <w:bCs/>
                <w:color w:val="000000"/>
                <w:sz w:val="20"/>
                <w:szCs w:val="20"/>
              </w:rPr>
            </w:pPr>
            <w:r w:rsidRPr="005D0175">
              <w:rPr>
                <w:rFonts w:ascii="Calibri" w:hAnsi="Calibri" w:cs="Calibri"/>
                <w:b/>
                <w:bCs/>
                <w:color w:val="000000"/>
                <w:sz w:val="20"/>
                <w:szCs w:val="20"/>
              </w:rPr>
              <w:t>Target additional income</w:t>
            </w:r>
          </w:p>
        </w:tc>
        <w:tc>
          <w:tcPr>
            <w:tcW w:w="2110" w:type="dxa"/>
            <w:tcBorders>
              <w:top w:val="nil"/>
              <w:left w:val="nil"/>
              <w:bottom w:val="nil"/>
              <w:right w:val="nil"/>
            </w:tcBorders>
            <w:shd w:val="clear" w:color="000000" w:fill="C6E0B4"/>
            <w:noWrap/>
            <w:vAlign w:val="bottom"/>
            <w:hideMark/>
          </w:tcPr>
          <w:p w:rsidR="00396CCA" w:rsidRPr="005D0175" w:rsidRDefault="00396CCA" w:rsidP="00FA1D71">
            <w:pPr>
              <w:rPr>
                <w:rFonts w:ascii="Calibri" w:hAnsi="Calibri" w:cs="Calibri"/>
                <w:b/>
                <w:bCs/>
                <w:color w:val="000000"/>
                <w:sz w:val="20"/>
                <w:szCs w:val="20"/>
              </w:rPr>
            </w:pPr>
          </w:p>
        </w:tc>
        <w:tc>
          <w:tcPr>
            <w:tcW w:w="1921" w:type="dxa"/>
            <w:tcBorders>
              <w:top w:val="nil"/>
              <w:left w:val="nil"/>
              <w:bottom w:val="nil"/>
              <w:right w:val="nil"/>
            </w:tcBorders>
            <w:shd w:val="clear" w:color="000000" w:fill="E7E6E6"/>
            <w:noWrap/>
            <w:vAlign w:val="bottom"/>
            <w:hideMark/>
          </w:tcPr>
          <w:p w:rsidR="00396CCA" w:rsidRPr="005D0175" w:rsidRDefault="00396CCA" w:rsidP="00FA1D71">
            <w:pPr>
              <w:rPr>
                <w:rFonts w:ascii="Times New Roman" w:hAnsi="Times New Roman"/>
                <w:sz w:val="20"/>
                <w:szCs w:val="20"/>
              </w:rPr>
            </w:pPr>
          </w:p>
        </w:tc>
        <w:tc>
          <w:tcPr>
            <w:tcW w:w="1687"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noWrap/>
            <w:vAlign w:val="bottom"/>
            <w:hideMark/>
          </w:tcPr>
          <w:p w:rsidR="00396CCA" w:rsidRPr="005D0175" w:rsidRDefault="00396CCA" w:rsidP="00FA1D71">
            <w:pPr>
              <w:rPr>
                <w:rFonts w:ascii="Times New Roman" w:hAnsi="Times New Roman"/>
                <w:sz w:val="20"/>
                <w:szCs w:val="20"/>
              </w:rPr>
            </w:pP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£51,192.30</w:t>
            </w:r>
          </w:p>
        </w:tc>
        <w:tc>
          <w:tcPr>
            <w:tcW w:w="1834" w:type="dxa"/>
            <w:tcBorders>
              <w:top w:val="nil"/>
              <w:left w:val="nil"/>
              <w:bottom w:val="nil"/>
              <w:right w:val="nil"/>
            </w:tcBorders>
            <w:shd w:val="clear" w:color="000000" w:fill="FFF2CC"/>
            <w:vAlign w:val="center"/>
            <w:hideMark/>
          </w:tcPr>
          <w:p w:rsidR="00396CCA" w:rsidRPr="005D0175" w:rsidRDefault="00396CCA" w:rsidP="00FA1D71">
            <w:pPr>
              <w:jc w:val="right"/>
              <w:rPr>
                <w:rFonts w:ascii="Calibri" w:hAnsi="Calibri" w:cs="Calibri"/>
                <w:sz w:val="20"/>
                <w:szCs w:val="20"/>
              </w:rPr>
            </w:pPr>
            <w:r w:rsidRPr="005D0175">
              <w:rPr>
                <w:rFonts w:ascii="Calibri" w:hAnsi="Calibri" w:cs="Calibri"/>
                <w:sz w:val="20"/>
                <w:szCs w:val="20"/>
              </w:rPr>
              <w:t>£94,663.58</w:t>
            </w:r>
          </w:p>
        </w:tc>
      </w:tr>
    </w:tbl>
    <w:p w:rsidR="00EA4435" w:rsidRDefault="00EA4435" w:rsidP="00EA4435">
      <w:pPr>
        <w:ind w:left="142"/>
      </w:pPr>
    </w:p>
    <w:p w:rsidR="00EA4435" w:rsidRDefault="00396CCA" w:rsidP="00EA4435">
      <w:pPr>
        <w:ind w:left="142"/>
      </w:pPr>
      <w:r>
        <w:rPr>
          <w:noProof/>
        </w:rPr>
        <w:lastRenderedPageBreak/>
        <w:drawing>
          <wp:inline distT="0" distB="0" distL="0" distR="0" wp14:anchorId="721DCCAF" wp14:editId="7C4259E5">
            <wp:extent cx="9058275" cy="5905500"/>
            <wp:effectExtent l="0" t="0" r="9525" b="0"/>
            <wp:docPr id="2" name="Chart 2">
              <a:extLst xmlns:a="http://schemas.openxmlformats.org/drawingml/2006/main">
                <a:ext uri="{FF2B5EF4-FFF2-40B4-BE49-F238E27FC236}">
                  <a16:creationId xmlns:a16="http://schemas.microsoft.com/office/drawing/2014/main" id="{00000000-0008-0000-0F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A4435" w:rsidRDefault="00EA4435" w:rsidP="00EA4435">
      <w:pPr>
        <w:ind w:left="142"/>
      </w:pPr>
    </w:p>
    <w:p w:rsidR="00396CCA" w:rsidRDefault="00396CCA" w:rsidP="00396CCA">
      <w:pPr>
        <w:sectPr w:rsidR="00396CCA" w:rsidSect="00396CCA">
          <w:pgSz w:w="16834" w:h="11909" w:orient="landscape" w:code="9"/>
          <w:pgMar w:top="1134" w:right="1134" w:bottom="1134" w:left="1134" w:header="720" w:footer="720" w:gutter="0"/>
          <w:paperSrc w:first="15" w:other="15"/>
          <w:cols w:space="720"/>
          <w:docGrid w:linePitch="360"/>
        </w:sectPr>
      </w:pPr>
    </w:p>
    <w:p w:rsidR="00953DAD" w:rsidRDefault="00953DAD" w:rsidP="00516C3C">
      <w:pPr>
        <w:rPr>
          <w:rFonts w:cs="Arial"/>
          <w:b/>
        </w:rPr>
      </w:pPr>
      <w:r>
        <w:rPr>
          <w:rFonts w:cs="Arial"/>
          <w:b/>
        </w:rPr>
        <w:lastRenderedPageBreak/>
        <w:t>High Level Implementation Plan</w:t>
      </w:r>
    </w:p>
    <w:p w:rsidR="00953DAD" w:rsidRDefault="00953DAD" w:rsidP="00953DAD">
      <w:pPr>
        <w:rPr>
          <w:rFonts w:cs="Arial"/>
          <w:b/>
        </w:rPr>
      </w:pPr>
    </w:p>
    <w:p w:rsidR="00953DAD" w:rsidRDefault="00953DAD" w:rsidP="001F6D6E">
      <w:pPr>
        <w:pStyle w:val="ListParagraph"/>
        <w:numPr>
          <w:ilvl w:val="1"/>
          <w:numId w:val="10"/>
        </w:numPr>
      </w:pPr>
      <w:r>
        <w:t>A high level</w:t>
      </w:r>
      <w:r w:rsidR="005A1059">
        <w:t xml:space="preserve"> timeline </w:t>
      </w:r>
      <w:r w:rsidRPr="00377838">
        <w:t xml:space="preserve">plan for </w:t>
      </w:r>
      <w:r w:rsidR="001F6D6E" w:rsidRPr="001F6D6E">
        <w:t xml:space="preserve">School Improvement Partnership </w:t>
      </w:r>
      <w:r w:rsidRPr="00377838">
        <w:t>is</w:t>
      </w:r>
      <w:r w:rsidR="00A55678">
        <w:t xml:space="preserve"> shown below. Subject to </w:t>
      </w:r>
      <w:r w:rsidRPr="00377838">
        <w:t>Cabinet</w:t>
      </w:r>
      <w:r>
        <w:t xml:space="preserve"> </w:t>
      </w:r>
      <w:r w:rsidR="00A55678">
        <w:t>approval of this proposal, a detailed implementation plan will be drawn up</w:t>
      </w:r>
      <w:r w:rsidRPr="00377838">
        <w:t xml:space="preserve"> to set up </w:t>
      </w:r>
      <w:r>
        <w:t>the new company.</w:t>
      </w:r>
    </w:p>
    <w:p w:rsidR="009E7878" w:rsidRDefault="009E7878" w:rsidP="009E7878"/>
    <w:p w:rsidR="009E7878" w:rsidRDefault="009E7878" w:rsidP="009E7878"/>
    <w:p w:rsidR="009E7878" w:rsidRDefault="009E7878" w:rsidP="001476C8">
      <w:pPr>
        <w:pStyle w:val="ListParagraph"/>
        <w:ind w:left="862"/>
      </w:pPr>
    </w:p>
    <w:p w:rsidR="00953DAD" w:rsidRDefault="002C66EF" w:rsidP="00953DAD">
      <w:pPr>
        <w:pStyle w:val="ListParagraph"/>
      </w:pPr>
      <w:r w:rsidRPr="002C66EF">
        <w:rPr>
          <w:noProof/>
        </w:rPr>
        <w:drawing>
          <wp:inline distT="0" distB="0" distL="0" distR="0" wp14:anchorId="187F9E01" wp14:editId="72DD50EB">
            <wp:extent cx="6122035" cy="34226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25460"/>
                    <a:stretch/>
                  </pic:blipFill>
                  <pic:spPr bwMode="auto">
                    <a:xfrm>
                      <a:off x="0" y="0"/>
                      <a:ext cx="6122035" cy="3422650"/>
                    </a:xfrm>
                    <a:prstGeom prst="rect">
                      <a:avLst/>
                    </a:prstGeom>
                    <a:ln>
                      <a:noFill/>
                    </a:ln>
                    <a:extLst>
                      <a:ext uri="{53640926-AAD7-44D8-BBD7-CCE9431645EC}">
                        <a14:shadowObscured xmlns:a14="http://schemas.microsoft.com/office/drawing/2010/main"/>
                      </a:ext>
                    </a:extLst>
                  </pic:spPr>
                </pic:pic>
              </a:graphicData>
            </a:graphic>
          </wp:inline>
        </w:drawing>
      </w:r>
    </w:p>
    <w:p w:rsidR="00DF454D" w:rsidRDefault="00DF454D">
      <w:pPr>
        <w:rPr>
          <w:b/>
        </w:rPr>
      </w:pPr>
      <w:bookmarkStart w:id="0" w:name="_Toc476317780"/>
    </w:p>
    <w:p w:rsidR="00DC2DEE" w:rsidRPr="00DF454D" w:rsidRDefault="00CE49F1" w:rsidP="00801DF3">
      <w:pPr>
        <w:pStyle w:val="ListParagraph"/>
        <w:numPr>
          <w:ilvl w:val="0"/>
          <w:numId w:val="10"/>
        </w:numPr>
        <w:rPr>
          <w:b/>
        </w:rPr>
      </w:pPr>
      <w:r>
        <w:rPr>
          <w:b/>
        </w:rPr>
        <w:t>A j</w:t>
      </w:r>
      <w:r w:rsidRPr="00DF454D">
        <w:rPr>
          <w:b/>
        </w:rPr>
        <w:t xml:space="preserve">ointly </w:t>
      </w:r>
      <w:r w:rsidR="00801DF3" w:rsidRPr="00DF454D">
        <w:rPr>
          <w:b/>
        </w:rPr>
        <w:t>owned not-for-profi</w:t>
      </w:r>
      <w:r w:rsidR="00775788">
        <w:rPr>
          <w:b/>
        </w:rPr>
        <w:t>t company, limited by guarantee</w:t>
      </w:r>
    </w:p>
    <w:p w:rsidR="00DC2DEE" w:rsidRPr="00DF454D" w:rsidRDefault="00DC2DEE" w:rsidP="000228F2">
      <w:pPr>
        <w:rPr>
          <w:rFonts w:cs="Arial"/>
        </w:rPr>
      </w:pPr>
    </w:p>
    <w:p w:rsidR="00DF454D" w:rsidRPr="00DF454D" w:rsidRDefault="00DF454D" w:rsidP="00DF454D">
      <w:pPr>
        <w:pStyle w:val="ListParagraph"/>
        <w:numPr>
          <w:ilvl w:val="1"/>
          <w:numId w:val="10"/>
        </w:numPr>
        <w:ind w:left="720"/>
      </w:pPr>
      <w:r w:rsidRPr="00DF454D">
        <w:rPr>
          <w:rFonts w:cs="Arial"/>
        </w:rPr>
        <w:t>The vision for the new compa</w:t>
      </w:r>
      <w:r w:rsidR="00B819CB">
        <w:rPr>
          <w:rFonts w:cs="Arial"/>
        </w:rPr>
        <w:t>ny is driven by the shared educational</w:t>
      </w:r>
      <w:r w:rsidRPr="00DF454D">
        <w:rPr>
          <w:rFonts w:cs="Arial"/>
        </w:rPr>
        <w:t xml:space="preserve"> purpose of schools and the Council to achieve the best possible outcomes for all children and young people in Barking and Dagenham, particularly the most vulnerable. </w:t>
      </w:r>
    </w:p>
    <w:p w:rsidR="00DF454D" w:rsidRPr="00DF454D" w:rsidRDefault="00DF454D" w:rsidP="00DF454D">
      <w:pPr>
        <w:pStyle w:val="ListParagraph"/>
      </w:pPr>
    </w:p>
    <w:p w:rsidR="00DF454D" w:rsidRPr="00DF454D" w:rsidRDefault="00DF454D" w:rsidP="00DF454D">
      <w:pPr>
        <w:pStyle w:val="ListParagraph"/>
        <w:numPr>
          <w:ilvl w:val="1"/>
          <w:numId w:val="10"/>
        </w:numPr>
        <w:ind w:left="720"/>
      </w:pPr>
      <w:r w:rsidRPr="00DF454D">
        <w:rPr>
          <w:rFonts w:cs="Arial"/>
        </w:rPr>
        <w:t xml:space="preserve">This jointly owned company, embodying the family of LBBD schools in partnership with the Council, will be the provider of choice for school improvement services for all LBBD schools and will shape the school led education system for the Borough. </w:t>
      </w:r>
    </w:p>
    <w:p w:rsidR="00DF454D" w:rsidRPr="00DF454D" w:rsidRDefault="00DF454D" w:rsidP="00DF454D">
      <w:pPr>
        <w:pStyle w:val="ListParagraph"/>
        <w:rPr>
          <w:rFonts w:cs="Arial"/>
        </w:rPr>
      </w:pPr>
    </w:p>
    <w:p w:rsidR="00DF454D" w:rsidRPr="00DF454D" w:rsidRDefault="00DF454D" w:rsidP="00DF454D">
      <w:pPr>
        <w:pStyle w:val="ListParagraph"/>
        <w:numPr>
          <w:ilvl w:val="1"/>
          <w:numId w:val="10"/>
        </w:numPr>
        <w:ind w:left="720"/>
      </w:pPr>
      <w:r w:rsidRPr="00DF454D">
        <w:rPr>
          <w:rFonts w:cs="Arial"/>
        </w:rPr>
        <w:t xml:space="preserve">It will enable schools, Multi Academy Trusts, Teaching School Alliances and the Council to work collaboratively and ensure highly effective support for school improvement for all schools in the Borough. </w:t>
      </w:r>
    </w:p>
    <w:p w:rsidR="00DF454D" w:rsidRPr="00DF454D" w:rsidRDefault="00DF454D" w:rsidP="00DF454D">
      <w:pPr>
        <w:pStyle w:val="ListParagraph"/>
        <w:rPr>
          <w:rFonts w:cs="Arial"/>
        </w:rPr>
      </w:pPr>
    </w:p>
    <w:p w:rsidR="00DF454D" w:rsidRPr="00DF454D" w:rsidRDefault="00DF454D" w:rsidP="00DF454D">
      <w:pPr>
        <w:pStyle w:val="ListParagraph"/>
        <w:numPr>
          <w:ilvl w:val="1"/>
          <w:numId w:val="10"/>
        </w:numPr>
        <w:ind w:left="720"/>
      </w:pPr>
      <w:r w:rsidRPr="00DF454D">
        <w:rPr>
          <w:rFonts w:cs="Arial"/>
        </w:rPr>
        <w:t xml:space="preserve">It will offer all LBBD schools the opportunity to purchase services from a company that they own and which will reinvest surplus to support further improvement. </w:t>
      </w:r>
    </w:p>
    <w:p w:rsidR="00DF454D" w:rsidRPr="00DF454D" w:rsidRDefault="00DF454D" w:rsidP="00DF454D">
      <w:pPr>
        <w:pStyle w:val="ListParagraph"/>
        <w:rPr>
          <w:rFonts w:cs="Arial"/>
        </w:rPr>
      </w:pPr>
    </w:p>
    <w:p w:rsidR="00D0077E" w:rsidRPr="00DF454D" w:rsidRDefault="00DF454D" w:rsidP="00DF454D">
      <w:pPr>
        <w:pStyle w:val="ListParagraph"/>
        <w:numPr>
          <w:ilvl w:val="1"/>
          <w:numId w:val="10"/>
        </w:numPr>
        <w:ind w:left="720"/>
      </w:pPr>
      <w:r w:rsidRPr="00DF454D">
        <w:rPr>
          <w:rFonts w:cs="Arial"/>
        </w:rPr>
        <w:t xml:space="preserve">The ambition will be that every </w:t>
      </w:r>
      <w:r w:rsidR="00346357" w:rsidRPr="00DF454D">
        <w:rPr>
          <w:rFonts w:cs="Arial"/>
        </w:rPr>
        <w:t>publicly</w:t>
      </w:r>
      <w:r w:rsidRPr="00DF454D">
        <w:rPr>
          <w:rFonts w:cs="Arial"/>
        </w:rPr>
        <w:t xml:space="preserve"> funded school in LBBD will become a member of the company. It will be a dynamic, locally driven and supportive partnership which will attract and retain the best leaders and teachers to work in the Borough.</w:t>
      </w:r>
    </w:p>
    <w:bookmarkEnd w:id="0"/>
    <w:p w:rsidR="00B012AE" w:rsidRPr="00DF454D" w:rsidRDefault="00B012AE" w:rsidP="00B012AE">
      <w:pPr>
        <w:jc w:val="both"/>
        <w:rPr>
          <w:rFonts w:cstheme="minorHAnsi"/>
          <w:szCs w:val="22"/>
          <w:highlight w:val="yellow"/>
        </w:rPr>
      </w:pPr>
    </w:p>
    <w:p w:rsidR="008A6330" w:rsidRDefault="008A6330" w:rsidP="00956B61">
      <w:pPr>
        <w:ind w:left="720"/>
        <w:rPr>
          <w:b/>
          <w:color w:val="000000"/>
        </w:rPr>
      </w:pPr>
    </w:p>
    <w:p w:rsidR="008A6330" w:rsidRDefault="008A6330" w:rsidP="00956B61">
      <w:pPr>
        <w:ind w:left="720"/>
        <w:rPr>
          <w:b/>
          <w:color w:val="000000"/>
        </w:rPr>
      </w:pPr>
    </w:p>
    <w:p w:rsidR="00063C71" w:rsidRPr="00054C9D" w:rsidRDefault="00B012AE" w:rsidP="00956B61">
      <w:pPr>
        <w:ind w:left="720"/>
        <w:rPr>
          <w:b/>
          <w:color w:val="000000"/>
        </w:rPr>
      </w:pPr>
      <w:r w:rsidRPr="00054C9D">
        <w:rPr>
          <w:b/>
          <w:color w:val="000000"/>
        </w:rPr>
        <w:lastRenderedPageBreak/>
        <w:t>Governance</w:t>
      </w:r>
    </w:p>
    <w:p w:rsidR="00063C71" w:rsidRPr="00DF454D" w:rsidRDefault="00063C71" w:rsidP="00063C71">
      <w:pPr>
        <w:pStyle w:val="ListParagraph"/>
        <w:rPr>
          <w:color w:val="000000"/>
          <w:highlight w:val="yellow"/>
        </w:rPr>
      </w:pPr>
    </w:p>
    <w:p w:rsidR="009E7878" w:rsidRDefault="00054C9D" w:rsidP="00054C9D">
      <w:pPr>
        <w:pStyle w:val="ListParagraph"/>
        <w:numPr>
          <w:ilvl w:val="1"/>
          <w:numId w:val="10"/>
        </w:numPr>
        <w:ind w:left="720"/>
        <w:rPr>
          <w:rFonts w:cstheme="minorHAnsi"/>
          <w:bCs/>
          <w:szCs w:val="22"/>
        </w:rPr>
      </w:pPr>
      <w:r>
        <w:rPr>
          <w:rFonts w:cstheme="minorHAnsi"/>
          <w:bCs/>
          <w:szCs w:val="22"/>
        </w:rPr>
        <w:t>I</w:t>
      </w:r>
      <w:r w:rsidRPr="00054C9D">
        <w:rPr>
          <w:rFonts w:cstheme="minorHAnsi"/>
          <w:bCs/>
          <w:szCs w:val="22"/>
        </w:rPr>
        <w:t>t is proposed that a shadow organisation structure</w:t>
      </w:r>
      <w:r>
        <w:rPr>
          <w:rFonts w:cstheme="minorHAnsi"/>
          <w:bCs/>
          <w:szCs w:val="22"/>
        </w:rPr>
        <w:t>,</w:t>
      </w:r>
      <w:r w:rsidRPr="00054C9D">
        <w:rPr>
          <w:rFonts w:cstheme="minorHAnsi"/>
          <w:bCs/>
          <w:szCs w:val="22"/>
        </w:rPr>
        <w:t xml:space="preserve"> including a shadow board</w:t>
      </w:r>
      <w:r w:rsidR="00CD0062">
        <w:rPr>
          <w:rFonts w:cstheme="minorHAnsi"/>
          <w:bCs/>
          <w:szCs w:val="22"/>
        </w:rPr>
        <w:t>,</w:t>
      </w:r>
      <w:r w:rsidRPr="00054C9D">
        <w:rPr>
          <w:rFonts w:cstheme="minorHAnsi"/>
          <w:bCs/>
          <w:szCs w:val="22"/>
        </w:rPr>
        <w:t xml:space="preserve"> will be set up from September 2017 prior to full launch in January 2018.</w:t>
      </w:r>
    </w:p>
    <w:p w:rsidR="00E50176" w:rsidRPr="009E7878" w:rsidRDefault="00E50176" w:rsidP="009E7878">
      <w:pPr>
        <w:pStyle w:val="ListParagraph"/>
        <w:rPr>
          <w:rFonts w:cstheme="minorHAnsi"/>
          <w:bCs/>
          <w:szCs w:val="22"/>
        </w:rPr>
      </w:pPr>
      <w:r w:rsidRPr="009E7878">
        <w:rPr>
          <w:rFonts w:cstheme="minorHAnsi"/>
          <w:bCs/>
          <w:szCs w:val="22"/>
        </w:rPr>
        <w:t>The proposed split between school and Council representation on the Board is 81% (schools) 19% (Council). This will give the company flexibility in potential future ventures such as the development of a local Multi Academy Trust sponsored by the company or in accessing potential funding streams not available to local authorities. The articles of association will allow Directors to co-opt up to 2 Non-Executive Directors in order to bring relevant skills and expertise to the Board which it will need particularly in areas such as business and finance.</w:t>
      </w:r>
    </w:p>
    <w:p w:rsidR="00054C9D" w:rsidRPr="00054C9D" w:rsidRDefault="00054C9D" w:rsidP="00054C9D">
      <w:pPr>
        <w:pStyle w:val="ListParagraph"/>
        <w:rPr>
          <w:rFonts w:cstheme="minorHAnsi"/>
          <w:bCs/>
          <w:szCs w:val="22"/>
        </w:rPr>
      </w:pPr>
    </w:p>
    <w:p w:rsidR="00054C9D" w:rsidRPr="00054C9D" w:rsidRDefault="00054C9D" w:rsidP="00054C9D">
      <w:pPr>
        <w:pStyle w:val="ListParagraph"/>
        <w:numPr>
          <w:ilvl w:val="1"/>
          <w:numId w:val="10"/>
        </w:numPr>
        <w:ind w:left="720"/>
        <w:rPr>
          <w:rFonts w:cstheme="minorHAnsi"/>
          <w:bCs/>
          <w:szCs w:val="22"/>
        </w:rPr>
      </w:pPr>
      <w:r w:rsidRPr="00054C9D">
        <w:rPr>
          <w:rFonts w:cstheme="minorHAnsi"/>
          <w:bCs/>
          <w:szCs w:val="22"/>
        </w:rPr>
        <w:t>The membership and governance model in a Company Limited by Guarantee is extremely flexible; it is an inclusive model that allows all schools to join in their current form; it is easier to manage in terms of regulation compared to other types of organisations; and the finances of the company’s guarantors (members) are protected. They will only be responsible for paying company debts up to the amount of their guarantees.</w:t>
      </w:r>
    </w:p>
    <w:p w:rsidR="00054C9D" w:rsidRPr="00054C9D" w:rsidRDefault="00054C9D" w:rsidP="00054C9D">
      <w:pPr>
        <w:pStyle w:val="ListParagraph"/>
        <w:rPr>
          <w:rFonts w:cstheme="minorHAnsi"/>
          <w:bCs/>
          <w:szCs w:val="22"/>
        </w:rPr>
      </w:pPr>
    </w:p>
    <w:p w:rsidR="00054C9D" w:rsidRDefault="00054C9D" w:rsidP="00054C9D">
      <w:pPr>
        <w:pStyle w:val="ListParagraph"/>
        <w:numPr>
          <w:ilvl w:val="1"/>
          <w:numId w:val="10"/>
        </w:numPr>
        <w:ind w:left="720"/>
        <w:rPr>
          <w:rFonts w:cstheme="minorHAnsi"/>
          <w:bCs/>
          <w:szCs w:val="22"/>
        </w:rPr>
      </w:pPr>
      <w:r w:rsidRPr="00054C9D">
        <w:rPr>
          <w:rFonts w:cstheme="minorHAnsi"/>
          <w:bCs/>
          <w:szCs w:val="22"/>
        </w:rPr>
        <w:t xml:space="preserve">All schools will be given the opportunity to become members of the proposed company and rights and responsibilities will be set out in the articles of association and membership rules. </w:t>
      </w:r>
    </w:p>
    <w:p w:rsidR="00054C9D" w:rsidRPr="00054C9D" w:rsidRDefault="00054C9D" w:rsidP="00054C9D">
      <w:pPr>
        <w:pStyle w:val="ListParagraph"/>
        <w:rPr>
          <w:rFonts w:cstheme="minorHAnsi"/>
          <w:bCs/>
          <w:szCs w:val="22"/>
        </w:rPr>
      </w:pPr>
    </w:p>
    <w:p w:rsidR="00CD0062" w:rsidRDefault="00054C9D" w:rsidP="00054C9D">
      <w:pPr>
        <w:pStyle w:val="ListParagraph"/>
        <w:numPr>
          <w:ilvl w:val="1"/>
          <w:numId w:val="10"/>
        </w:numPr>
        <w:ind w:left="720"/>
        <w:rPr>
          <w:rFonts w:cstheme="minorHAnsi"/>
          <w:bCs/>
          <w:szCs w:val="22"/>
        </w:rPr>
      </w:pPr>
      <w:r w:rsidRPr="00054C9D">
        <w:rPr>
          <w:rFonts w:cstheme="minorHAnsi"/>
          <w:bCs/>
          <w:szCs w:val="22"/>
        </w:rPr>
        <w:t xml:space="preserve">Strategic leadership of the company will be by the company board. </w:t>
      </w:r>
    </w:p>
    <w:p w:rsidR="00CD0062" w:rsidRPr="00CD0062" w:rsidRDefault="00CD0062" w:rsidP="00CD0062">
      <w:pPr>
        <w:pStyle w:val="ListParagraph"/>
        <w:rPr>
          <w:rFonts w:cstheme="minorHAnsi"/>
          <w:bCs/>
          <w:szCs w:val="22"/>
        </w:rPr>
      </w:pPr>
    </w:p>
    <w:p w:rsidR="00054C9D" w:rsidRDefault="00054C9D" w:rsidP="00054C9D">
      <w:pPr>
        <w:pStyle w:val="ListParagraph"/>
        <w:numPr>
          <w:ilvl w:val="1"/>
          <w:numId w:val="10"/>
        </w:numPr>
        <w:ind w:left="720"/>
        <w:rPr>
          <w:rFonts w:cstheme="minorHAnsi"/>
          <w:bCs/>
          <w:szCs w:val="22"/>
        </w:rPr>
      </w:pPr>
      <w:r w:rsidRPr="00054C9D">
        <w:rPr>
          <w:rFonts w:cstheme="minorHAnsi"/>
          <w:bCs/>
          <w:szCs w:val="22"/>
        </w:rPr>
        <w:t xml:space="preserve">The Chief Executive and the company’s management team will be responsible for the day to day operational running of the company. </w:t>
      </w:r>
    </w:p>
    <w:p w:rsidR="00054C9D" w:rsidRPr="00054C9D" w:rsidRDefault="00054C9D" w:rsidP="00054C9D">
      <w:pPr>
        <w:pStyle w:val="ListParagraph"/>
        <w:rPr>
          <w:rFonts w:cstheme="minorHAnsi"/>
          <w:bCs/>
          <w:szCs w:val="22"/>
        </w:rPr>
      </w:pPr>
    </w:p>
    <w:p w:rsidR="00054C9D" w:rsidRPr="00054C9D" w:rsidRDefault="00054C9D" w:rsidP="00054C9D">
      <w:pPr>
        <w:pStyle w:val="ListParagraph"/>
        <w:numPr>
          <w:ilvl w:val="1"/>
          <w:numId w:val="10"/>
        </w:numPr>
        <w:ind w:left="720"/>
        <w:rPr>
          <w:rFonts w:cstheme="minorHAnsi"/>
          <w:bCs/>
          <w:szCs w:val="22"/>
        </w:rPr>
      </w:pPr>
      <w:r w:rsidRPr="00054C9D">
        <w:rPr>
          <w:rFonts w:cstheme="minorHAnsi"/>
          <w:bCs/>
          <w:szCs w:val="22"/>
        </w:rPr>
        <w:t xml:space="preserve">Membership of the board will reflect a proportionate representation of the membership of the company. Board members will be directors of the company and will be drawn from both schools and the Council. It will be important to balance both fair representation and the size of the Board to ensure efficient running of the company. </w:t>
      </w:r>
    </w:p>
    <w:p w:rsidR="00054C9D" w:rsidRPr="00054C9D" w:rsidRDefault="00054C9D" w:rsidP="00054C9D">
      <w:pPr>
        <w:pStyle w:val="ListParagraph"/>
        <w:rPr>
          <w:rFonts w:cstheme="minorHAnsi"/>
          <w:bCs/>
          <w:szCs w:val="22"/>
        </w:rPr>
      </w:pPr>
    </w:p>
    <w:p w:rsidR="00054C9D" w:rsidRPr="00054C9D" w:rsidRDefault="00054C9D" w:rsidP="00054C9D">
      <w:pPr>
        <w:pStyle w:val="ListParagraph"/>
        <w:numPr>
          <w:ilvl w:val="1"/>
          <w:numId w:val="10"/>
        </w:numPr>
        <w:ind w:left="720"/>
        <w:rPr>
          <w:rFonts w:cstheme="minorHAnsi"/>
          <w:bCs/>
          <w:szCs w:val="22"/>
        </w:rPr>
      </w:pPr>
      <w:r w:rsidRPr="00054C9D">
        <w:rPr>
          <w:rFonts w:cstheme="minorHAnsi"/>
          <w:bCs/>
          <w:szCs w:val="22"/>
        </w:rPr>
        <w:t>The governance structure will consist of:</w:t>
      </w:r>
    </w:p>
    <w:p w:rsidR="00054C9D" w:rsidRPr="00054C9D" w:rsidRDefault="00054C9D" w:rsidP="00054C9D">
      <w:pPr>
        <w:pStyle w:val="ListParagraph"/>
        <w:rPr>
          <w:rFonts w:cstheme="minorHAnsi"/>
          <w:bCs/>
          <w:szCs w:val="22"/>
        </w:rPr>
      </w:pPr>
    </w:p>
    <w:p w:rsidR="00054C9D" w:rsidRPr="00054C9D" w:rsidRDefault="002C66EF" w:rsidP="00054C9D">
      <w:pPr>
        <w:pStyle w:val="ListParagraph"/>
        <w:rPr>
          <w:rFonts w:cstheme="minorHAnsi"/>
          <w:bCs/>
          <w:szCs w:val="22"/>
        </w:rPr>
      </w:pPr>
      <w:r>
        <w:rPr>
          <w:rFonts w:cstheme="minorHAnsi"/>
          <w:bCs/>
          <w:szCs w:val="22"/>
        </w:rPr>
        <w:t xml:space="preserve">Company </w:t>
      </w:r>
      <w:r w:rsidR="00054C9D" w:rsidRPr="00054C9D">
        <w:rPr>
          <w:rFonts w:cstheme="minorHAnsi"/>
          <w:bCs/>
          <w:szCs w:val="22"/>
        </w:rPr>
        <w:t>Members (equivalent of shareholders)</w:t>
      </w:r>
    </w:p>
    <w:p w:rsidR="00054C9D" w:rsidRPr="00054C9D" w:rsidRDefault="00054C9D" w:rsidP="00054C9D">
      <w:pPr>
        <w:pStyle w:val="ListParagraph"/>
        <w:numPr>
          <w:ilvl w:val="0"/>
          <w:numId w:val="23"/>
        </w:numPr>
        <w:rPr>
          <w:lang w:val="en-US"/>
        </w:rPr>
      </w:pPr>
      <w:r w:rsidRPr="00054C9D">
        <w:rPr>
          <w:lang w:val="en-US"/>
        </w:rPr>
        <w:t>London Borough of Barking and Dagenham</w:t>
      </w:r>
    </w:p>
    <w:p w:rsidR="00054C9D" w:rsidRPr="00054C9D" w:rsidRDefault="00054C9D" w:rsidP="00054C9D">
      <w:pPr>
        <w:pStyle w:val="ListParagraph"/>
        <w:numPr>
          <w:ilvl w:val="0"/>
          <w:numId w:val="23"/>
        </w:numPr>
        <w:rPr>
          <w:lang w:val="en-US"/>
        </w:rPr>
      </w:pPr>
      <w:r w:rsidRPr="00054C9D">
        <w:rPr>
          <w:lang w:val="en-US"/>
        </w:rPr>
        <w:t>Schools (membership would be open to any school, academy, 16-19 provider or other state funded provider of education in LBBD)</w:t>
      </w:r>
    </w:p>
    <w:p w:rsidR="00054C9D" w:rsidRPr="00054C9D" w:rsidRDefault="00054C9D" w:rsidP="00054C9D">
      <w:pPr>
        <w:pStyle w:val="ListParagraph"/>
        <w:ind w:left="862"/>
        <w:rPr>
          <w:rFonts w:cstheme="minorHAnsi"/>
          <w:bCs/>
          <w:szCs w:val="22"/>
        </w:rPr>
      </w:pPr>
    </w:p>
    <w:p w:rsidR="00054C9D" w:rsidRPr="00054C9D" w:rsidRDefault="002C66EF" w:rsidP="00054C9D">
      <w:pPr>
        <w:pStyle w:val="ListParagraph"/>
        <w:rPr>
          <w:rFonts w:cstheme="minorHAnsi"/>
          <w:bCs/>
          <w:szCs w:val="22"/>
        </w:rPr>
      </w:pPr>
      <w:r>
        <w:rPr>
          <w:rFonts w:cstheme="minorHAnsi"/>
          <w:bCs/>
          <w:szCs w:val="22"/>
        </w:rPr>
        <w:t xml:space="preserve">Company </w:t>
      </w:r>
      <w:r w:rsidR="00054C9D" w:rsidRPr="00054C9D">
        <w:rPr>
          <w:rFonts w:cstheme="minorHAnsi"/>
          <w:bCs/>
          <w:szCs w:val="22"/>
        </w:rPr>
        <w:t>Directors:</w:t>
      </w:r>
    </w:p>
    <w:p w:rsidR="00054C9D" w:rsidRPr="00054C9D" w:rsidRDefault="00054C9D" w:rsidP="00054C9D">
      <w:pPr>
        <w:pStyle w:val="ListParagraph"/>
        <w:numPr>
          <w:ilvl w:val="0"/>
          <w:numId w:val="23"/>
        </w:numPr>
        <w:rPr>
          <w:lang w:val="en-US"/>
        </w:rPr>
      </w:pPr>
      <w:r w:rsidRPr="00054C9D">
        <w:rPr>
          <w:lang w:val="en-US"/>
        </w:rPr>
        <w:t>No</w:t>
      </w:r>
      <w:r w:rsidR="00933F2F">
        <w:rPr>
          <w:lang w:val="en-US"/>
        </w:rPr>
        <w:t>n- executive Chair (1) – appointed</w:t>
      </w:r>
      <w:r w:rsidRPr="00054C9D">
        <w:rPr>
          <w:lang w:val="en-US"/>
        </w:rPr>
        <w:t xml:space="preserve"> by the board</w:t>
      </w:r>
    </w:p>
    <w:p w:rsidR="00054C9D" w:rsidRPr="00054C9D" w:rsidRDefault="00054C9D" w:rsidP="00054C9D">
      <w:pPr>
        <w:pStyle w:val="ListParagraph"/>
        <w:numPr>
          <w:ilvl w:val="0"/>
          <w:numId w:val="23"/>
        </w:numPr>
        <w:rPr>
          <w:lang w:val="en-US"/>
        </w:rPr>
      </w:pPr>
      <w:r w:rsidRPr="00054C9D">
        <w:rPr>
          <w:lang w:val="en-US"/>
        </w:rPr>
        <w:t>Non-executive Directors (3-5) – elected by schools on a phase basis</w:t>
      </w:r>
    </w:p>
    <w:p w:rsidR="00054C9D" w:rsidRPr="00054C9D" w:rsidRDefault="00054C9D" w:rsidP="00054C9D">
      <w:pPr>
        <w:pStyle w:val="ListParagraph"/>
        <w:numPr>
          <w:ilvl w:val="0"/>
          <w:numId w:val="23"/>
        </w:numPr>
        <w:rPr>
          <w:lang w:val="en-US"/>
        </w:rPr>
      </w:pPr>
      <w:r w:rsidRPr="00054C9D">
        <w:rPr>
          <w:lang w:val="en-US"/>
        </w:rPr>
        <w:t>Non-executive Director (1) Governor</w:t>
      </w:r>
    </w:p>
    <w:p w:rsidR="00054C9D" w:rsidRPr="00054C9D" w:rsidRDefault="00054C9D" w:rsidP="00054C9D">
      <w:pPr>
        <w:pStyle w:val="ListParagraph"/>
        <w:numPr>
          <w:ilvl w:val="0"/>
          <w:numId w:val="23"/>
        </w:numPr>
        <w:rPr>
          <w:lang w:val="en-US"/>
        </w:rPr>
      </w:pPr>
      <w:r w:rsidRPr="00054C9D">
        <w:rPr>
          <w:lang w:val="en-US"/>
        </w:rPr>
        <w:t>Non-executive Director (2) – LBBD</w:t>
      </w:r>
    </w:p>
    <w:p w:rsidR="00054C9D" w:rsidRPr="00054C9D" w:rsidRDefault="00054C9D" w:rsidP="00054C9D">
      <w:pPr>
        <w:pStyle w:val="ListParagraph"/>
        <w:numPr>
          <w:ilvl w:val="0"/>
          <w:numId w:val="23"/>
        </w:numPr>
        <w:rPr>
          <w:lang w:val="en-US"/>
        </w:rPr>
      </w:pPr>
      <w:r w:rsidRPr="00054C9D">
        <w:rPr>
          <w:lang w:val="en-US"/>
        </w:rPr>
        <w:t>Executive Director – CEO of the company</w:t>
      </w:r>
    </w:p>
    <w:p w:rsidR="00054C9D" w:rsidRPr="00054C9D" w:rsidRDefault="00054C9D" w:rsidP="00054C9D">
      <w:pPr>
        <w:pStyle w:val="ListParagraph"/>
        <w:numPr>
          <w:ilvl w:val="0"/>
          <w:numId w:val="23"/>
        </w:numPr>
        <w:rPr>
          <w:lang w:val="en-US"/>
        </w:rPr>
      </w:pPr>
      <w:r w:rsidRPr="00054C9D">
        <w:rPr>
          <w:lang w:val="en-US"/>
        </w:rPr>
        <w:t>Indepen</w:t>
      </w:r>
      <w:r>
        <w:rPr>
          <w:lang w:val="en-US"/>
        </w:rPr>
        <w:t>dent Non- Executive Directors (</w:t>
      </w:r>
      <w:r w:rsidRPr="00054C9D">
        <w:rPr>
          <w:lang w:val="en-US"/>
        </w:rPr>
        <w:t>up to 2)</w:t>
      </w:r>
    </w:p>
    <w:p w:rsidR="00054C9D" w:rsidRPr="00054C9D" w:rsidRDefault="00054C9D" w:rsidP="00054C9D">
      <w:pPr>
        <w:pStyle w:val="ListParagraph"/>
        <w:rPr>
          <w:rFonts w:cstheme="minorHAnsi"/>
          <w:bCs/>
          <w:szCs w:val="22"/>
        </w:rPr>
      </w:pPr>
    </w:p>
    <w:p w:rsidR="00054C9D" w:rsidRPr="00054C9D" w:rsidRDefault="00054C9D" w:rsidP="00054C9D">
      <w:pPr>
        <w:pStyle w:val="ListParagraph"/>
        <w:numPr>
          <w:ilvl w:val="1"/>
          <w:numId w:val="10"/>
        </w:numPr>
        <w:ind w:left="720"/>
        <w:rPr>
          <w:rFonts w:cstheme="minorHAnsi"/>
          <w:bCs/>
          <w:szCs w:val="22"/>
        </w:rPr>
      </w:pPr>
      <w:r w:rsidRPr="00054C9D">
        <w:rPr>
          <w:rFonts w:cstheme="minorHAnsi"/>
          <w:bCs/>
          <w:szCs w:val="22"/>
        </w:rPr>
        <w:t>The directors will have a legal duty to act in the best interests of the company, to promote its success and to avoid any conflicts of interest. The role of the board of directors is to:</w:t>
      </w:r>
    </w:p>
    <w:p w:rsidR="00054C9D" w:rsidRPr="00054C9D" w:rsidRDefault="00054C9D" w:rsidP="00054C9D">
      <w:pPr>
        <w:pStyle w:val="ListParagraph"/>
        <w:rPr>
          <w:rFonts w:cstheme="minorHAnsi"/>
          <w:bCs/>
          <w:szCs w:val="22"/>
        </w:rPr>
      </w:pPr>
    </w:p>
    <w:p w:rsidR="00054C9D" w:rsidRPr="00054C9D" w:rsidRDefault="00054C9D" w:rsidP="00054C9D">
      <w:pPr>
        <w:pStyle w:val="ListParagraph"/>
        <w:numPr>
          <w:ilvl w:val="0"/>
          <w:numId w:val="23"/>
        </w:numPr>
        <w:rPr>
          <w:lang w:val="en-US"/>
        </w:rPr>
      </w:pPr>
      <w:r w:rsidRPr="00054C9D">
        <w:rPr>
          <w:lang w:val="en-US"/>
        </w:rPr>
        <w:t>be responsible for the good governance of the company</w:t>
      </w:r>
    </w:p>
    <w:p w:rsidR="00054C9D" w:rsidRPr="00054C9D" w:rsidRDefault="00054C9D" w:rsidP="00054C9D">
      <w:pPr>
        <w:pStyle w:val="ListParagraph"/>
        <w:numPr>
          <w:ilvl w:val="0"/>
          <w:numId w:val="23"/>
        </w:numPr>
        <w:rPr>
          <w:lang w:val="en-US"/>
        </w:rPr>
      </w:pPr>
      <w:r w:rsidRPr="00054C9D">
        <w:rPr>
          <w:lang w:val="en-US"/>
        </w:rPr>
        <w:t>set the company’s strategic aims</w:t>
      </w:r>
    </w:p>
    <w:p w:rsidR="00054C9D" w:rsidRPr="00054C9D" w:rsidRDefault="00054C9D" w:rsidP="00054C9D">
      <w:pPr>
        <w:pStyle w:val="ListParagraph"/>
        <w:numPr>
          <w:ilvl w:val="0"/>
          <w:numId w:val="23"/>
        </w:numPr>
        <w:rPr>
          <w:lang w:val="en-US"/>
        </w:rPr>
      </w:pPr>
      <w:r w:rsidRPr="00054C9D">
        <w:rPr>
          <w:lang w:val="en-US"/>
        </w:rPr>
        <w:t>provide the leadership to achieve those aims</w:t>
      </w:r>
    </w:p>
    <w:p w:rsidR="00054C9D" w:rsidRPr="00054C9D" w:rsidRDefault="00054C9D" w:rsidP="00054C9D">
      <w:pPr>
        <w:pStyle w:val="ListParagraph"/>
        <w:numPr>
          <w:ilvl w:val="0"/>
          <w:numId w:val="23"/>
        </w:numPr>
        <w:rPr>
          <w:lang w:val="en-US"/>
        </w:rPr>
      </w:pPr>
      <w:r w:rsidRPr="00054C9D">
        <w:rPr>
          <w:lang w:val="en-US"/>
        </w:rPr>
        <w:t>supervise the management of the business and hold the management team to account</w:t>
      </w:r>
    </w:p>
    <w:p w:rsidR="00054C9D" w:rsidRPr="00054C9D" w:rsidRDefault="00054C9D" w:rsidP="00054C9D">
      <w:pPr>
        <w:pStyle w:val="ListParagraph"/>
        <w:numPr>
          <w:ilvl w:val="0"/>
          <w:numId w:val="23"/>
        </w:numPr>
        <w:rPr>
          <w:lang w:val="en-US"/>
        </w:rPr>
      </w:pPr>
      <w:r w:rsidRPr="00054C9D">
        <w:rPr>
          <w:lang w:val="en-US"/>
        </w:rPr>
        <w:t>report to shareholders on their stewardship.</w:t>
      </w:r>
    </w:p>
    <w:p w:rsidR="00054C9D" w:rsidRPr="00054C9D" w:rsidRDefault="00054C9D" w:rsidP="00054C9D">
      <w:pPr>
        <w:pStyle w:val="ListParagraph"/>
        <w:rPr>
          <w:rFonts w:cstheme="minorHAnsi"/>
          <w:bCs/>
          <w:szCs w:val="22"/>
        </w:rPr>
      </w:pPr>
    </w:p>
    <w:p w:rsidR="00054C9D" w:rsidRPr="00054C9D" w:rsidRDefault="00054C9D" w:rsidP="00054C9D">
      <w:pPr>
        <w:pStyle w:val="ListParagraph"/>
        <w:numPr>
          <w:ilvl w:val="1"/>
          <w:numId w:val="10"/>
        </w:numPr>
        <w:ind w:left="720"/>
        <w:rPr>
          <w:rFonts w:cstheme="minorHAnsi"/>
          <w:bCs/>
          <w:szCs w:val="22"/>
        </w:rPr>
      </w:pPr>
      <w:r w:rsidRPr="00054C9D">
        <w:rPr>
          <w:rFonts w:cstheme="minorHAnsi"/>
          <w:bCs/>
          <w:szCs w:val="22"/>
        </w:rPr>
        <w:t>In addition, the Board must ensure it has oversight of the following functions:</w:t>
      </w:r>
    </w:p>
    <w:p w:rsidR="00054C9D" w:rsidRPr="00054C9D" w:rsidRDefault="00054C9D" w:rsidP="00054C9D">
      <w:pPr>
        <w:pStyle w:val="ListParagraph"/>
        <w:rPr>
          <w:rFonts w:cstheme="minorHAnsi"/>
          <w:bCs/>
          <w:szCs w:val="22"/>
        </w:rPr>
      </w:pPr>
    </w:p>
    <w:p w:rsidR="00054C9D" w:rsidRPr="00054C9D" w:rsidRDefault="00054C9D" w:rsidP="00054C9D">
      <w:pPr>
        <w:pStyle w:val="ListParagraph"/>
        <w:numPr>
          <w:ilvl w:val="0"/>
          <w:numId w:val="23"/>
        </w:numPr>
        <w:rPr>
          <w:lang w:val="en-US"/>
        </w:rPr>
      </w:pPr>
      <w:r w:rsidRPr="00054C9D">
        <w:rPr>
          <w:lang w:val="en-US"/>
        </w:rPr>
        <w:t>proper application of funds and risk management</w:t>
      </w:r>
    </w:p>
    <w:p w:rsidR="00054C9D" w:rsidRPr="00054C9D" w:rsidRDefault="00054C9D" w:rsidP="00054C9D">
      <w:pPr>
        <w:pStyle w:val="ListParagraph"/>
        <w:numPr>
          <w:ilvl w:val="0"/>
          <w:numId w:val="23"/>
        </w:numPr>
        <w:rPr>
          <w:lang w:val="en-US"/>
        </w:rPr>
      </w:pPr>
      <w:r w:rsidRPr="00054C9D">
        <w:rPr>
          <w:lang w:val="en-US"/>
        </w:rPr>
        <w:t>process of appointments to the Board</w:t>
      </w:r>
    </w:p>
    <w:p w:rsidR="00054C9D" w:rsidRDefault="00054C9D" w:rsidP="00054C9D">
      <w:pPr>
        <w:pStyle w:val="ListParagraph"/>
        <w:numPr>
          <w:ilvl w:val="0"/>
          <w:numId w:val="23"/>
        </w:numPr>
        <w:rPr>
          <w:lang w:val="en-US"/>
        </w:rPr>
      </w:pPr>
      <w:r w:rsidRPr="00054C9D">
        <w:rPr>
          <w:lang w:val="en-US"/>
        </w:rPr>
        <w:t>Chief Executive’s remuneration</w:t>
      </w:r>
    </w:p>
    <w:p w:rsidR="00054C9D" w:rsidRPr="00054C9D" w:rsidRDefault="00054C9D" w:rsidP="00054C9D">
      <w:pPr>
        <w:pStyle w:val="ListParagraph"/>
        <w:ind w:left="1440"/>
        <w:rPr>
          <w:lang w:val="en-US"/>
        </w:rPr>
      </w:pPr>
    </w:p>
    <w:p w:rsidR="00CD0062" w:rsidRDefault="00054C9D" w:rsidP="00054C9D">
      <w:pPr>
        <w:pStyle w:val="ListParagraph"/>
        <w:numPr>
          <w:ilvl w:val="1"/>
          <w:numId w:val="10"/>
        </w:numPr>
        <w:ind w:left="720"/>
        <w:rPr>
          <w:rFonts w:cstheme="minorHAnsi"/>
          <w:bCs/>
          <w:szCs w:val="22"/>
        </w:rPr>
      </w:pPr>
      <w:r w:rsidRPr="00054C9D">
        <w:rPr>
          <w:rFonts w:cstheme="minorHAnsi"/>
          <w:bCs/>
          <w:szCs w:val="22"/>
        </w:rPr>
        <w:t xml:space="preserve">It will be the responsibility of the Company to manage relationships with its members. </w:t>
      </w:r>
    </w:p>
    <w:p w:rsidR="00CD0062" w:rsidRDefault="00CD0062" w:rsidP="00CD0062">
      <w:pPr>
        <w:pStyle w:val="ListParagraph"/>
        <w:rPr>
          <w:rFonts w:cstheme="minorHAnsi"/>
          <w:bCs/>
          <w:szCs w:val="22"/>
        </w:rPr>
      </w:pPr>
    </w:p>
    <w:p w:rsidR="00054C9D" w:rsidRPr="00054C9D" w:rsidRDefault="00054C9D" w:rsidP="00054C9D">
      <w:pPr>
        <w:pStyle w:val="ListParagraph"/>
        <w:numPr>
          <w:ilvl w:val="1"/>
          <w:numId w:val="10"/>
        </w:numPr>
        <w:ind w:left="720"/>
        <w:rPr>
          <w:rFonts w:cstheme="minorHAnsi"/>
          <w:bCs/>
          <w:szCs w:val="22"/>
        </w:rPr>
      </w:pPr>
      <w:r w:rsidRPr="00054C9D">
        <w:rPr>
          <w:rFonts w:cstheme="minorHAnsi"/>
          <w:bCs/>
          <w:szCs w:val="22"/>
        </w:rPr>
        <w:t>Schools and the Council will also be customers and the CEO and senior m</w:t>
      </w:r>
      <w:r w:rsidR="008A6330">
        <w:rPr>
          <w:rFonts w:cstheme="minorHAnsi"/>
          <w:bCs/>
          <w:szCs w:val="22"/>
        </w:rPr>
        <w:t>anagement team will monitor</w:t>
      </w:r>
      <w:r w:rsidRPr="00054C9D">
        <w:rPr>
          <w:rFonts w:cstheme="minorHAnsi"/>
          <w:bCs/>
          <w:szCs w:val="22"/>
        </w:rPr>
        <w:t xml:space="preserve"> quality assurance and value for money in the delivery of services to ensure continued and growth of business.</w:t>
      </w:r>
    </w:p>
    <w:p w:rsidR="00054C9D" w:rsidRPr="00054C9D" w:rsidRDefault="00054C9D" w:rsidP="00054C9D">
      <w:pPr>
        <w:pStyle w:val="ListParagraph"/>
        <w:rPr>
          <w:rFonts w:cstheme="minorHAnsi"/>
          <w:bCs/>
          <w:szCs w:val="22"/>
        </w:rPr>
      </w:pPr>
    </w:p>
    <w:p w:rsidR="00063C71" w:rsidRPr="00054C9D" w:rsidRDefault="00054C9D" w:rsidP="00054C9D">
      <w:pPr>
        <w:pStyle w:val="ListParagraph"/>
        <w:numPr>
          <w:ilvl w:val="1"/>
          <w:numId w:val="10"/>
        </w:numPr>
        <w:ind w:left="720"/>
        <w:rPr>
          <w:rFonts w:cstheme="minorHAnsi"/>
          <w:bCs/>
          <w:szCs w:val="22"/>
        </w:rPr>
      </w:pPr>
      <w:r w:rsidRPr="00054C9D">
        <w:rPr>
          <w:rFonts w:cstheme="minorHAnsi"/>
          <w:bCs/>
          <w:szCs w:val="22"/>
        </w:rPr>
        <w:t xml:space="preserve">The partnership between the Council, the company and its schools will have at its heart, the best interests of the children and young people of the Borough and will evolve over time as needed. </w:t>
      </w:r>
    </w:p>
    <w:p w:rsidR="00063C71" w:rsidRDefault="00063C71" w:rsidP="008B0EF5">
      <w:pPr>
        <w:rPr>
          <w:lang w:val="en-US"/>
        </w:rPr>
      </w:pPr>
    </w:p>
    <w:p w:rsidR="00054C9D" w:rsidRDefault="00054C9D" w:rsidP="00054C9D">
      <w:pPr>
        <w:ind w:left="720"/>
        <w:rPr>
          <w:b/>
        </w:rPr>
      </w:pPr>
      <w:bookmarkStart w:id="1" w:name="_Toc476317782"/>
      <w:r w:rsidRPr="00DF454D">
        <w:rPr>
          <w:b/>
        </w:rPr>
        <w:t>Commissioning and Contract Management</w:t>
      </w:r>
      <w:bookmarkEnd w:id="1"/>
    </w:p>
    <w:p w:rsidR="00054C9D" w:rsidRPr="00DF454D" w:rsidRDefault="00054C9D" w:rsidP="00054C9D">
      <w:pPr>
        <w:ind w:left="720"/>
      </w:pPr>
    </w:p>
    <w:p w:rsidR="00054C9D" w:rsidRPr="00054C9D" w:rsidRDefault="00054C9D" w:rsidP="00CD0062">
      <w:pPr>
        <w:pStyle w:val="ListParagraph"/>
        <w:numPr>
          <w:ilvl w:val="1"/>
          <w:numId w:val="10"/>
        </w:numPr>
        <w:ind w:left="720"/>
        <w:rPr>
          <w:rFonts w:cstheme="minorHAnsi"/>
          <w:szCs w:val="22"/>
        </w:rPr>
      </w:pPr>
      <w:r w:rsidRPr="00054C9D">
        <w:rPr>
          <w:rFonts w:cstheme="minorHAnsi"/>
          <w:szCs w:val="22"/>
        </w:rPr>
        <w:t>The Council will be both a member of the company and a commissioner of statutory and priority services from the company, who will deliver these on the Council’s behalf, through an annual Service Delivery Agreement.</w:t>
      </w:r>
      <w:r w:rsidRPr="00054C9D">
        <w:t xml:space="preserve"> </w:t>
      </w:r>
      <w:r w:rsidRPr="00054C9D">
        <w:rPr>
          <w:rFonts w:cstheme="minorHAnsi"/>
          <w:szCs w:val="22"/>
        </w:rPr>
        <w:t>Th</w:t>
      </w:r>
      <w:r w:rsidR="00CD0062">
        <w:rPr>
          <w:rFonts w:cstheme="minorHAnsi"/>
          <w:szCs w:val="22"/>
        </w:rPr>
        <w:t>is</w:t>
      </w:r>
      <w:r w:rsidRPr="00054C9D">
        <w:rPr>
          <w:rFonts w:cstheme="minorHAnsi"/>
          <w:szCs w:val="22"/>
        </w:rPr>
        <w:t xml:space="preserve"> </w:t>
      </w:r>
      <w:r>
        <w:rPr>
          <w:rFonts w:cstheme="minorHAnsi"/>
          <w:szCs w:val="22"/>
        </w:rPr>
        <w:t>agreement</w:t>
      </w:r>
      <w:r w:rsidRPr="00054C9D">
        <w:rPr>
          <w:rFonts w:cstheme="minorHAnsi"/>
          <w:szCs w:val="22"/>
        </w:rPr>
        <w:t xml:space="preserve"> will contain Key Performance Indicators and will be monitored quarterly in line with the Council’s contract regulations. </w:t>
      </w:r>
    </w:p>
    <w:p w:rsidR="00054C9D" w:rsidRPr="00DF454D" w:rsidRDefault="00054C9D" w:rsidP="00054C9D">
      <w:pPr>
        <w:pStyle w:val="ListParagraph"/>
        <w:rPr>
          <w:rFonts w:cstheme="minorHAnsi"/>
          <w:szCs w:val="22"/>
        </w:rPr>
      </w:pPr>
    </w:p>
    <w:p w:rsidR="00054C9D" w:rsidRPr="00054C9D" w:rsidRDefault="00054C9D" w:rsidP="00054C9D">
      <w:pPr>
        <w:pStyle w:val="ListParagraph"/>
        <w:numPr>
          <w:ilvl w:val="1"/>
          <w:numId w:val="10"/>
        </w:numPr>
        <w:ind w:left="720"/>
        <w:rPr>
          <w:b/>
          <w:color w:val="000000"/>
          <w:u w:val="single"/>
        </w:rPr>
      </w:pPr>
      <w:r w:rsidRPr="00DF454D">
        <w:rPr>
          <w:rFonts w:cstheme="minorHAnsi"/>
          <w:bCs/>
          <w:szCs w:val="22"/>
        </w:rPr>
        <w:t xml:space="preserve">The </w:t>
      </w:r>
      <w:r w:rsidR="00AD7F33">
        <w:rPr>
          <w:rFonts w:cstheme="minorHAnsi"/>
          <w:bCs/>
          <w:szCs w:val="22"/>
        </w:rPr>
        <w:t xml:space="preserve">Council’s </w:t>
      </w:r>
      <w:r w:rsidRPr="00DF454D">
        <w:rPr>
          <w:rFonts w:cstheme="minorHAnsi"/>
          <w:bCs/>
          <w:szCs w:val="22"/>
        </w:rPr>
        <w:t>corporate core and commissioning function will manage and monitor the contract with the School Improvement Partnership company.</w:t>
      </w:r>
    </w:p>
    <w:p w:rsidR="00054C9D" w:rsidRPr="00054C9D" w:rsidRDefault="00054C9D" w:rsidP="00054C9D">
      <w:pPr>
        <w:pStyle w:val="ListParagraph"/>
        <w:rPr>
          <w:rFonts w:cstheme="minorHAnsi"/>
          <w:bCs/>
          <w:szCs w:val="22"/>
        </w:rPr>
      </w:pPr>
    </w:p>
    <w:p w:rsidR="00054C9D" w:rsidRPr="00054C9D" w:rsidRDefault="00054C9D" w:rsidP="00054C9D">
      <w:pPr>
        <w:pStyle w:val="ListParagraph"/>
        <w:numPr>
          <w:ilvl w:val="1"/>
          <w:numId w:val="10"/>
        </w:numPr>
        <w:ind w:left="720"/>
        <w:rPr>
          <w:rFonts w:cstheme="minorHAnsi"/>
          <w:bCs/>
          <w:szCs w:val="22"/>
        </w:rPr>
      </w:pPr>
      <w:r w:rsidRPr="00054C9D">
        <w:rPr>
          <w:rFonts w:cstheme="minorHAnsi"/>
          <w:bCs/>
          <w:szCs w:val="22"/>
        </w:rPr>
        <w:t xml:space="preserve">The Council’s Education Commissioning Director will identify, set and monitor the strategic priorities, statutory requirements and educational outcomes which it requires the company to deliver on its behalf.  </w:t>
      </w:r>
    </w:p>
    <w:p w:rsidR="00996710" w:rsidRDefault="00996710" w:rsidP="00F7272A">
      <w:pPr>
        <w:rPr>
          <w:rFonts w:cs="Arial"/>
        </w:rPr>
      </w:pPr>
    </w:p>
    <w:p w:rsidR="006E145D" w:rsidRDefault="006E145D" w:rsidP="00063C71">
      <w:pPr>
        <w:pStyle w:val="ListParagraph"/>
        <w:numPr>
          <w:ilvl w:val="0"/>
          <w:numId w:val="10"/>
        </w:numPr>
        <w:ind w:left="360"/>
        <w:rPr>
          <w:rFonts w:cs="Arial"/>
          <w:b/>
        </w:rPr>
      </w:pPr>
      <w:r>
        <w:rPr>
          <w:rFonts w:cs="Arial"/>
          <w:b/>
        </w:rPr>
        <w:t xml:space="preserve">Consultation </w:t>
      </w:r>
    </w:p>
    <w:p w:rsidR="006E145D" w:rsidRDefault="006E145D" w:rsidP="00F7272A">
      <w:pPr>
        <w:autoSpaceDE w:val="0"/>
        <w:autoSpaceDN w:val="0"/>
        <w:adjustRightInd w:val="0"/>
        <w:rPr>
          <w:rFonts w:cs="Arial"/>
          <w:b/>
        </w:rPr>
      </w:pPr>
    </w:p>
    <w:p w:rsidR="001F6D6E" w:rsidRPr="001F6D6E" w:rsidRDefault="001F6D6E" w:rsidP="001F6D6E">
      <w:pPr>
        <w:pStyle w:val="ListParagraph"/>
        <w:numPr>
          <w:ilvl w:val="1"/>
          <w:numId w:val="10"/>
        </w:numPr>
        <w:autoSpaceDE w:val="0"/>
        <w:autoSpaceDN w:val="0"/>
        <w:adjustRightInd w:val="0"/>
        <w:ind w:left="720"/>
        <w:rPr>
          <w:color w:val="000000"/>
        </w:rPr>
      </w:pPr>
      <w:r w:rsidRPr="001F6D6E">
        <w:rPr>
          <w:color w:val="000000"/>
        </w:rPr>
        <w:t>A review was commissioned in 2016 by the Council to understand the views of Schools Forum members on the future of school improvement services and partnership working.  With mostly positive support, it was identified that a quick response was required and new arrangements should be different reflecting the new educational landscape and not the local authority in a new guise.</w:t>
      </w:r>
    </w:p>
    <w:p w:rsidR="001F6D6E" w:rsidRPr="001F6D6E" w:rsidRDefault="001F6D6E" w:rsidP="001F6D6E">
      <w:pPr>
        <w:pStyle w:val="ListParagraph"/>
        <w:rPr>
          <w:color w:val="000000"/>
        </w:rPr>
      </w:pPr>
    </w:p>
    <w:p w:rsidR="001F6D6E" w:rsidRPr="001F6D6E" w:rsidRDefault="001F6D6E" w:rsidP="00801DF3">
      <w:pPr>
        <w:pStyle w:val="ListParagraph"/>
        <w:numPr>
          <w:ilvl w:val="1"/>
          <w:numId w:val="10"/>
        </w:numPr>
        <w:autoSpaceDE w:val="0"/>
        <w:autoSpaceDN w:val="0"/>
        <w:adjustRightInd w:val="0"/>
        <w:ind w:left="720"/>
        <w:rPr>
          <w:color w:val="000000"/>
        </w:rPr>
      </w:pPr>
      <w:r w:rsidRPr="001F6D6E">
        <w:rPr>
          <w:color w:val="000000"/>
        </w:rPr>
        <w:t xml:space="preserve">A further consultation was conducted in January 2017. This included meetings </w:t>
      </w:r>
      <w:r w:rsidR="00933DFC">
        <w:rPr>
          <w:color w:val="000000"/>
        </w:rPr>
        <w:t xml:space="preserve">and an online survey </w:t>
      </w:r>
      <w:r w:rsidRPr="001F6D6E">
        <w:rPr>
          <w:color w:val="000000"/>
        </w:rPr>
        <w:t xml:space="preserve">with all Head Teachers and Chairs of Governors to gather their views on both current services and the development of the School Improvement </w:t>
      </w:r>
      <w:r w:rsidR="00090682">
        <w:rPr>
          <w:color w:val="000000"/>
        </w:rPr>
        <w:lastRenderedPageBreak/>
        <w:t>Partnership company. Following</w:t>
      </w:r>
      <w:r w:rsidRPr="001F6D6E">
        <w:rPr>
          <w:color w:val="000000"/>
        </w:rPr>
        <w:t xml:space="preserve"> this exercise, a decision was taken in principle to support the development of the proposed new company. </w:t>
      </w:r>
    </w:p>
    <w:p w:rsidR="001F6D6E" w:rsidRPr="005A17F1" w:rsidRDefault="001F6D6E" w:rsidP="005A17F1">
      <w:pPr>
        <w:rPr>
          <w:color w:val="000000"/>
        </w:rPr>
      </w:pPr>
    </w:p>
    <w:p w:rsidR="001F6D6E" w:rsidRPr="001F6D6E" w:rsidRDefault="001F6D6E" w:rsidP="00DF454D">
      <w:pPr>
        <w:pStyle w:val="ListParagraph"/>
        <w:numPr>
          <w:ilvl w:val="1"/>
          <w:numId w:val="10"/>
        </w:numPr>
        <w:autoSpaceDE w:val="0"/>
        <w:autoSpaceDN w:val="0"/>
        <w:adjustRightInd w:val="0"/>
        <w:ind w:left="720"/>
        <w:rPr>
          <w:color w:val="000000"/>
        </w:rPr>
      </w:pPr>
      <w:r w:rsidRPr="001F6D6E">
        <w:rPr>
          <w:color w:val="000000"/>
        </w:rPr>
        <w:t xml:space="preserve">It is recommended that going forward there are further consultations/market tests on communications and marketing </w:t>
      </w:r>
      <w:r w:rsidR="006D7981">
        <w:rPr>
          <w:color w:val="000000"/>
        </w:rPr>
        <w:t>strategies. This will ensure that all schools are informed about the services the new company will offer and the benefits of membership.</w:t>
      </w:r>
    </w:p>
    <w:p w:rsidR="001F6D6E" w:rsidRPr="001F6D6E" w:rsidRDefault="001F6D6E" w:rsidP="001F6D6E">
      <w:pPr>
        <w:pStyle w:val="ListParagraph"/>
        <w:rPr>
          <w:color w:val="000000"/>
        </w:rPr>
      </w:pPr>
    </w:p>
    <w:p w:rsidR="00063C71" w:rsidRPr="00E27273" w:rsidRDefault="00E27273" w:rsidP="00637701">
      <w:pPr>
        <w:pStyle w:val="ListParagraph"/>
        <w:numPr>
          <w:ilvl w:val="1"/>
          <w:numId w:val="10"/>
        </w:numPr>
        <w:autoSpaceDE w:val="0"/>
        <w:autoSpaceDN w:val="0"/>
        <w:adjustRightInd w:val="0"/>
        <w:ind w:left="720"/>
        <w:rPr>
          <w:color w:val="000000"/>
        </w:rPr>
      </w:pPr>
      <w:r w:rsidRPr="00E27273">
        <w:rPr>
          <w:color w:val="000000"/>
        </w:rPr>
        <w:t xml:space="preserve">Informal </w:t>
      </w:r>
      <w:r>
        <w:rPr>
          <w:color w:val="000000"/>
        </w:rPr>
        <w:t>c</w:t>
      </w:r>
      <w:r w:rsidR="001F6D6E" w:rsidRPr="00E27273">
        <w:rPr>
          <w:color w:val="000000"/>
        </w:rPr>
        <w:t>onsultations have</w:t>
      </w:r>
      <w:r w:rsidRPr="00E27273">
        <w:rPr>
          <w:color w:val="000000"/>
        </w:rPr>
        <w:t xml:space="preserve"> taken place with</w:t>
      </w:r>
      <w:r w:rsidR="00F31EAD">
        <w:rPr>
          <w:color w:val="000000"/>
        </w:rPr>
        <w:t xml:space="preserve"> </w:t>
      </w:r>
      <w:r w:rsidR="001F6D6E" w:rsidRPr="00E27273">
        <w:rPr>
          <w:color w:val="000000"/>
        </w:rPr>
        <w:t>staff</w:t>
      </w:r>
      <w:r>
        <w:rPr>
          <w:color w:val="000000"/>
        </w:rPr>
        <w:t xml:space="preserve"> and unions through roadshows and meetings.</w:t>
      </w:r>
    </w:p>
    <w:p w:rsidR="00CB5CCD" w:rsidRPr="00905F37" w:rsidRDefault="00063C71" w:rsidP="00905F37">
      <w:pPr>
        <w:pStyle w:val="ListParagraph"/>
        <w:numPr>
          <w:ilvl w:val="1"/>
          <w:numId w:val="10"/>
        </w:numPr>
        <w:autoSpaceDE w:val="0"/>
        <w:autoSpaceDN w:val="0"/>
        <w:adjustRightInd w:val="0"/>
        <w:ind w:left="720"/>
        <w:rPr>
          <w:rFonts w:cs="Arial"/>
        </w:rPr>
      </w:pPr>
      <w:r w:rsidRPr="00905F37">
        <w:rPr>
          <w:color w:val="000000"/>
        </w:rPr>
        <w:t xml:space="preserve">A </w:t>
      </w:r>
      <w:r w:rsidR="004C3DE7" w:rsidRPr="00905F37">
        <w:rPr>
          <w:color w:val="000000"/>
        </w:rPr>
        <w:t xml:space="preserve">full </w:t>
      </w:r>
      <w:r w:rsidR="00B012AE" w:rsidRPr="00905F37">
        <w:rPr>
          <w:color w:val="000000"/>
        </w:rPr>
        <w:t xml:space="preserve">staff consultation will occur ahead of the creation of </w:t>
      </w:r>
      <w:r w:rsidR="00DF454D" w:rsidRPr="00905F37">
        <w:rPr>
          <w:color w:val="000000"/>
        </w:rPr>
        <w:t>School Improvement Partnership</w:t>
      </w:r>
      <w:r w:rsidR="001B0574" w:rsidRPr="00905F37">
        <w:rPr>
          <w:color w:val="000000"/>
        </w:rPr>
        <w:t xml:space="preserve"> </w:t>
      </w:r>
      <w:r w:rsidR="00B012AE" w:rsidRPr="00905F37">
        <w:rPr>
          <w:color w:val="000000"/>
        </w:rPr>
        <w:t xml:space="preserve">including </w:t>
      </w:r>
      <w:r w:rsidR="001816C8" w:rsidRPr="00905F37">
        <w:rPr>
          <w:color w:val="000000"/>
        </w:rPr>
        <w:t xml:space="preserve">the </w:t>
      </w:r>
      <w:r w:rsidR="004C3DE7" w:rsidRPr="00905F37">
        <w:rPr>
          <w:color w:val="000000"/>
        </w:rPr>
        <w:t xml:space="preserve">details of the </w:t>
      </w:r>
      <w:r w:rsidR="001816C8">
        <w:t>TUPE process</w:t>
      </w:r>
      <w:r w:rsidR="001B0574">
        <w:t xml:space="preserve"> and</w:t>
      </w:r>
      <w:r w:rsidR="001816C8">
        <w:t xml:space="preserve"> </w:t>
      </w:r>
      <w:r w:rsidR="00785A12">
        <w:t>p</w:t>
      </w:r>
      <w:r w:rsidR="001816C8">
        <w:t>ension implications</w:t>
      </w:r>
      <w:r w:rsidR="001B0574">
        <w:t xml:space="preserve">. </w:t>
      </w:r>
    </w:p>
    <w:p w:rsidR="004C3DE7" w:rsidRPr="004C3DE7" w:rsidRDefault="004C3DE7" w:rsidP="00EC4D36">
      <w:pPr>
        <w:pStyle w:val="ListParagraph"/>
        <w:rPr>
          <w:rFonts w:cs="Arial"/>
        </w:rPr>
      </w:pPr>
    </w:p>
    <w:p w:rsidR="004C3DE7" w:rsidRPr="00DF454D" w:rsidRDefault="00DF454D" w:rsidP="00DF454D">
      <w:pPr>
        <w:pStyle w:val="ListParagraph"/>
        <w:numPr>
          <w:ilvl w:val="1"/>
          <w:numId w:val="10"/>
        </w:numPr>
        <w:autoSpaceDE w:val="0"/>
        <w:autoSpaceDN w:val="0"/>
        <w:adjustRightInd w:val="0"/>
        <w:ind w:left="720"/>
        <w:rPr>
          <w:rFonts w:cs="Arial"/>
        </w:rPr>
      </w:pPr>
      <w:r>
        <w:rPr>
          <w:rFonts w:cs="Arial"/>
        </w:rPr>
        <w:t xml:space="preserve">A </w:t>
      </w:r>
      <w:r w:rsidR="001B0574">
        <w:rPr>
          <w:rFonts w:cs="Arial"/>
        </w:rPr>
        <w:t>D</w:t>
      </w:r>
      <w:r w:rsidR="004C3DE7">
        <w:rPr>
          <w:rFonts w:cs="Arial"/>
        </w:rPr>
        <w:t xml:space="preserve">raft Equalities Impact </w:t>
      </w:r>
      <w:r>
        <w:rPr>
          <w:rFonts w:cs="Arial"/>
        </w:rPr>
        <w:t>Statement</w:t>
      </w:r>
      <w:r w:rsidR="00AA4DF5" w:rsidRPr="00DF454D">
        <w:rPr>
          <w:rFonts w:cs="Arial"/>
        </w:rPr>
        <w:t xml:space="preserve"> </w:t>
      </w:r>
      <w:r w:rsidR="004C3DE7" w:rsidRPr="00DF454D">
        <w:rPr>
          <w:rFonts w:cs="Arial"/>
        </w:rPr>
        <w:t>ha</w:t>
      </w:r>
      <w:r>
        <w:rPr>
          <w:rFonts w:cs="Arial"/>
        </w:rPr>
        <w:t>s</w:t>
      </w:r>
      <w:r w:rsidR="004C3DE7" w:rsidRPr="00DF454D">
        <w:rPr>
          <w:rFonts w:cs="Arial"/>
        </w:rPr>
        <w:t xml:space="preserve"> been developed (Appendix </w:t>
      </w:r>
      <w:r>
        <w:rPr>
          <w:rFonts w:cs="Arial"/>
        </w:rPr>
        <w:t>B</w:t>
      </w:r>
      <w:r w:rsidR="004C3DE7" w:rsidRPr="00DF454D">
        <w:rPr>
          <w:rFonts w:cs="Arial"/>
        </w:rPr>
        <w:t>). Th</w:t>
      </w:r>
      <w:r>
        <w:rPr>
          <w:rFonts w:cs="Arial"/>
        </w:rPr>
        <w:t>is</w:t>
      </w:r>
      <w:r w:rsidR="004C3DE7" w:rsidRPr="00DF454D">
        <w:rPr>
          <w:rFonts w:cs="Arial"/>
        </w:rPr>
        <w:t xml:space="preserve"> will be further developed as part of the staff consultation exercise, incorporating feedback ahead of the implementation and TUPE process required to create </w:t>
      </w:r>
      <w:r w:rsidR="001B0574" w:rsidRPr="00DF454D">
        <w:rPr>
          <w:rFonts w:cs="Arial"/>
        </w:rPr>
        <w:t>the new company</w:t>
      </w:r>
      <w:r w:rsidR="004C3DE7" w:rsidRPr="00DF454D">
        <w:rPr>
          <w:rFonts w:cs="Arial"/>
        </w:rPr>
        <w:t xml:space="preserve">. </w:t>
      </w:r>
    </w:p>
    <w:p w:rsidR="00996710" w:rsidRPr="00956B61" w:rsidRDefault="00996710" w:rsidP="00F7272A">
      <w:pPr>
        <w:autoSpaceDE w:val="0"/>
        <w:autoSpaceDN w:val="0"/>
        <w:adjustRightInd w:val="0"/>
        <w:rPr>
          <w:rFonts w:cs="Arial"/>
        </w:rPr>
      </w:pPr>
    </w:p>
    <w:p w:rsidR="00B448CA" w:rsidRPr="00956B61" w:rsidRDefault="00B448CA" w:rsidP="000228F2">
      <w:pPr>
        <w:pStyle w:val="ListParagraph"/>
        <w:numPr>
          <w:ilvl w:val="0"/>
          <w:numId w:val="10"/>
        </w:numPr>
        <w:ind w:left="360"/>
        <w:rPr>
          <w:rFonts w:cs="Arial"/>
          <w:b/>
        </w:rPr>
      </w:pPr>
      <w:r w:rsidRPr="00956B61">
        <w:rPr>
          <w:rFonts w:cs="Arial"/>
          <w:b/>
        </w:rPr>
        <w:t>Financial I</w:t>
      </w:r>
      <w:r w:rsidR="006E145D" w:rsidRPr="00956B61">
        <w:rPr>
          <w:rFonts w:cs="Arial"/>
          <w:b/>
        </w:rPr>
        <w:t>mplications</w:t>
      </w:r>
      <w:r w:rsidR="00627CCF" w:rsidRPr="00956B61">
        <w:rPr>
          <w:rFonts w:cs="Arial"/>
          <w:b/>
        </w:rPr>
        <w:t xml:space="preserve"> </w:t>
      </w:r>
    </w:p>
    <w:p w:rsidR="00627CCF" w:rsidRPr="00956B61" w:rsidRDefault="00627CCF" w:rsidP="00F7272A">
      <w:pPr>
        <w:autoSpaceDE w:val="0"/>
        <w:autoSpaceDN w:val="0"/>
        <w:adjustRightInd w:val="0"/>
        <w:rPr>
          <w:rFonts w:cs="Arial"/>
          <w:b/>
        </w:rPr>
      </w:pPr>
    </w:p>
    <w:p w:rsidR="00D21E37" w:rsidRDefault="00627CCF" w:rsidP="007C2300">
      <w:pPr>
        <w:autoSpaceDE w:val="0"/>
        <w:autoSpaceDN w:val="0"/>
        <w:adjustRightInd w:val="0"/>
        <w:ind w:left="720"/>
        <w:rPr>
          <w:rFonts w:cs="Arial"/>
          <w:b/>
        </w:rPr>
      </w:pPr>
      <w:r w:rsidRPr="00956B61">
        <w:rPr>
          <w:rFonts w:cs="Arial"/>
        </w:rPr>
        <w:t xml:space="preserve">Implications </w:t>
      </w:r>
      <w:r w:rsidR="00A41659" w:rsidRPr="00956B61">
        <w:rPr>
          <w:rFonts w:cs="Arial"/>
        </w:rPr>
        <w:t>completed</w:t>
      </w:r>
      <w:r w:rsidRPr="00956B61">
        <w:rPr>
          <w:rFonts w:cs="Arial"/>
        </w:rPr>
        <w:t xml:space="preserve"> by:</w:t>
      </w:r>
      <w:r w:rsidR="00C43EE1" w:rsidRPr="00956B61">
        <w:rPr>
          <w:rFonts w:cs="Arial"/>
        </w:rPr>
        <w:t xml:space="preserve"> </w:t>
      </w:r>
      <w:r w:rsidR="007C2300" w:rsidRPr="007C2300">
        <w:rPr>
          <w:rFonts w:cs="Arial"/>
          <w:b/>
        </w:rPr>
        <w:t>Katherine Heffernan, Group Manager for Service Finance</w:t>
      </w:r>
    </w:p>
    <w:p w:rsidR="00A83A89" w:rsidRDefault="00A83A89" w:rsidP="007C2300">
      <w:pPr>
        <w:autoSpaceDE w:val="0"/>
        <w:autoSpaceDN w:val="0"/>
        <w:adjustRightInd w:val="0"/>
        <w:ind w:left="720"/>
        <w:rPr>
          <w:rFonts w:cs="Arial"/>
          <w:b/>
        </w:rPr>
      </w:pPr>
    </w:p>
    <w:p w:rsidR="00A83A89" w:rsidRDefault="00A83A89" w:rsidP="007C2300">
      <w:pPr>
        <w:autoSpaceDE w:val="0"/>
        <w:autoSpaceDN w:val="0"/>
        <w:adjustRightInd w:val="0"/>
        <w:ind w:left="720"/>
        <w:rPr>
          <w:rFonts w:cs="Arial"/>
        </w:rPr>
      </w:pPr>
    </w:p>
    <w:p w:rsidR="00935A2E" w:rsidRPr="00A83A89" w:rsidRDefault="00A83A89" w:rsidP="00637701">
      <w:pPr>
        <w:pStyle w:val="ListParagraph"/>
        <w:numPr>
          <w:ilvl w:val="1"/>
          <w:numId w:val="10"/>
        </w:numPr>
        <w:autoSpaceDE w:val="0"/>
        <w:autoSpaceDN w:val="0"/>
        <w:adjustRightInd w:val="0"/>
        <w:ind w:left="720"/>
        <w:rPr>
          <w:rFonts w:cs="Arial"/>
        </w:rPr>
      </w:pPr>
      <w:r w:rsidRPr="00A83A89">
        <w:rPr>
          <w:rFonts w:cs="Arial"/>
        </w:rPr>
        <w:t>Central Government funding for Local Authorities to support their education duties is being severely reduced. The Education Services Grant (ESG) will reduce by nearly £2.8m by 2018/19. This has been built into the MTFS as a corporate pressure (as the funding is not ring fenced to Education). In addition, funding from the Dedicated Schools Grant is expected to be tapered down and further restrictions introduced with the risk that once transition to a national funding model is completed, authorities’ ability to centrally retain (</w:t>
      </w:r>
      <w:r w:rsidR="00B340EF" w:rsidRPr="00A83A89">
        <w:rPr>
          <w:rFonts w:cs="Arial"/>
        </w:rPr>
        <w:t>top slice</w:t>
      </w:r>
      <w:r w:rsidRPr="00A83A89">
        <w:rPr>
          <w:rFonts w:cs="Arial"/>
        </w:rPr>
        <w:t>) funding will be constrained or removed.</w:t>
      </w:r>
    </w:p>
    <w:p w:rsidR="00935A2E" w:rsidRPr="00223C53" w:rsidRDefault="00935A2E" w:rsidP="00637701">
      <w:pPr>
        <w:pStyle w:val="ListParagraph"/>
        <w:autoSpaceDE w:val="0"/>
        <w:autoSpaceDN w:val="0"/>
        <w:adjustRightInd w:val="0"/>
        <w:rPr>
          <w:rFonts w:cs="Arial"/>
          <w:shd w:val="clear" w:color="auto" w:fill="FFFF00"/>
        </w:rPr>
      </w:pPr>
    </w:p>
    <w:p w:rsidR="00935A2E" w:rsidRDefault="00935A2E" w:rsidP="00637701">
      <w:pPr>
        <w:pStyle w:val="ListParagraph"/>
        <w:numPr>
          <w:ilvl w:val="1"/>
          <w:numId w:val="10"/>
        </w:numPr>
        <w:autoSpaceDE w:val="0"/>
        <w:autoSpaceDN w:val="0"/>
        <w:adjustRightInd w:val="0"/>
        <w:ind w:left="720"/>
        <w:rPr>
          <w:rFonts w:cs="Arial"/>
        </w:rPr>
      </w:pPr>
      <w:r>
        <w:rPr>
          <w:rFonts w:cs="Arial"/>
        </w:rPr>
        <w:t xml:space="preserve">These restrictions and reductions effectively mean that a trading model could be the only option for school improvement and similar services and so it is essential to develop a sustainable model for this. </w:t>
      </w:r>
    </w:p>
    <w:p w:rsidR="00935A2E" w:rsidRPr="00733E67" w:rsidRDefault="00935A2E" w:rsidP="00637701">
      <w:pPr>
        <w:autoSpaceDE w:val="0"/>
        <w:autoSpaceDN w:val="0"/>
        <w:adjustRightInd w:val="0"/>
        <w:rPr>
          <w:rFonts w:cs="Arial"/>
        </w:rPr>
      </w:pPr>
    </w:p>
    <w:p w:rsidR="00935A2E" w:rsidRDefault="00935A2E" w:rsidP="00637701">
      <w:pPr>
        <w:pStyle w:val="ListParagraph"/>
        <w:numPr>
          <w:ilvl w:val="1"/>
          <w:numId w:val="10"/>
        </w:numPr>
        <w:autoSpaceDE w:val="0"/>
        <w:autoSpaceDN w:val="0"/>
        <w:adjustRightInd w:val="0"/>
        <w:ind w:left="720"/>
        <w:rPr>
          <w:rFonts w:cs="Arial"/>
        </w:rPr>
      </w:pPr>
      <w:r>
        <w:rPr>
          <w:rFonts w:cs="Arial"/>
        </w:rPr>
        <w:t xml:space="preserve">The School Improvement Partnership set out in this report is a potential model.  As set out above the Local Authority will commission the Partnership to carry out some of its statutory functions using a combination of Council base budget, the residual Education Services Grant and the High Needs block of DSG.  The service is working with Finance on identifying the available funding (taking into account the requirement to also fund the Council’s Education Commissioning structure.)  Current modelling suggests that £300k is available from the High Needs Block and £150k from the current School Improvement budget.  </w:t>
      </w:r>
      <w:r w:rsidR="00A67448">
        <w:rPr>
          <w:rFonts w:cs="Arial"/>
        </w:rPr>
        <w:t xml:space="preserve">The business case assumes these will be maintained and school improvement spend slightly increased over time.  If this is not possible then this would present a risk to the business case.  </w:t>
      </w:r>
    </w:p>
    <w:p w:rsidR="00935A2E" w:rsidRPr="008B61BD" w:rsidRDefault="00935A2E" w:rsidP="00637701">
      <w:pPr>
        <w:rPr>
          <w:rFonts w:cs="Arial"/>
        </w:rPr>
      </w:pPr>
    </w:p>
    <w:p w:rsidR="00935A2E" w:rsidRDefault="00935A2E" w:rsidP="00637701">
      <w:pPr>
        <w:pStyle w:val="ListParagraph"/>
        <w:numPr>
          <w:ilvl w:val="1"/>
          <w:numId w:val="10"/>
        </w:numPr>
        <w:autoSpaceDE w:val="0"/>
        <w:autoSpaceDN w:val="0"/>
        <w:adjustRightInd w:val="0"/>
        <w:ind w:left="720"/>
        <w:rPr>
          <w:rFonts w:cs="Arial"/>
        </w:rPr>
      </w:pPr>
      <w:r>
        <w:rPr>
          <w:rFonts w:cs="Arial"/>
        </w:rPr>
        <w:t xml:space="preserve">The business case assumes these funding streams will be available at this level until 2021/22.  It also assumes Centrally Retained DSG of £330k and School Improvement Grant funding of £150k initially but these sources will taper off and be replaced by increased trading income.  Uncertainties about these funding streams </w:t>
      </w:r>
      <w:r>
        <w:rPr>
          <w:rFonts w:cs="Arial"/>
        </w:rPr>
        <w:lastRenderedPageBreak/>
        <w:t>present a risk to the business case.  (Although these are risks that the Council would have to manage anyway if the programme did not go ahead.)</w:t>
      </w:r>
    </w:p>
    <w:p w:rsidR="00935A2E" w:rsidRPr="00987D4E" w:rsidRDefault="00935A2E" w:rsidP="00637701">
      <w:pPr>
        <w:pStyle w:val="ListParagraph"/>
        <w:ind w:left="578"/>
        <w:rPr>
          <w:rFonts w:cs="Arial"/>
        </w:rPr>
      </w:pPr>
    </w:p>
    <w:p w:rsidR="00935A2E" w:rsidRDefault="00935A2E" w:rsidP="00637701">
      <w:pPr>
        <w:pStyle w:val="ListParagraph"/>
        <w:numPr>
          <w:ilvl w:val="1"/>
          <w:numId w:val="10"/>
        </w:numPr>
        <w:autoSpaceDE w:val="0"/>
        <w:autoSpaceDN w:val="0"/>
        <w:adjustRightInd w:val="0"/>
        <w:ind w:left="720"/>
        <w:rPr>
          <w:rFonts w:cs="Arial"/>
        </w:rPr>
      </w:pPr>
      <w:r>
        <w:rPr>
          <w:rFonts w:cs="Arial"/>
        </w:rPr>
        <w:t>Currently the Education service is supported by the Council’s HR/Finance/Legal services etc and attracts overhead charges but gets budget to fund these costs.  Initially the School Improvement Partnership is likely to continue to need support from these services but is not likely to be able to generate sufficient trading income to absorb the costs.  It would therefore require Council support at least initially</w:t>
      </w:r>
      <w:r w:rsidR="00A67448">
        <w:rPr>
          <w:rFonts w:cs="Arial"/>
        </w:rPr>
        <w:t xml:space="preserve"> (it is assumed in the business case for at least five years)</w:t>
      </w:r>
      <w:r>
        <w:rPr>
          <w:rFonts w:cs="Arial"/>
        </w:rPr>
        <w:t xml:space="preserve">.  If over time it began to source support elsewhere the implications for the Council’s core would need to be understood and mitigated.  </w:t>
      </w:r>
    </w:p>
    <w:p w:rsidR="00935A2E" w:rsidRPr="00987D4E" w:rsidRDefault="00935A2E" w:rsidP="00637701">
      <w:pPr>
        <w:pStyle w:val="ListParagraph"/>
        <w:ind w:left="578"/>
        <w:rPr>
          <w:rFonts w:cs="Arial"/>
        </w:rPr>
      </w:pPr>
    </w:p>
    <w:p w:rsidR="00935A2E" w:rsidRDefault="00935A2E" w:rsidP="00637701">
      <w:pPr>
        <w:pStyle w:val="ListParagraph"/>
        <w:numPr>
          <w:ilvl w:val="1"/>
          <w:numId w:val="10"/>
        </w:numPr>
        <w:autoSpaceDE w:val="0"/>
        <w:autoSpaceDN w:val="0"/>
        <w:adjustRightInd w:val="0"/>
        <w:ind w:left="720"/>
        <w:rPr>
          <w:rFonts w:cs="Arial"/>
        </w:rPr>
      </w:pPr>
      <w:r>
        <w:rPr>
          <w:rFonts w:cs="Arial"/>
        </w:rPr>
        <w:t xml:space="preserve">There are currently no MTFS savings expected from Education Commissioning or School Improvement although changes to DSG do mean that the service is having to find efficiencies and cost reductions.  </w:t>
      </w:r>
    </w:p>
    <w:p w:rsidR="00935A2E" w:rsidRPr="008B61BD" w:rsidRDefault="00935A2E" w:rsidP="00637701">
      <w:pPr>
        <w:pStyle w:val="ListParagraph"/>
        <w:ind w:left="578"/>
        <w:rPr>
          <w:rFonts w:cs="Arial"/>
        </w:rPr>
      </w:pPr>
    </w:p>
    <w:p w:rsidR="00935A2E" w:rsidRDefault="00935A2E" w:rsidP="00637701">
      <w:pPr>
        <w:pStyle w:val="ListParagraph"/>
        <w:numPr>
          <w:ilvl w:val="1"/>
          <w:numId w:val="10"/>
        </w:numPr>
        <w:autoSpaceDE w:val="0"/>
        <w:autoSpaceDN w:val="0"/>
        <w:adjustRightInd w:val="0"/>
        <w:ind w:left="720"/>
        <w:rPr>
          <w:rFonts w:cs="Arial"/>
        </w:rPr>
      </w:pPr>
      <w:r w:rsidRPr="008B61BD">
        <w:rPr>
          <w:rFonts w:cs="Arial"/>
        </w:rPr>
        <w:t>Over time if successful in growing its income the Partnership should cease to require subsidy</w:t>
      </w:r>
      <w:r>
        <w:rPr>
          <w:rFonts w:cs="Arial"/>
        </w:rPr>
        <w:t xml:space="preserve"> which would benefit the Council.  In addition</w:t>
      </w:r>
      <w:r w:rsidR="0082301C">
        <w:rPr>
          <w:rFonts w:cs="Arial"/>
        </w:rPr>
        <w:t>,</w:t>
      </w:r>
      <w:r>
        <w:rPr>
          <w:rFonts w:cs="Arial"/>
        </w:rPr>
        <w:t xml:space="preserve"> by operating more efficiently it may allow the Council to commission certain services more cheaply</w:t>
      </w:r>
      <w:r w:rsidRPr="008B61BD">
        <w:rPr>
          <w:rFonts w:cs="Arial"/>
        </w:rPr>
        <w:t xml:space="preserve">.  </w:t>
      </w:r>
      <w:r w:rsidR="00A67448">
        <w:rPr>
          <w:rFonts w:cs="Arial"/>
        </w:rPr>
        <w:t xml:space="preserve">These potential benefits are beyond the period covered by the business case.  </w:t>
      </w:r>
      <w:r w:rsidRPr="008B61BD">
        <w:rPr>
          <w:rFonts w:cs="Arial"/>
        </w:rPr>
        <w:t>The business case does not suggest it w</w:t>
      </w:r>
      <w:r w:rsidR="00A67448">
        <w:rPr>
          <w:rFonts w:cs="Arial"/>
        </w:rPr>
        <w:t>ill</w:t>
      </w:r>
      <w:r w:rsidRPr="008B61BD">
        <w:rPr>
          <w:rFonts w:cs="Arial"/>
        </w:rPr>
        <w:t xml:space="preserve"> generate substantial dividend income</w:t>
      </w:r>
      <w:r w:rsidR="00A67448">
        <w:rPr>
          <w:rFonts w:cs="Arial"/>
        </w:rPr>
        <w:t xml:space="preserve"> and so the case for the partnership needs to be made on other grounds than profitability</w:t>
      </w:r>
      <w:r w:rsidRPr="008B61BD">
        <w:rPr>
          <w:rFonts w:cs="Arial"/>
        </w:rPr>
        <w:t xml:space="preserve">.  </w:t>
      </w:r>
    </w:p>
    <w:p w:rsidR="00935A2E" w:rsidRPr="008B61BD" w:rsidRDefault="00935A2E" w:rsidP="00637701">
      <w:pPr>
        <w:pStyle w:val="ListParagraph"/>
        <w:ind w:left="578"/>
        <w:rPr>
          <w:rFonts w:cs="Arial"/>
        </w:rPr>
      </w:pPr>
    </w:p>
    <w:p w:rsidR="00935A2E" w:rsidRDefault="00A67448" w:rsidP="00637701">
      <w:pPr>
        <w:pStyle w:val="ListParagraph"/>
        <w:numPr>
          <w:ilvl w:val="1"/>
          <w:numId w:val="10"/>
        </w:numPr>
        <w:autoSpaceDE w:val="0"/>
        <w:autoSpaceDN w:val="0"/>
        <w:adjustRightInd w:val="0"/>
        <w:ind w:left="720"/>
        <w:rPr>
          <w:rFonts w:cs="Arial"/>
        </w:rPr>
      </w:pPr>
      <w:r>
        <w:rPr>
          <w:rFonts w:cs="Arial"/>
        </w:rPr>
        <w:t>Moreover</w:t>
      </w:r>
      <w:r w:rsidR="00935A2E">
        <w:rPr>
          <w:rFonts w:cs="Arial"/>
        </w:rPr>
        <w:t xml:space="preserve"> it should be noted that the creation of the partnership will result in some new costs – as a minimum a Chief Executive and a business manager/company secretary that it will need to generate income to fund.  At this stage the business model has a very high cost/income ratio although work is going on to seek ways to improve this.  </w:t>
      </w:r>
      <w:r>
        <w:rPr>
          <w:rFonts w:cs="Arial"/>
        </w:rPr>
        <w:t xml:space="preserve">The business case model shows trading losses are likely to occur unless further income is generated.  This does represent a financial risk to the Council.  </w:t>
      </w:r>
    </w:p>
    <w:p w:rsidR="00935A2E" w:rsidRPr="008B61BD" w:rsidRDefault="00935A2E" w:rsidP="00637701">
      <w:pPr>
        <w:pStyle w:val="ListParagraph"/>
        <w:ind w:left="578"/>
        <w:rPr>
          <w:rFonts w:cs="Arial"/>
        </w:rPr>
      </w:pPr>
    </w:p>
    <w:p w:rsidR="00935A2E" w:rsidRPr="008B61BD" w:rsidRDefault="00935A2E" w:rsidP="00637701">
      <w:pPr>
        <w:pStyle w:val="ListParagraph"/>
        <w:numPr>
          <w:ilvl w:val="1"/>
          <w:numId w:val="10"/>
        </w:numPr>
        <w:autoSpaceDE w:val="0"/>
        <w:autoSpaceDN w:val="0"/>
        <w:adjustRightInd w:val="0"/>
        <w:ind w:left="720"/>
        <w:rPr>
          <w:rFonts w:cs="Arial"/>
        </w:rPr>
      </w:pPr>
      <w:r>
        <w:rPr>
          <w:rFonts w:cs="Arial"/>
        </w:rPr>
        <w:t xml:space="preserve">Although currently the service does have some trading activity it is not operating on a truly commercial basis and work is likely to be required to change the working practices and culture.  </w:t>
      </w:r>
    </w:p>
    <w:p w:rsidR="00A67448" w:rsidRPr="00956B61" w:rsidRDefault="00A67448" w:rsidP="00D21E37">
      <w:pPr>
        <w:autoSpaceDE w:val="0"/>
        <w:autoSpaceDN w:val="0"/>
        <w:adjustRightInd w:val="0"/>
        <w:rPr>
          <w:rFonts w:cs="Arial"/>
        </w:rPr>
      </w:pPr>
    </w:p>
    <w:p w:rsidR="00996710" w:rsidRPr="00956B61" w:rsidRDefault="00996710" w:rsidP="00D21E37">
      <w:pPr>
        <w:autoSpaceDE w:val="0"/>
        <w:autoSpaceDN w:val="0"/>
        <w:adjustRightInd w:val="0"/>
        <w:ind w:left="720"/>
        <w:rPr>
          <w:rFonts w:cs="Arial"/>
        </w:rPr>
      </w:pPr>
    </w:p>
    <w:p w:rsidR="00D21E37" w:rsidRPr="00956B61" w:rsidRDefault="00D21E37" w:rsidP="00D21E37">
      <w:pPr>
        <w:autoSpaceDE w:val="0"/>
        <w:autoSpaceDN w:val="0"/>
        <w:adjustRightInd w:val="0"/>
        <w:rPr>
          <w:rFonts w:cs="Arial"/>
        </w:rPr>
      </w:pPr>
    </w:p>
    <w:p w:rsidR="00627CCF" w:rsidRPr="00956B61" w:rsidRDefault="00B448CA" w:rsidP="000228F2">
      <w:pPr>
        <w:pStyle w:val="ListParagraph"/>
        <w:numPr>
          <w:ilvl w:val="0"/>
          <w:numId w:val="10"/>
        </w:numPr>
        <w:ind w:left="360"/>
        <w:rPr>
          <w:rFonts w:cs="Arial"/>
          <w:b/>
        </w:rPr>
      </w:pPr>
      <w:r w:rsidRPr="00956B61">
        <w:rPr>
          <w:rFonts w:cs="Arial"/>
          <w:b/>
        </w:rPr>
        <w:t xml:space="preserve">Legal </w:t>
      </w:r>
      <w:r w:rsidR="006E145D" w:rsidRPr="00956B61">
        <w:rPr>
          <w:rFonts w:cs="Arial"/>
          <w:b/>
        </w:rPr>
        <w:t xml:space="preserve">Implications </w:t>
      </w:r>
    </w:p>
    <w:p w:rsidR="00627CCF" w:rsidRPr="00956B61" w:rsidRDefault="00627CCF" w:rsidP="00627CCF">
      <w:pPr>
        <w:autoSpaceDE w:val="0"/>
        <w:autoSpaceDN w:val="0"/>
        <w:adjustRightInd w:val="0"/>
        <w:rPr>
          <w:rFonts w:cs="Arial"/>
          <w:b/>
        </w:rPr>
      </w:pPr>
    </w:p>
    <w:p w:rsidR="008F6577" w:rsidRDefault="00627CCF" w:rsidP="008F6577">
      <w:pPr>
        <w:autoSpaceDE w:val="0"/>
        <w:autoSpaceDN w:val="0"/>
        <w:adjustRightInd w:val="0"/>
        <w:jc w:val="both"/>
        <w:rPr>
          <w:rFonts w:cs="Arial"/>
          <w:b/>
        </w:rPr>
      </w:pPr>
      <w:r w:rsidRPr="00956B61">
        <w:rPr>
          <w:rFonts w:cs="Arial"/>
        </w:rPr>
        <w:t xml:space="preserve">Implications </w:t>
      </w:r>
      <w:r w:rsidR="00A41659" w:rsidRPr="00956B61">
        <w:rPr>
          <w:rFonts w:cs="Arial"/>
        </w:rPr>
        <w:t>completed</w:t>
      </w:r>
      <w:r w:rsidRPr="00956B61">
        <w:rPr>
          <w:rFonts w:cs="Arial"/>
        </w:rPr>
        <w:t xml:space="preserve"> by:</w:t>
      </w:r>
      <w:r w:rsidR="007C2300">
        <w:rPr>
          <w:rFonts w:cs="Arial"/>
        </w:rPr>
        <w:t xml:space="preserve"> </w:t>
      </w:r>
      <w:r w:rsidR="007C2300" w:rsidRPr="007C2300">
        <w:rPr>
          <w:rFonts w:cs="Arial"/>
          <w:b/>
        </w:rPr>
        <w:t>Assaf Chaudry, Major Projects Solicitor, Law &amp; Governance</w:t>
      </w:r>
      <w:r w:rsidR="008F6577">
        <w:rPr>
          <w:rFonts w:cs="Arial"/>
          <w:b/>
        </w:rPr>
        <w:t xml:space="preserve">   </w:t>
      </w:r>
    </w:p>
    <w:p w:rsidR="00AD7F33" w:rsidRDefault="00AD7F33" w:rsidP="008F6577">
      <w:pPr>
        <w:autoSpaceDE w:val="0"/>
        <w:autoSpaceDN w:val="0"/>
        <w:adjustRightInd w:val="0"/>
        <w:jc w:val="both"/>
        <w:rPr>
          <w:rFonts w:cs="Arial"/>
          <w:b/>
        </w:rPr>
      </w:pPr>
    </w:p>
    <w:p w:rsidR="00E27273" w:rsidRDefault="008F6577" w:rsidP="00637701">
      <w:pPr>
        <w:pStyle w:val="ListParagraph"/>
        <w:numPr>
          <w:ilvl w:val="1"/>
          <w:numId w:val="10"/>
        </w:numPr>
        <w:autoSpaceDE w:val="0"/>
        <w:autoSpaceDN w:val="0"/>
        <w:adjustRightInd w:val="0"/>
        <w:ind w:left="720"/>
        <w:rPr>
          <w:rFonts w:cs="Arial"/>
        </w:rPr>
      </w:pPr>
      <w:r w:rsidRPr="008B58A9">
        <w:rPr>
          <w:rFonts w:cs="Arial"/>
        </w:rPr>
        <w:t xml:space="preserve">This report seeks Cabinet approval for the Council to assist the Borough Schools in setting up a School Improvement Partnership Company (the Company) and authorise the participation of the Council in the Company. The Council has the following powers to appoint to outside bodies either under;    </w:t>
      </w:r>
    </w:p>
    <w:p w:rsidR="00637701" w:rsidRDefault="00637701" w:rsidP="00637701">
      <w:pPr>
        <w:pStyle w:val="ListParagraph"/>
        <w:autoSpaceDE w:val="0"/>
        <w:autoSpaceDN w:val="0"/>
        <w:adjustRightInd w:val="0"/>
        <w:rPr>
          <w:rFonts w:cs="Arial"/>
        </w:rPr>
      </w:pPr>
    </w:p>
    <w:p w:rsidR="008F6577" w:rsidRPr="00E27273" w:rsidRDefault="00B340EF" w:rsidP="00637701">
      <w:pPr>
        <w:pStyle w:val="ListParagraph"/>
        <w:numPr>
          <w:ilvl w:val="2"/>
          <w:numId w:val="10"/>
        </w:numPr>
        <w:autoSpaceDE w:val="0"/>
        <w:autoSpaceDN w:val="0"/>
        <w:adjustRightInd w:val="0"/>
        <w:rPr>
          <w:rFonts w:cs="Arial"/>
        </w:rPr>
      </w:pPr>
      <w:hyperlink r:id="rId30" w:history="1">
        <w:r w:rsidR="008F6577" w:rsidRPr="00E27273">
          <w:rPr>
            <w:rStyle w:val="Hyperlink"/>
            <w:rFonts w:cs="Arial"/>
            <w:i/>
            <w:iCs/>
            <w:color w:val="000000" w:themeColor="text1"/>
          </w:rPr>
          <w:t>Section 111</w:t>
        </w:r>
      </w:hyperlink>
      <w:r w:rsidR="008F6577" w:rsidRPr="00E27273">
        <w:rPr>
          <w:rFonts w:cs="Arial"/>
          <w:color w:val="000000" w:themeColor="text1"/>
        </w:rPr>
        <w:t> of the </w:t>
      </w:r>
      <w:hyperlink r:id="rId31" w:history="1">
        <w:r w:rsidR="008F6577" w:rsidRPr="00E27273">
          <w:rPr>
            <w:rStyle w:val="Hyperlink"/>
            <w:rFonts w:cs="Arial"/>
            <w:i/>
            <w:iCs/>
            <w:color w:val="000000" w:themeColor="text1"/>
          </w:rPr>
          <w:t>Local Government Act 1972</w:t>
        </w:r>
      </w:hyperlink>
      <w:r w:rsidR="008F6577" w:rsidRPr="00E27273">
        <w:rPr>
          <w:rFonts w:cs="Arial"/>
          <w:color w:val="000000" w:themeColor="text1"/>
        </w:rPr>
        <w:t>, because it is anticipated that having a Council appointee on the outside body is “conducive or incidental to, or calculated to facilitate” the discharge of the authority’s functions.</w:t>
      </w:r>
    </w:p>
    <w:p w:rsidR="008F6577" w:rsidRDefault="00B340EF" w:rsidP="00637701">
      <w:pPr>
        <w:pStyle w:val="ListParagraph"/>
        <w:numPr>
          <w:ilvl w:val="2"/>
          <w:numId w:val="10"/>
        </w:numPr>
        <w:autoSpaceDE w:val="0"/>
        <w:autoSpaceDN w:val="0"/>
        <w:adjustRightInd w:val="0"/>
        <w:rPr>
          <w:rFonts w:cs="Arial"/>
          <w:color w:val="000000" w:themeColor="text1"/>
        </w:rPr>
      </w:pPr>
      <w:hyperlink r:id="rId32" w:history="1">
        <w:r w:rsidR="008F6577" w:rsidRPr="008B58A9">
          <w:rPr>
            <w:rStyle w:val="Hyperlink"/>
            <w:rFonts w:cs="Arial"/>
            <w:i/>
            <w:iCs/>
            <w:color w:val="000000" w:themeColor="text1"/>
          </w:rPr>
          <w:t>Section 1</w:t>
        </w:r>
      </w:hyperlink>
      <w:r w:rsidR="008F6577" w:rsidRPr="008B58A9">
        <w:rPr>
          <w:rFonts w:cs="Arial"/>
          <w:color w:val="000000" w:themeColor="text1"/>
        </w:rPr>
        <w:t> of the </w:t>
      </w:r>
      <w:hyperlink r:id="rId33" w:history="1">
        <w:r w:rsidR="008F6577" w:rsidRPr="008B58A9">
          <w:rPr>
            <w:rStyle w:val="Hyperlink"/>
            <w:rFonts w:cs="Arial"/>
            <w:i/>
            <w:iCs/>
            <w:color w:val="000000" w:themeColor="text1"/>
          </w:rPr>
          <w:t>Localism Act 2011</w:t>
        </w:r>
      </w:hyperlink>
      <w:r w:rsidR="008F6577" w:rsidRPr="008B58A9">
        <w:rPr>
          <w:rFonts w:cs="Arial"/>
          <w:color w:val="000000" w:themeColor="text1"/>
        </w:rPr>
        <w:t> (the general power of competence).</w:t>
      </w:r>
    </w:p>
    <w:p w:rsidR="00637701" w:rsidRPr="008B58A9" w:rsidRDefault="00637701" w:rsidP="00637701">
      <w:pPr>
        <w:pStyle w:val="ListParagraph"/>
        <w:autoSpaceDE w:val="0"/>
        <w:autoSpaceDN w:val="0"/>
        <w:adjustRightInd w:val="0"/>
        <w:ind w:left="1080"/>
        <w:rPr>
          <w:rFonts w:cs="Arial"/>
          <w:color w:val="000000" w:themeColor="text1"/>
        </w:rPr>
      </w:pPr>
    </w:p>
    <w:p w:rsidR="008F6577" w:rsidRPr="008B58A9" w:rsidRDefault="008F6577" w:rsidP="00637701">
      <w:pPr>
        <w:autoSpaceDE w:val="0"/>
        <w:autoSpaceDN w:val="0"/>
        <w:adjustRightInd w:val="0"/>
        <w:spacing w:before="100" w:after="100"/>
        <w:ind w:left="720"/>
        <w:rPr>
          <w:rFonts w:eastAsia="Calibri" w:cs="Arial"/>
          <w:lang w:eastAsia="en-US"/>
        </w:rPr>
      </w:pPr>
      <w:r w:rsidRPr="008B58A9">
        <w:rPr>
          <w:rFonts w:cs="Arial"/>
        </w:rPr>
        <w:lastRenderedPageBreak/>
        <w:t>The general power provides that "A local authority has power to do anything that individuals generally may do" (section 1(1)).</w:t>
      </w:r>
    </w:p>
    <w:p w:rsidR="008F6577" w:rsidRDefault="008F6577" w:rsidP="00637701">
      <w:pPr>
        <w:ind w:left="720"/>
        <w:rPr>
          <w:rFonts w:cs="Arial"/>
        </w:rPr>
      </w:pPr>
      <w:r w:rsidRPr="008B58A9">
        <w:rPr>
          <w:rFonts w:cs="Arial"/>
        </w:rPr>
        <w:t>The power is not limited by the need to evidence a benefit accruing to the local authority's area, as the well-being power is. Nor is it limited in geographical scope. However, existing and future restrictions contained in legislation continue to apply</w:t>
      </w:r>
    </w:p>
    <w:p w:rsidR="00E27273" w:rsidRPr="008B58A9" w:rsidRDefault="00E27273" w:rsidP="008F6577">
      <w:pPr>
        <w:ind w:left="432"/>
        <w:rPr>
          <w:rFonts w:cs="Arial"/>
          <w:color w:val="000000" w:themeColor="text1"/>
        </w:rPr>
      </w:pPr>
    </w:p>
    <w:p w:rsidR="008F6577" w:rsidRPr="008B58A9" w:rsidRDefault="008F6577" w:rsidP="00637701">
      <w:pPr>
        <w:pStyle w:val="ListParagraph"/>
        <w:numPr>
          <w:ilvl w:val="1"/>
          <w:numId w:val="10"/>
        </w:numPr>
        <w:autoSpaceDE w:val="0"/>
        <w:autoSpaceDN w:val="0"/>
        <w:adjustRightInd w:val="0"/>
        <w:ind w:left="720"/>
        <w:rPr>
          <w:rFonts w:eastAsia="Calibri" w:cs="Arial"/>
          <w:lang w:eastAsia="en-US"/>
        </w:rPr>
      </w:pPr>
      <w:r w:rsidRPr="008B58A9">
        <w:rPr>
          <w:rFonts w:cs="Arial"/>
          <w:color w:val="000000" w:themeColor="text1"/>
        </w:rPr>
        <w:t xml:space="preserve">The </w:t>
      </w:r>
      <w:r w:rsidRPr="008B58A9">
        <w:rPr>
          <w:rFonts w:cs="Arial"/>
        </w:rPr>
        <w:t>School Improvement Partnership Company is to be a Company Limited by Guarantee (CLG).A CLG does not have share capital and the members (equivalent to the shareholders in a CLS) give a nominal guarantee to cover the company's liability, normally limited to £10. Therefore if the Council was to appoint members to the Company their liability is limited to the sum of £10 and if directors are appointed to a CLG they are not liable for the debts of the Company except in limited circumstances.</w:t>
      </w:r>
    </w:p>
    <w:p w:rsidR="008F6577" w:rsidRPr="008B58A9" w:rsidRDefault="008F6577" w:rsidP="008F6577">
      <w:pPr>
        <w:autoSpaceDE w:val="0"/>
        <w:autoSpaceDN w:val="0"/>
        <w:adjustRightInd w:val="0"/>
        <w:spacing w:before="100" w:after="100"/>
        <w:rPr>
          <w:rFonts w:cs="Arial"/>
        </w:rPr>
      </w:pPr>
    </w:p>
    <w:p w:rsidR="008F6577" w:rsidRDefault="008F6577" w:rsidP="00637701">
      <w:pPr>
        <w:pStyle w:val="ListParagraph"/>
        <w:numPr>
          <w:ilvl w:val="1"/>
          <w:numId w:val="10"/>
        </w:numPr>
        <w:autoSpaceDE w:val="0"/>
        <w:autoSpaceDN w:val="0"/>
        <w:adjustRightInd w:val="0"/>
        <w:ind w:left="720"/>
        <w:rPr>
          <w:rFonts w:cs="Arial"/>
          <w:color w:val="000000" w:themeColor="text1"/>
        </w:rPr>
      </w:pPr>
      <w:r w:rsidRPr="008F6577">
        <w:rPr>
          <w:rFonts w:cs="Arial"/>
          <w:color w:val="000000" w:themeColor="text1"/>
        </w:rPr>
        <w:t>Although the Company will not be a wholly owned company of the Council. It may be considered as an influenced company under Part V of the Local Government and Housing Act 1989 if it has 20% ownership, in which case it will be subject to financial and propriety controls of the Council. The relevant extracts from Part V of the Local Government and</w:t>
      </w:r>
      <w:r w:rsidR="006860A9">
        <w:rPr>
          <w:rFonts w:cs="Arial"/>
          <w:color w:val="000000" w:themeColor="text1"/>
        </w:rPr>
        <w:t xml:space="preserve"> Housing Act </w:t>
      </w:r>
      <w:r w:rsidRPr="008F6577">
        <w:rPr>
          <w:rFonts w:cs="Arial"/>
          <w:color w:val="000000" w:themeColor="text1"/>
        </w:rPr>
        <w:t>1989 states that  </w:t>
      </w:r>
    </w:p>
    <w:p w:rsidR="008F6577" w:rsidRPr="008F6577" w:rsidRDefault="008F6577" w:rsidP="008F6577">
      <w:pPr>
        <w:shd w:val="clear" w:color="auto" w:fill="FFFFFF"/>
        <w:spacing w:line="294" w:lineRule="atLeast"/>
        <w:rPr>
          <w:rFonts w:cs="Arial"/>
          <w:color w:val="000000" w:themeColor="text1"/>
        </w:rPr>
      </w:pPr>
    </w:p>
    <w:p w:rsidR="008F6577" w:rsidRDefault="00637701" w:rsidP="00637701">
      <w:pPr>
        <w:shd w:val="clear" w:color="auto" w:fill="FFFFFF"/>
        <w:spacing w:line="294" w:lineRule="atLeast"/>
        <w:ind w:left="862"/>
        <w:rPr>
          <w:rFonts w:cs="Arial"/>
          <w:color w:val="000000" w:themeColor="text1"/>
        </w:rPr>
      </w:pPr>
      <w:r>
        <w:rPr>
          <w:rFonts w:cs="Arial"/>
          <w:color w:val="000000" w:themeColor="text1"/>
        </w:rPr>
        <w:t>“</w:t>
      </w:r>
      <w:r w:rsidR="008F6577" w:rsidRPr="008F6577">
        <w:rPr>
          <w:rFonts w:cs="Arial"/>
          <w:color w:val="000000" w:themeColor="text1"/>
        </w:rPr>
        <w:t>A company is subject to the influence of a local authority if </w:t>
      </w:r>
      <w:r w:rsidR="008F6577" w:rsidRPr="008F6577">
        <w:rPr>
          <w:rFonts w:cs="Arial"/>
          <w:b/>
          <w:bCs/>
          <w:color w:val="000000" w:themeColor="text1"/>
        </w:rPr>
        <w:t>all</w:t>
      </w:r>
      <w:r w:rsidR="008F6577" w:rsidRPr="008F6577">
        <w:rPr>
          <w:rFonts w:cs="Arial"/>
          <w:color w:val="000000" w:themeColor="text1"/>
        </w:rPr>
        <w:t> of the following conditions are met:</w:t>
      </w:r>
    </w:p>
    <w:p w:rsidR="00637701" w:rsidRPr="008F6577" w:rsidRDefault="00637701" w:rsidP="00637701">
      <w:pPr>
        <w:shd w:val="clear" w:color="auto" w:fill="FFFFFF"/>
        <w:spacing w:line="294" w:lineRule="atLeast"/>
        <w:ind w:left="862"/>
        <w:rPr>
          <w:rFonts w:cs="Arial"/>
          <w:color w:val="000000" w:themeColor="text1"/>
        </w:rPr>
      </w:pPr>
    </w:p>
    <w:p w:rsidR="008F6577" w:rsidRPr="008F6577" w:rsidRDefault="008F6577" w:rsidP="00637701">
      <w:pPr>
        <w:numPr>
          <w:ilvl w:val="0"/>
          <w:numId w:val="31"/>
        </w:numPr>
        <w:tabs>
          <w:tab w:val="clear" w:pos="720"/>
          <w:tab w:val="num" w:pos="142"/>
        </w:tabs>
        <w:ind w:left="1222"/>
        <w:rPr>
          <w:rFonts w:cs="Arial"/>
          <w:color w:val="000000" w:themeColor="text1"/>
        </w:rPr>
      </w:pPr>
      <w:r w:rsidRPr="008F6577">
        <w:rPr>
          <w:rFonts w:cs="Arial"/>
          <w:color w:val="000000" w:themeColor="text1"/>
        </w:rPr>
        <w:t>It is not a controlled company.</w:t>
      </w:r>
    </w:p>
    <w:p w:rsidR="008F6577" w:rsidRPr="008F6577" w:rsidRDefault="008F6577" w:rsidP="00637701">
      <w:pPr>
        <w:numPr>
          <w:ilvl w:val="0"/>
          <w:numId w:val="31"/>
        </w:numPr>
        <w:tabs>
          <w:tab w:val="clear" w:pos="720"/>
          <w:tab w:val="num" w:pos="502"/>
        </w:tabs>
        <w:ind w:left="1222"/>
        <w:rPr>
          <w:rFonts w:cs="Arial"/>
          <w:color w:val="000000" w:themeColor="text1"/>
        </w:rPr>
      </w:pPr>
      <w:r w:rsidRPr="008F6577">
        <w:rPr>
          <w:rFonts w:cs="Arial"/>
          <w:color w:val="000000" w:themeColor="text1"/>
        </w:rPr>
        <w:t>There is a business relationship between the company and the authority.</w:t>
      </w:r>
    </w:p>
    <w:p w:rsidR="008F6577" w:rsidRDefault="008F6577" w:rsidP="00637701">
      <w:pPr>
        <w:numPr>
          <w:ilvl w:val="0"/>
          <w:numId w:val="31"/>
        </w:numPr>
        <w:tabs>
          <w:tab w:val="clear" w:pos="720"/>
          <w:tab w:val="num" w:pos="502"/>
        </w:tabs>
        <w:ind w:left="1222"/>
        <w:rPr>
          <w:rFonts w:cs="Arial"/>
          <w:color w:val="000000" w:themeColor="text1"/>
        </w:rPr>
      </w:pPr>
      <w:r w:rsidRPr="008F6577">
        <w:rPr>
          <w:rFonts w:cs="Arial"/>
          <w:color w:val="000000" w:themeColor="text1"/>
        </w:rPr>
        <w:t>There is a "personnel association" between the company and the authority. A personnel association exists when:</w:t>
      </w:r>
    </w:p>
    <w:p w:rsidR="00637701" w:rsidRPr="008F6577" w:rsidRDefault="00637701" w:rsidP="00637701">
      <w:pPr>
        <w:ind w:left="1222"/>
        <w:rPr>
          <w:rFonts w:cs="Arial"/>
          <w:color w:val="000000" w:themeColor="text1"/>
        </w:rPr>
      </w:pPr>
    </w:p>
    <w:p w:rsidR="008F6577" w:rsidRPr="008F6577" w:rsidRDefault="008F6577" w:rsidP="00637701">
      <w:pPr>
        <w:numPr>
          <w:ilvl w:val="1"/>
          <w:numId w:val="31"/>
        </w:numPr>
        <w:tabs>
          <w:tab w:val="clear" w:pos="1440"/>
          <w:tab w:val="num" w:pos="1942"/>
        </w:tabs>
        <w:ind w:left="1942"/>
        <w:rPr>
          <w:rFonts w:cs="Arial"/>
          <w:color w:val="000000" w:themeColor="text1"/>
        </w:rPr>
      </w:pPr>
      <w:r w:rsidRPr="008F6577">
        <w:rPr>
          <w:rFonts w:cs="Arial"/>
          <w:color w:val="000000" w:themeColor="text1"/>
        </w:rPr>
        <w:t>at least 20% of the total voting rights at a general meeting are held by persons associated with the authority; or</w:t>
      </w:r>
    </w:p>
    <w:p w:rsidR="008F6577" w:rsidRPr="008F6577" w:rsidRDefault="008F6577" w:rsidP="00637701">
      <w:pPr>
        <w:numPr>
          <w:ilvl w:val="1"/>
          <w:numId w:val="31"/>
        </w:numPr>
        <w:tabs>
          <w:tab w:val="clear" w:pos="1440"/>
          <w:tab w:val="num" w:pos="1942"/>
        </w:tabs>
        <w:ind w:left="1942"/>
        <w:rPr>
          <w:rFonts w:cs="Arial"/>
          <w:color w:val="000000" w:themeColor="text1"/>
        </w:rPr>
      </w:pPr>
      <w:r w:rsidRPr="008F6577">
        <w:rPr>
          <w:rFonts w:cs="Arial"/>
          <w:color w:val="000000" w:themeColor="text1"/>
        </w:rPr>
        <w:t>at least 20% of the directors are persons associated with the authority; or</w:t>
      </w:r>
    </w:p>
    <w:p w:rsidR="008F6577" w:rsidRDefault="008F6577" w:rsidP="00637701">
      <w:pPr>
        <w:numPr>
          <w:ilvl w:val="1"/>
          <w:numId w:val="31"/>
        </w:numPr>
        <w:tabs>
          <w:tab w:val="clear" w:pos="1440"/>
          <w:tab w:val="num" w:pos="1942"/>
        </w:tabs>
        <w:ind w:left="1942"/>
        <w:rPr>
          <w:rFonts w:cs="Arial"/>
          <w:color w:val="000000" w:themeColor="text1"/>
        </w:rPr>
      </w:pPr>
      <w:r w:rsidRPr="008F6577">
        <w:rPr>
          <w:rFonts w:cs="Arial"/>
          <w:color w:val="000000" w:themeColor="text1"/>
        </w:rPr>
        <w:t>at least 20% of the total voting rights at a directors' meeting are held by persons so associated.</w:t>
      </w:r>
    </w:p>
    <w:p w:rsidR="00637701" w:rsidRPr="008F6577" w:rsidRDefault="00637701" w:rsidP="00637701">
      <w:pPr>
        <w:ind w:left="1942"/>
        <w:rPr>
          <w:rFonts w:cs="Arial"/>
          <w:color w:val="000000" w:themeColor="text1"/>
        </w:rPr>
      </w:pPr>
    </w:p>
    <w:p w:rsidR="008F6577" w:rsidRPr="008F6577" w:rsidRDefault="008F6577" w:rsidP="00637701">
      <w:pPr>
        <w:shd w:val="clear" w:color="auto" w:fill="FFFFFF"/>
        <w:spacing w:line="294" w:lineRule="atLeast"/>
        <w:ind w:left="720"/>
        <w:rPr>
          <w:rFonts w:eastAsiaTheme="minorHAnsi" w:cs="Arial"/>
          <w:color w:val="000000" w:themeColor="text1"/>
        </w:rPr>
      </w:pPr>
      <w:r w:rsidRPr="008F6577">
        <w:rPr>
          <w:rFonts w:cs="Arial"/>
          <w:color w:val="000000" w:themeColor="text1"/>
        </w:rPr>
        <w:t>A person is at any time </w:t>
      </w:r>
      <w:r w:rsidRPr="008F6577">
        <w:rPr>
          <w:rFonts w:cs="Arial"/>
          <w:b/>
          <w:bCs/>
          <w:color w:val="000000" w:themeColor="text1"/>
        </w:rPr>
        <w:t>"associated" with an authority</w:t>
      </w:r>
      <w:r w:rsidRPr="008F6577">
        <w:rPr>
          <w:rFonts w:cs="Arial"/>
          <w:color w:val="000000" w:themeColor="text1"/>
        </w:rPr>
        <w:t> if they are at that time a member or officer of the authority, or both an employee and a director, manager, secretary or similar officer of the company under the authority's control, or if they have been a member of the authority within the preceding four years...........”</w:t>
      </w:r>
    </w:p>
    <w:p w:rsidR="008F6577" w:rsidRPr="008B58A9" w:rsidRDefault="008F6577" w:rsidP="008F6577">
      <w:pPr>
        <w:autoSpaceDE w:val="0"/>
        <w:autoSpaceDN w:val="0"/>
        <w:adjustRightInd w:val="0"/>
        <w:spacing w:before="100" w:after="100"/>
        <w:rPr>
          <w:rFonts w:cs="Arial"/>
        </w:rPr>
      </w:pPr>
      <w:r w:rsidRPr="008B58A9">
        <w:rPr>
          <w:rFonts w:cs="Arial"/>
        </w:rPr>
        <w:t xml:space="preserve"> </w:t>
      </w:r>
    </w:p>
    <w:p w:rsidR="008F6577" w:rsidRPr="008B58A9" w:rsidRDefault="008F6577" w:rsidP="00637701">
      <w:pPr>
        <w:pStyle w:val="ListParagraph"/>
        <w:numPr>
          <w:ilvl w:val="1"/>
          <w:numId w:val="10"/>
        </w:numPr>
        <w:autoSpaceDE w:val="0"/>
        <w:autoSpaceDN w:val="0"/>
        <w:adjustRightInd w:val="0"/>
        <w:ind w:left="720"/>
        <w:rPr>
          <w:rFonts w:cs="Arial"/>
        </w:rPr>
      </w:pPr>
      <w:r w:rsidRPr="008B58A9">
        <w:rPr>
          <w:rFonts w:cs="Arial"/>
        </w:rPr>
        <w:t>The appointment of members and directors of the Company has to be in accordance with the Council’s constitution; including ensuring the training of the Member or staff on recognising and addressing conflicts of interest.  Furthermore</w:t>
      </w:r>
      <w:r w:rsidR="00AC3D58">
        <w:rPr>
          <w:rFonts w:cs="Arial"/>
        </w:rPr>
        <w:t>,</w:t>
      </w:r>
      <w:r w:rsidRPr="008B58A9">
        <w:rPr>
          <w:rFonts w:cs="Arial"/>
        </w:rPr>
        <w:t xml:space="preserve"> to ensure that the Company does carry out indemnity cover for the directors and have in place the Council’s indemnity insurance to cover extended liability.  </w:t>
      </w:r>
    </w:p>
    <w:p w:rsidR="008F6577" w:rsidRPr="008B58A9" w:rsidRDefault="008F6577" w:rsidP="008F6577">
      <w:pPr>
        <w:autoSpaceDE w:val="0"/>
        <w:autoSpaceDN w:val="0"/>
        <w:adjustRightInd w:val="0"/>
        <w:spacing w:before="100" w:after="100"/>
        <w:rPr>
          <w:rFonts w:cs="Arial"/>
        </w:rPr>
      </w:pPr>
    </w:p>
    <w:p w:rsidR="008F6577" w:rsidRPr="00E11427" w:rsidRDefault="00AC3D58" w:rsidP="00637701">
      <w:pPr>
        <w:pStyle w:val="ListParagraph"/>
        <w:numPr>
          <w:ilvl w:val="1"/>
          <w:numId w:val="10"/>
        </w:numPr>
        <w:autoSpaceDE w:val="0"/>
        <w:autoSpaceDN w:val="0"/>
        <w:adjustRightInd w:val="0"/>
        <w:ind w:left="720"/>
        <w:rPr>
          <w:rFonts w:cs="Arial"/>
          <w:color w:val="212121"/>
        </w:rPr>
      </w:pPr>
      <w:r>
        <w:rPr>
          <w:rFonts w:cs="Arial"/>
          <w:color w:val="212121"/>
        </w:rPr>
        <w:t>Finally, the Transfer of Undertaking P</w:t>
      </w:r>
      <w:r w:rsidR="008F6577">
        <w:rPr>
          <w:rFonts w:cs="Arial"/>
          <w:color w:val="212121"/>
        </w:rPr>
        <w:t>rovisions (TUPE ) is to apply on the transfer of the</w:t>
      </w:r>
      <w:r w:rsidR="00544B9B">
        <w:rPr>
          <w:rFonts w:cs="Arial"/>
          <w:color w:val="212121"/>
        </w:rPr>
        <w:t xml:space="preserve">se services to the new Company </w:t>
      </w:r>
      <w:r w:rsidR="008F6577">
        <w:rPr>
          <w:rFonts w:cs="Arial"/>
          <w:color w:val="212121"/>
        </w:rPr>
        <w:t xml:space="preserve">. The TUPE Regulations imposes the Duty to </w:t>
      </w:r>
      <w:r w:rsidR="008F6577">
        <w:rPr>
          <w:rFonts w:cs="Arial"/>
          <w:color w:val="212121"/>
        </w:rPr>
        <w:lastRenderedPageBreak/>
        <w:t>inform and the Duty to consult which needs to</w:t>
      </w:r>
      <w:r w:rsidR="00B340EF">
        <w:rPr>
          <w:rFonts w:cs="Arial"/>
          <w:color w:val="212121"/>
        </w:rPr>
        <w:t xml:space="preserve"> be</w:t>
      </w:r>
      <w:r w:rsidR="008F6577">
        <w:rPr>
          <w:rFonts w:cs="Arial"/>
          <w:color w:val="212121"/>
        </w:rPr>
        <w:t xml:space="preserve"> undertaken during the procurement process.  </w:t>
      </w:r>
    </w:p>
    <w:p w:rsidR="00DE08B2" w:rsidRPr="00956B61" w:rsidRDefault="00DE08B2" w:rsidP="00072940">
      <w:pPr>
        <w:autoSpaceDE w:val="0"/>
        <w:autoSpaceDN w:val="0"/>
        <w:adjustRightInd w:val="0"/>
        <w:ind w:left="720" w:hanging="720"/>
        <w:rPr>
          <w:rFonts w:cs="Arial"/>
        </w:rPr>
      </w:pPr>
    </w:p>
    <w:p w:rsidR="003B6610" w:rsidRPr="00956B61" w:rsidRDefault="003B6610" w:rsidP="000228F2">
      <w:pPr>
        <w:pStyle w:val="ListParagraph"/>
        <w:numPr>
          <w:ilvl w:val="0"/>
          <w:numId w:val="10"/>
        </w:numPr>
        <w:ind w:left="360"/>
        <w:rPr>
          <w:rFonts w:cs="Arial"/>
          <w:b/>
        </w:rPr>
      </w:pPr>
      <w:r w:rsidRPr="00956B61">
        <w:rPr>
          <w:rFonts w:cs="Arial"/>
          <w:b/>
        </w:rPr>
        <w:t>Other Implications</w:t>
      </w:r>
    </w:p>
    <w:p w:rsidR="003B6610" w:rsidRPr="00956B61" w:rsidRDefault="003B6610" w:rsidP="003B6610">
      <w:pPr>
        <w:autoSpaceDE w:val="0"/>
        <w:autoSpaceDN w:val="0"/>
        <w:adjustRightInd w:val="0"/>
        <w:ind w:left="720" w:hanging="720"/>
        <w:rPr>
          <w:rFonts w:cs="Arial"/>
        </w:rPr>
      </w:pPr>
    </w:p>
    <w:p w:rsidR="000228F2" w:rsidRPr="00956B61" w:rsidRDefault="00B448CA" w:rsidP="000228F2">
      <w:pPr>
        <w:pStyle w:val="ListParagraph"/>
        <w:numPr>
          <w:ilvl w:val="1"/>
          <w:numId w:val="10"/>
        </w:numPr>
        <w:autoSpaceDE w:val="0"/>
        <w:autoSpaceDN w:val="0"/>
        <w:adjustRightInd w:val="0"/>
        <w:ind w:left="720"/>
        <w:rPr>
          <w:rFonts w:cs="Arial"/>
        </w:rPr>
      </w:pPr>
      <w:r w:rsidRPr="00956B61">
        <w:rPr>
          <w:rFonts w:cs="Arial"/>
          <w:b/>
        </w:rPr>
        <w:t>Risk Management</w:t>
      </w:r>
      <w:r w:rsidR="00E76386" w:rsidRPr="00956B61">
        <w:rPr>
          <w:rFonts w:cs="Arial"/>
        </w:rPr>
        <w:t xml:space="preserve"> -</w:t>
      </w:r>
      <w:r w:rsidRPr="00956B61">
        <w:rPr>
          <w:rFonts w:cs="Arial"/>
        </w:rPr>
        <w:t xml:space="preserve"> </w:t>
      </w:r>
      <w:r w:rsidR="00953DAD" w:rsidRPr="00956B61">
        <w:rPr>
          <w:rFonts w:cs="Arial"/>
        </w:rPr>
        <w:t>Risk management implications are covered in th</w:t>
      </w:r>
      <w:bookmarkStart w:id="2" w:name="_GoBack"/>
      <w:bookmarkEnd w:id="2"/>
      <w:r w:rsidR="00953DAD" w:rsidRPr="00956B61">
        <w:rPr>
          <w:rFonts w:cs="Arial"/>
        </w:rPr>
        <w:t>e Full Business Case</w:t>
      </w:r>
      <w:r w:rsidR="000B3590">
        <w:rPr>
          <w:rFonts w:cs="Arial"/>
        </w:rPr>
        <w:t>s</w:t>
      </w:r>
      <w:r w:rsidR="00953DAD" w:rsidRPr="00956B61">
        <w:rPr>
          <w:rFonts w:cs="Arial"/>
        </w:rPr>
        <w:t xml:space="preserve"> attached at Appendix A.</w:t>
      </w:r>
      <w:r w:rsidR="00D21E37" w:rsidRPr="00956B61">
        <w:rPr>
          <w:rFonts w:cs="Arial"/>
        </w:rPr>
        <w:t xml:space="preserve"> </w:t>
      </w:r>
    </w:p>
    <w:p w:rsidR="000228F2" w:rsidRPr="00956B61" w:rsidRDefault="000228F2" w:rsidP="000228F2">
      <w:pPr>
        <w:pStyle w:val="ListParagraph"/>
        <w:autoSpaceDE w:val="0"/>
        <w:autoSpaceDN w:val="0"/>
        <w:adjustRightInd w:val="0"/>
        <w:ind w:left="360"/>
        <w:rPr>
          <w:rFonts w:cs="Arial"/>
        </w:rPr>
      </w:pPr>
    </w:p>
    <w:p w:rsidR="00B448CA" w:rsidRPr="00956B61" w:rsidRDefault="00B448CA" w:rsidP="00637701">
      <w:pPr>
        <w:pStyle w:val="ListParagraph"/>
        <w:numPr>
          <w:ilvl w:val="1"/>
          <w:numId w:val="10"/>
        </w:numPr>
        <w:autoSpaceDE w:val="0"/>
        <w:autoSpaceDN w:val="0"/>
        <w:adjustRightInd w:val="0"/>
        <w:ind w:left="720"/>
        <w:rPr>
          <w:rFonts w:cs="Arial"/>
        </w:rPr>
      </w:pPr>
      <w:r w:rsidRPr="00956B61">
        <w:rPr>
          <w:rFonts w:cs="Arial"/>
          <w:b/>
        </w:rPr>
        <w:t>Contractual Issues</w:t>
      </w:r>
      <w:r w:rsidR="00E76386" w:rsidRPr="00956B61">
        <w:rPr>
          <w:rFonts w:cs="Arial"/>
          <w:b/>
        </w:rPr>
        <w:t xml:space="preserve"> -</w:t>
      </w:r>
      <w:r w:rsidR="002F3F9A" w:rsidRPr="00956B61">
        <w:rPr>
          <w:rFonts w:cs="Arial"/>
          <w:b/>
        </w:rPr>
        <w:t xml:space="preserve"> </w:t>
      </w:r>
      <w:r w:rsidR="00E50176" w:rsidRPr="00E50176">
        <w:t xml:space="preserve">If approved, </w:t>
      </w:r>
      <w:r w:rsidR="00E50176">
        <w:t>School Improvement Partnership</w:t>
      </w:r>
      <w:r w:rsidR="00E50176" w:rsidRPr="00E50176">
        <w:t xml:space="preserve"> will operate under a long-term contract with LBBD. This will be prepared during the implementation phase with advice from both internal and external lawyers.</w:t>
      </w:r>
    </w:p>
    <w:p w:rsidR="000D030E" w:rsidRPr="00956B61" w:rsidRDefault="000D030E" w:rsidP="000D030E">
      <w:pPr>
        <w:autoSpaceDE w:val="0"/>
        <w:autoSpaceDN w:val="0"/>
        <w:adjustRightInd w:val="0"/>
        <w:rPr>
          <w:rFonts w:cs="Arial"/>
        </w:rPr>
      </w:pPr>
    </w:p>
    <w:p w:rsidR="008B293E" w:rsidRPr="00424E6C" w:rsidRDefault="00B448CA" w:rsidP="00637701">
      <w:pPr>
        <w:pStyle w:val="ListParagraph"/>
        <w:numPr>
          <w:ilvl w:val="1"/>
          <w:numId w:val="10"/>
        </w:numPr>
        <w:autoSpaceDE w:val="0"/>
        <w:autoSpaceDN w:val="0"/>
        <w:adjustRightInd w:val="0"/>
        <w:ind w:left="720"/>
        <w:rPr>
          <w:rFonts w:cs="Arial"/>
        </w:rPr>
      </w:pPr>
      <w:r w:rsidRPr="00424E6C">
        <w:rPr>
          <w:rFonts w:cs="Arial"/>
          <w:b/>
        </w:rPr>
        <w:t>Staffing Issues</w:t>
      </w:r>
      <w:r w:rsidR="00E76386" w:rsidRPr="00424E6C">
        <w:rPr>
          <w:rFonts w:cs="Arial"/>
          <w:b/>
        </w:rPr>
        <w:t xml:space="preserve"> </w:t>
      </w:r>
      <w:r w:rsidR="008B293E" w:rsidRPr="00424E6C">
        <w:rPr>
          <w:rFonts w:cs="Arial"/>
          <w:b/>
        </w:rPr>
        <w:t>–</w:t>
      </w:r>
      <w:r w:rsidR="00424E6C">
        <w:rPr>
          <w:rFonts w:cs="Arial"/>
          <w:b/>
        </w:rPr>
        <w:t xml:space="preserve"> </w:t>
      </w:r>
      <w:r w:rsidR="008B293E" w:rsidRPr="00424E6C">
        <w:rPr>
          <w:rFonts w:cs="Arial"/>
        </w:rPr>
        <w:t>The current proposal is that 34 FTE staff will transfer to the School Improvement Partnership Company and TUPE would apply.</w:t>
      </w:r>
      <w:r w:rsidR="00334298" w:rsidRPr="00424E6C">
        <w:rPr>
          <w:rFonts w:cs="Arial"/>
        </w:rPr>
        <w:t xml:space="preserve"> Informal consultations, including as part of staff roadshows have been taking place with staff. </w:t>
      </w:r>
      <w:r w:rsidR="00424E6C">
        <w:rPr>
          <w:rFonts w:cs="Arial"/>
        </w:rPr>
        <w:t>I</w:t>
      </w:r>
      <w:r w:rsidR="00424E6C" w:rsidRPr="00424E6C">
        <w:rPr>
          <w:rFonts w:cs="Arial"/>
        </w:rPr>
        <w:t>nformal consultation meetings have taken place with unions.</w:t>
      </w:r>
    </w:p>
    <w:p w:rsidR="000D030E" w:rsidRDefault="000D030E" w:rsidP="000D030E">
      <w:pPr>
        <w:autoSpaceDE w:val="0"/>
        <w:autoSpaceDN w:val="0"/>
        <w:adjustRightInd w:val="0"/>
        <w:rPr>
          <w:rFonts w:cs="Arial"/>
        </w:rPr>
      </w:pPr>
    </w:p>
    <w:p w:rsidR="0008445E" w:rsidRPr="0008445E" w:rsidRDefault="00B43935" w:rsidP="003B43F4">
      <w:pPr>
        <w:pStyle w:val="ListParagraph"/>
        <w:numPr>
          <w:ilvl w:val="1"/>
          <w:numId w:val="10"/>
        </w:numPr>
        <w:autoSpaceDE w:val="0"/>
        <w:autoSpaceDN w:val="0"/>
        <w:adjustRightInd w:val="0"/>
        <w:ind w:left="720"/>
        <w:rPr>
          <w:rFonts w:cs="Arial"/>
          <w:color w:val="000000" w:themeColor="text1"/>
        </w:rPr>
      </w:pPr>
      <w:r w:rsidRPr="00F04E7F">
        <w:rPr>
          <w:rFonts w:cs="Arial"/>
          <w:b/>
        </w:rPr>
        <w:t xml:space="preserve">Corporate Policy and </w:t>
      </w:r>
      <w:r w:rsidR="00B448CA" w:rsidRPr="00F04E7F">
        <w:rPr>
          <w:rFonts w:cs="Arial"/>
          <w:b/>
        </w:rPr>
        <w:t>Customer Impact</w:t>
      </w:r>
      <w:r w:rsidR="00E76386" w:rsidRPr="00F04E7F">
        <w:rPr>
          <w:rFonts w:cs="Arial"/>
          <w:b/>
        </w:rPr>
        <w:t xml:space="preserve"> -</w:t>
      </w:r>
      <w:r w:rsidR="003B6610" w:rsidRPr="00F04E7F">
        <w:rPr>
          <w:rFonts w:cs="Arial"/>
          <w:b/>
          <w:color w:val="000000" w:themeColor="text1"/>
        </w:rPr>
        <w:t xml:space="preserve"> </w:t>
      </w:r>
      <w:r w:rsidR="00334298">
        <w:rPr>
          <w:rFonts w:cs="Arial"/>
          <w:color w:val="000000" w:themeColor="text1"/>
        </w:rPr>
        <w:t xml:space="preserve">The proposal to establish A School Improvement Services company </w:t>
      </w:r>
      <w:r w:rsidR="0008445E" w:rsidRPr="0008445E">
        <w:rPr>
          <w:rFonts w:cs="Arial"/>
          <w:color w:val="000000" w:themeColor="text1"/>
        </w:rPr>
        <w:t>is in line with the Ambition 2020 strategy. The proposal is aligned to the Council’s overall vision as the organisation seeks to consider alternative and innovative</w:t>
      </w:r>
      <w:r w:rsidR="00334298">
        <w:rPr>
          <w:rFonts w:cs="Arial"/>
          <w:color w:val="000000" w:themeColor="text1"/>
        </w:rPr>
        <w:t xml:space="preserve"> methods of service delivery</w:t>
      </w:r>
      <w:r w:rsidR="0008445E" w:rsidRPr="0008445E">
        <w:rPr>
          <w:rFonts w:cs="Arial"/>
          <w:color w:val="000000" w:themeColor="text1"/>
        </w:rPr>
        <w:t xml:space="preserve"> to improve services and respond to the financial challenge. </w:t>
      </w:r>
    </w:p>
    <w:p w:rsidR="0008445E" w:rsidRPr="0008445E" w:rsidRDefault="0008445E" w:rsidP="0008445E">
      <w:pPr>
        <w:pStyle w:val="ListParagraph"/>
        <w:autoSpaceDE w:val="0"/>
        <w:autoSpaceDN w:val="0"/>
        <w:adjustRightInd w:val="0"/>
        <w:ind w:left="862"/>
        <w:rPr>
          <w:rFonts w:cs="Arial"/>
          <w:color w:val="000000" w:themeColor="text1"/>
        </w:rPr>
      </w:pPr>
    </w:p>
    <w:p w:rsidR="00334298" w:rsidRDefault="0008445E" w:rsidP="003B43F4">
      <w:pPr>
        <w:pStyle w:val="ListParagraph"/>
        <w:autoSpaceDE w:val="0"/>
        <w:autoSpaceDN w:val="0"/>
        <w:adjustRightInd w:val="0"/>
        <w:rPr>
          <w:rFonts w:cs="Arial"/>
          <w:color w:val="000000" w:themeColor="text1"/>
        </w:rPr>
      </w:pPr>
      <w:r w:rsidRPr="0008445E">
        <w:rPr>
          <w:rFonts w:cs="Arial"/>
          <w:color w:val="000000" w:themeColor="text1"/>
        </w:rPr>
        <w:t>There are no anticipated negative impacts on residents or any of the protected characteristics as a result of the proposals. Draft Equalities Impact Assessments (EIA) that identify the impact of this change on staff ar</w:t>
      </w:r>
      <w:r>
        <w:rPr>
          <w:rFonts w:cs="Arial"/>
          <w:color w:val="000000" w:themeColor="text1"/>
        </w:rPr>
        <w:t xml:space="preserve">e attached as Appendix </w:t>
      </w:r>
      <w:r w:rsidR="001F6D6E">
        <w:rPr>
          <w:rFonts w:cs="Arial"/>
          <w:color w:val="000000" w:themeColor="text1"/>
        </w:rPr>
        <w:t>B</w:t>
      </w:r>
      <w:r w:rsidRPr="0008445E">
        <w:rPr>
          <w:rFonts w:cs="Arial"/>
          <w:color w:val="000000" w:themeColor="text1"/>
        </w:rPr>
        <w:t>.  These will be further developed as part of the staff consultation exercise, incorporating feedback ahead of the implementation and TUPE process required to create the new company.</w:t>
      </w:r>
      <w:r w:rsidR="001F6D6E">
        <w:rPr>
          <w:rFonts w:cs="Arial"/>
          <w:color w:val="000000" w:themeColor="text1"/>
        </w:rPr>
        <w:t xml:space="preserve"> </w:t>
      </w:r>
    </w:p>
    <w:p w:rsidR="000D030E" w:rsidRPr="00F04E7F" w:rsidRDefault="000D030E" w:rsidP="000D030E">
      <w:pPr>
        <w:autoSpaceDE w:val="0"/>
        <w:autoSpaceDN w:val="0"/>
        <w:adjustRightInd w:val="0"/>
        <w:rPr>
          <w:rFonts w:cs="Arial"/>
        </w:rPr>
      </w:pPr>
    </w:p>
    <w:p w:rsidR="00B448CA" w:rsidRPr="00637701" w:rsidRDefault="00B448CA" w:rsidP="000228F2">
      <w:pPr>
        <w:pStyle w:val="ListParagraph"/>
        <w:numPr>
          <w:ilvl w:val="1"/>
          <w:numId w:val="10"/>
        </w:numPr>
        <w:autoSpaceDE w:val="0"/>
        <w:autoSpaceDN w:val="0"/>
        <w:adjustRightInd w:val="0"/>
        <w:ind w:left="720"/>
        <w:rPr>
          <w:rFonts w:cs="Arial"/>
          <w:b/>
          <w:color w:val="000000" w:themeColor="text1"/>
        </w:rPr>
      </w:pPr>
      <w:r w:rsidRPr="00637701">
        <w:rPr>
          <w:rFonts w:cs="Arial"/>
          <w:b/>
        </w:rPr>
        <w:t xml:space="preserve">Property / Asset </w:t>
      </w:r>
      <w:r w:rsidRPr="00637701">
        <w:rPr>
          <w:rFonts w:cs="Arial"/>
          <w:b/>
          <w:color w:val="000000" w:themeColor="text1"/>
        </w:rPr>
        <w:t>Issues</w:t>
      </w:r>
      <w:r w:rsidR="00E76386" w:rsidRPr="00637701">
        <w:rPr>
          <w:rFonts w:cs="Arial"/>
          <w:b/>
          <w:color w:val="000000" w:themeColor="text1"/>
        </w:rPr>
        <w:t xml:space="preserve"> </w:t>
      </w:r>
      <w:r w:rsidR="00BA3EE9" w:rsidRPr="00637701">
        <w:rPr>
          <w:rFonts w:cs="Arial"/>
          <w:b/>
          <w:color w:val="000000" w:themeColor="text1"/>
        </w:rPr>
        <w:t>–</w:t>
      </w:r>
      <w:r w:rsidR="00637701">
        <w:rPr>
          <w:rFonts w:cs="Arial"/>
          <w:b/>
          <w:color w:val="000000" w:themeColor="text1"/>
        </w:rPr>
        <w:t xml:space="preserve"> </w:t>
      </w:r>
      <w:r w:rsidR="00637701" w:rsidRPr="00637701">
        <w:rPr>
          <w:rFonts w:cs="Arial"/>
          <w:color w:val="000000" w:themeColor="text1"/>
        </w:rPr>
        <w:t>Not applicable</w:t>
      </w:r>
    </w:p>
    <w:p w:rsidR="009D2E10" w:rsidRDefault="009D2E10" w:rsidP="00F7272A">
      <w:pPr>
        <w:autoSpaceDE w:val="0"/>
        <w:autoSpaceDN w:val="0"/>
        <w:adjustRightInd w:val="0"/>
        <w:rPr>
          <w:b/>
        </w:rPr>
      </w:pPr>
    </w:p>
    <w:p w:rsidR="00650AAE" w:rsidRDefault="00650AAE" w:rsidP="00F7272A">
      <w:pPr>
        <w:autoSpaceDE w:val="0"/>
        <w:autoSpaceDN w:val="0"/>
        <w:adjustRightInd w:val="0"/>
        <w:rPr>
          <w:rFonts w:cs="Arial"/>
          <w:b/>
        </w:rPr>
      </w:pPr>
    </w:p>
    <w:p w:rsidR="00AC2AC7" w:rsidRPr="007432B9" w:rsidRDefault="00AC2AC7" w:rsidP="00F7272A">
      <w:pPr>
        <w:autoSpaceDE w:val="0"/>
        <w:autoSpaceDN w:val="0"/>
        <w:adjustRightInd w:val="0"/>
        <w:rPr>
          <w:rFonts w:cs="Arial"/>
          <w:b/>
        </w:rPr>
      </w:pPr>
      <w:r>
        <w:rPr>
          <w:rFonts w:cs="Arial"/>
          <w:b/>
        </w:rPr>
        <w:t xml:space="preserve">Public </w:t>
      </w:r>
      <w:r w:rsidR="006B0B04" w:rsidRPr="007432B9">
        <w:rPr>
          <w:rFonts w:cs="Arial"/>
          <w:b/>
        </w:rPr>
        <w:t>Background Papers</w:t>
      </w:r>
      <w:r w:rsidR="007432B9" w:rsidRPr="007432B9">
        <w:rPr>
          <w:rFonts w:cs="Arial"/>
          <w:b/>
        </w:rPr>
        <w:t xml:space="preserve"> </w:t>
      </w:r>
      <w:r w:rsidR="007432B9" w:rsidRPr="007432B9">
        <w:rPr>
          <w:b/>
        </w:rPr>
        <w:t>Used in the Preparation of the Report</w:t>
      </w:r>
      <w:r w:rsidR="007432B9">
        <w:rPr>
          <w:b/>
        </w:rPr>
        <w:t>:</w:t>
      </w:r>
      <w:r w:rsidR="00956B61">
        <w:rPr>
          <w:b/>
        </w:rPr>
        <w:t xml:space="preserve"> </w:t>
      </w:r>
      <w:r w:rsidR="00956B61">
        <w:t>None</w:t>
      </w:r>
    </w:p>
    <w:p w:rsidR="000F14B0" w:rsidRDefault="000F14B0" w:rsidP="000F14B0">
      <w:pPr>
        <w:autoSpaceDE w:val="0"/>
        <w:autoSpaceDN w:val="0"/>
        <w:adjustRightInd w:val="0"/>
        <w:rPr>
          <w:rFonts w:cs="Arial"/>
          <w:b/>
        </w:rPr>
      </w:pPr>
    </w:p>
    <w:p w:rsidR="00953DAD" w:rsidRPr="007B0EC6" w:rsidRDefault="00953DAD" w:rsidP="00953DAD">
      <w:pPr>
        <w:autoSpaceDE w:val="0"/>
        <w:autoSpaceDN w:val="0"/>
        <w:adjustRightInd w:val="0"/>
        <w:rPr>
          <w:b/>
        </w:rPr>
      </w:pPr>
      <w:r w:rsidRPr="007B0EC6">
        <w:rPr>
          <w:rFonts w:cs="Arial"/>
          <w:b/>
        </w:rPr>
        <w:t>List of appendices</w:t>
      </w:r>
      <w:r w:rsidRPr="007B0EC6">
        <w:rPr>
          <w:b/>
        </w:rPr>
        <w:t>:</w:t>
      </w:r>
    </w:p>
    <w:p w:rsidR="00953DAD" w:rsidRPr="000B3590" w:rsidRDefault="00936244" w:rsidP="001F6D6E">
      <w:pPr>
        <w:numPr>
          <w:ilvl w:val="0"/>
          <w:numId w:val="9"/>
        </w:numPr>
        <w:autoSpaceDE w:val="0"/>
        <w:autoSpaceDN w:val="0"/>
        <w:adjustRightInd w:val="0"/>
        <w:rPr>
          <w:rFonts w:cs="Arial"/>
          <w:color w:val="000000"/>
        </w:rPr>
      </w:pPr>
      <w:r w:rsidRPr="00576321">
        <w:rPr>
          <w:rFonts w:cs="Arial"/>
          <w:b/>
          <w:color w:val="000000"/>
        </w:rPr>
        <w:t xml:space="preserve">Appendix </w:t>
      </w:r>
      <w:r w:rsidR="004424EC">
        <w:rPr>
          <w:rFonts w:cs="Arial"/>
          <w:b/>
          <w:color w:val="000000"/>
        </w:rPr>
        <w:t>1</w:t>
      </w:r>
      <w:r w:rsidRPr="00576321">
        <w:rPr>
          <w:rFonts w:cs="Arial"/>
          <w:b/>
          <w:color w:val="000000"/>
        </w:rPr>
        <w:t>:</w:t>
      </w:r>
      <w:r w:rsidR="00953DAD" w:rsidRPr="007B0EC6">
        <w:rPr>
          <w:rFonts w:cs="Arial"/>
          <w:color w:val="000000"/>
        </w:rPr>
        <w:t xml:space="preserve"> </w:t>
      </w:r>
      <w:r w:rsidR="001F6D6E" w:rsidRPr="001F6D6E">
        <w:rPr>
          <w:rFonts w:cs="Arial"/>
          <w:color w:val="000000"/>
        </w:rPr>
        <w:t>School Improvement Partnership</w:t>
      </w:r>
      <w:r w:rsidR="00953DAD" w:rsidRPr="007B0EC6">
        <w:rPr>
          <w:rFonts w:cs="Arial"/>
          <w:color w:val="000000"/>
        </w:rPr>
        <w:t xml:space="preserve"> Full Business Case, </w:t>
      </w:r>
      <w:r w:rsidR="001F6D6E">
        <w:rPr>
          <w:rFonts w:cs="Arial"/>
          <w:color w:val="000000"/>
        </w:rPr>
        <w:t>May</w:t>
      </w:r>
      <w:r w:rsidR="00953DAD" w:rsidRPr="000B3590">
        <w:rPr>
          <w:rFonts w:cs="Arial"/>
          <w:color w:val="000000"/>
        </w:rPr>
        <w:t xml:space="preserve"> 2017 </w:t>
      </w:r>
      <w:r w:rsidRPr="00576321">
        <w:rPr>
          <w:rFonts w:cs="Arial"/>
          <w:color w:val="000000"/>
        </w:rPr>
        <w:t>(Exempt document)</w:t>
      </w:r>
    </w:p>
    <w:p w:rsidR="007959DF" w:rsidRPr="00E27273" w:rsidRDefault="00936244" w:rsidP="007959DF">
      <w:pPr>
        <w:numPr>
          <w:ilvl w:val="0"/>
          <w:numId w:val="9"/>
        </w:numPr>
        <w:autoSpaceDE w:val="0"/>
        <w:autoSpaceDN w:val="0"/>
        <w:adjustRightInd w:val="0"/>
        <w:rPr>
          <w:rFonts w:cs="Arial"/>
          <w:color w:val="000000"/>
        </w:rPr>
      </w:pPr>
      <w:r w:rsidRPr="001F6D6E">
        <w:rPr>
          <w:rFonts w:cs="Arial"/>
          <w:b/>
          <w:color w:val="000000"/>
        </w:rPr>
        <w:t xml:space="preserve">Appendix </w:t>
      </w:r>
      <w:r w:rsidR="004424EC">
        <w:rPr>
          <w:rFonts w:cs="Arial"/>
          <w:b/>
          <w:color w:val="000000"/>
        </w:rPr>
        <w:t>2</w:t>
      </w:r>
      <w:r w:rsidRPr="001F6D6E">
        <w:rPr>
          <w:rFonts w:cs="Arial"/>
          <w:b/>
          <w:color w:val="000000"/>
        </w:rPr>
        <w:t>:</w:t>
      </w:r>
      <w:r w:rsidR="00953DAD" w:rsidRPr="001F6D6E">
        <w:rPr>
          <w:rFonts w:cs="Arial"/>
          <w:color w:val="000000"/>
        </w:rPr>
        <w:t xml:space="preserve"> </w:t>
      </w:r>
      <w:r w:rsidR="008A4B7C" w:rsidRPr="001F6D6E">
        <w:rPr>
          <w:rFonts w:cs="Arial"/>
          <w:color w:val="000000"/>
        </w:rPr>
        <w:t xml:space="preserve">DRAFT - </w:t>
      </w:r>
      <w:r w:rsidR="001F6D6E" w:rsidRPr="001F6D6E">
        <w:rPr>
          <w:rFonts w:cs="Arial"/>
          <w:color w:val="000000"/>
        </w:rPr>
        <w:t xml:space="preserve">School Improvement Partnership </w:t>
      </w:r>
      <w:r w:rsidR="00953DAD" w:rsidRPr="001F6D6E">
        <w:rPr>
          <w:rFonts w:cs="Arial"/>
          <w:color w:val="000000"/>
        </w:rPr>
        <w:t xml:space="preserve">Equalities Impact Statement, </w:t>
      </w:r>
      <w:r w:rsidR="001F6D6E">
        <w:rPr>
          <w:rFonts w:cs="Arial"/>
          <w:color w:val="000000"/>
        </w:rPr>
        <w:t>May</w:t>
      </w:r>
      <w:r w:rsidR="00953DAD" w:rsidRPr="001F6D6E">
        <w:rPr>
          <w:rFonts w:cs="Arial"/>
          <w:color w:val="000000"/>
        </w:rPr>
        <w:t xml:space="preserve"> 2016</w:t>
      </w:r>
      <w:r w:rsidR="000228F2" w:rsidRPr="001F6D6E">
        <w:rPr>
          <w:rFonts w:cs="Arial"/>
          <w:color w:val="000000"/>
        </w:rPr>
        <w:t xml:space="preserve"> </w:t>
      </w:r>
    </w:p>
    <w:sectPr w:rsidR="007959DF" w:rsidRPr="00E27273" w:rsidSect="00396CCA">
      <w:pgSz w:w="11909" w:h="16834" w:code="9"/>
      <w:pgMar w:top="1134" w:right="1134" w:bottom="1134" w:left="1134"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92E" w:rsidRDefault="000B392E">
      <w:r>
        <w:separator/>
      </w:r>
    </w:p>
  </w:endnote>
  <w:endnote w:type="continuationSeparator" w:id="0">
    <w:p w:rsidR="000B392E" w:rsidRDefault="000B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1B" w:rsidRDefault="000B1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1B" w:rsidRDefault="000B1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1B" w:rsidRDefault="000B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92E" w:rsidRDefault="000B392E">
      <w:r>
        <w:separator/>
      </w:r>
    </w:p>
  </w:footnote>
  <w:footnote w:type="continuationSeparator" w:id="0">
    <w:p w:rsidR="000B392E" w:rsidRDefault="000B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1B" w:rsidRDefault="00B340EF">
    <w:pPr>
      <w:pStyle w:val="Header"/>
    </w:pPr>
    <w:r>
      <w:rPr>
        <w:noProof/>
      </w:rPr>
      <w:pict w14:anchorId="7B3C0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5407" o:spid="_x0000_s2050" type="#_x0000_t136" style="position:absolute;margin-left:0;margin-top:0;width:485.45pt;height:194.1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1B" w:rsidRDefault="00B340EF">
    <w:pPr>
      <w:pStyle w:val="Header"/>
    </w:pPr>
    <w:r>
      <w:rPr>
        <w:noProof/>
      </w:rPr>
      <w:pict w14:anchorId="48649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5408" o:spid="_x0000_s2051" type="#_x0000_t136" style="position:absolute;margin-left:0;margin-top:0;width:485.45pt;height:194.1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1B" w:rsidRDefault="00B340EF">
    <w:pPr>
      <w:pStyle w:val="Header"/>
    </w:pPr>
    <w:r>
      <w:rPr>
        <w:noProof/>
      </w:rPr>
      <w:pict w14:anchorId="56076E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5406" o:spid="_x0000_s2049" type="#_x0000_t136" style="position:absolute;margin-left:0;margin-top:0;width:485.45pt;height:194.1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7F16"/>
    <w:multiLevelType w:val="multilevel"/>
    <w:tmpl w:val="C44AECCC"/>
    <w:lvl w:ilvl="0">
      <w:start w:val="1"/>
      <w:numFmt w:val="decimal"/>
      <w:lvlText w:val="%1."/>
      <w:lvlJc w:val="left"/>
      <w:pPr>
        <w:ind w:left="720" w:hanging="360"/>
      </w:pPr>
    </w:lvl>
    <w:lvl w:ilvl="1">
      <w:start w:val="1"/>
      <w:numFmt w:val="bullet"/>
      <w:lvlText w:val=""/>
      <w:lvlJc w:val="left"/>
      <w:pPr>
        <w:ind w:left="862" w:hanging="720"/>
      </w:pPr>
      <w:rPr>
        <w:rFonts w:ascii="Symbol" w:hAnsi="Symbol" w:hint="default"/>
        <w:b w:val="0"/>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500AA5"/>
    <w:multiLevelType w:val="hybridMultilevel"/>
    <w:tmpl w:val="FBF8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B091E"/>
    <w:multiLevelType w:val="hybridMultilevel"/>
    <w:tmpl w:val="01C07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84949"/>
    <w:multiLevelType w:val="multilevel"/>
    <w:tmpl w:val="0E982D38"/>
    <w:lvl w:ilvl="0">
      <w:start w:val="1"/>
      <w:numFmt w:val="decimal"/>
      <w:lvlText w:val="%1."/>
      <w:lvlJc w:val="left"/>
      <w:pPr>
        <w:ind w:left="720" w:hanging="360"/>
      </w:pPr>
    </w:lvl>
    <w:lvl w:ilvl="1">
      <w:start w:val="1"/>
      <w:numFmt w:val="decimal"/>
      <w:isLgl/>
      <w:lvlText w:val="%1.%2"/>
      <w:lvlJc w:val="left"/>
      <w:pPr>
        <w:ind w:left="862" w:hanging="720"/>
      </w:pPr>
      <w:rPr>
        <w:rFonts w:ascii="Arial" w:hAnsi="Arial" w:cs="Arial" w:hint="default"/>
        <w:b w:val="0"/>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666170"/>
    <w:multiLevelType w:val="multilevel"/>
    <w:tmpl w:val="2AA8B8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C61426"/>
    <w:multiLevelType w:val="hybridMultilevel"/>
    <w:tmpl w:val="ABDCB6AA"/>
    <w:lvl w:ilvl="0" w:tplc="4EFA58F2">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AD1AAE"/>
    <w:multiLevelType w:val="multilevel"/>
    <w:tmpl w:val="75887962"/>
    <w:lvl w:ilvl="0">
      <w:start w:val="1"/>
      <w:numFmt w:val="decimal"/>
      <w:lvlText w:val="%1."/>
      <w:lvlJc w:val="left"/>
      <w:pPr>
        <w:ind w:left="720" w:hanging="360"/>
      </w:pPr>
    </w:lvl>
    <w:lvl w:ilvl="1">
      <w:start w:val="1"/>
      <w:numFmt w:val="bullet"/>
      <w:lvlText w:val=""/>
      <w:lvlJc w:val="left"/>
      <w:pPr>
        <w:ind w:left="1004" w:hanging="720"/>
      </w:pPr>
      <w:rPr>
        <w:rFonts w:ascii="Symbol" w:hAnsi="Symbol" w:hint="default"/>
        <w:b w:val="0"/>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4D776A"/>
    <w:multiLevelType w:val="hybridMultilevel"/>
    <w:tmpl w:val="BF98CFDE"/>
    <w:lvl w:ilvl="0" w:tplc="DEC49088">
      <w:start w:val="1"/>
      <w:numFmt w:val="lowerRoman"/>
      <w:lvlText w:val="(%1)"/>
      <w:lvlJc w:val="left"/>
      <w:pPr>
        <w:tabs>
          <w:tab w:val="num" w:pos="720"/>
        </w:tabs>
        <w:ind w:left="720" w:hanging="720"/>
      </w:pPr>
      <w:rPr>
        <w:rFonts w:hint="default"/>
      </w:rPr>
    </w:lvl>
    <w:lvl w:ilvl="1" w:tplc="914EC20E">
      <w:start w:val="1"/>
      <w:numFmt w:val="lowerLetter"/>
      <w:lvlText w:val="%2)."/>
      <w:lvlJc w:val="left"/>
      <w:pPr>
        <w:tabs>
          <w:tab w:val="num" w:pos="1080"/>
        </w:tabs>
        <w:ind w:left="1080" w:hanging="360"/>
      </w:pPr>
      <w:rPr>
        <w:rFonts w:hint="default"/>
      </w:rPr>
    </w:lvl>
    <w:lvl w:ilvl="2" w:tplc="795E74CA">
      <w:start w:val="1"/>
      <w:numFmt w:val="lowerRoman"/>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7DF622F"/>
    <w:multiLevelType w:val="hybridMultilevel"/>
    <w:tmpl w:val="05502506"/>
    <w:lvl w:ilvl="0" w:tplc="C7ACB210">
      <w:start w:val="1"/>
      <w:numFmt w:val="decimal"/>
      <w:pStyle w:val="Numbering"/>
      <w:lvlText w:val="%1."/>
      <w:lvlJc w:val="left"/>
      <w:pPr>
        <w:ind w:left="1571" w:hanging="360"/>
      </w:pPr>
      <w:rPr>
        <w:b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2A11105B"/>
    <w:multiLevelType w:val="hybridMultilevel"/>
    <w:tmpl w:val="30C20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286B36"/>
    <w:multiLevelType w:val="hybridMultilevel"/>
    <w:tmpl w:val="6C60F8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2B4C2AEA"/>
    <w:multiLevelType w:val="hybridMultilevel"/>
    <w:tmpl w:val="20441284"/>
    <w:lvl w:ilvl="0" w:tplc="DEC490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C641F1"/>
    <w:multiLevelType w:val="hybridMultilevel"/>
    <w:tmpl w:val="0F1E564A"/>
    <w:lvl w:ilvl="0" w:tplc="FCBEA8A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3324A"/>
    <w:multiLevelType w:val="multilevel"/>
    <w:tmpl w:val="DDD49C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B40235"/>
    <w:multiLevelType w:val="hybridMultilevel"/>
    <w:tmpl w:val="B586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471C1"/>
    <w:multiLevelType w:val="hybridMultilevel"/>
    <w:tmpl w:val="720C9580"/>
    <w:lvl w:ilvl="0" w:tplc="CE541B52">
      <w:start w:val="1"/>
      <w:numFmt w:val="bullet"/>
      <w:lvlText w:val="•"/>
      <w:lvlJc w:val="left"/>
      <w:pPr>
        <w:tabs>
          <w:tab w:val="num" w:pos="720"/>
        </w:tabs>
        <w:ind w:left="720" w:hanging="360"/>
      </w:pPr>
      <w:rPr>
        <w:rFonts w:ascii="Arial" w:hAnsi="Arial" w:hint="default"/>
      </w:rPr>
    </w:lvl>
    <w:lvl w:ilvl="1" w:tplc="73E0E6F0" w:tentative="1">
      <w:start w:val="1"/>
      <w:numFmt w:val="bullet"/>
      <w:lvlText w:val="•"/>
      <w:lvlJc w:val="left"/>
      <w:pPr>
        <w:tabs>
          <w:tab w:val="num" w:pos="1440"/>
        </w:tabs>
        <w:ind w:left="1440" w:hanging="360"/>
      </w:pPr>
      <w:rPr>
        <w:rFonts w:ascii="Arial" w:hAnsi="Arial" w:hint="default"/>
      </w:rPr>
    </w:lvl>
    <w:lvl w:ilvl="2" w:tplc="259E7CD8" w:tentative="1">
      <w:start w:val="1"/>
      <w:numFmt w:val="bullet"/>
      <w:lvlText w:val="•"/>
      <w:lvlJc w:val="left"/>
      <w:pPr>
        <w:tabs>
          <w:tab w:val="num" w:pos="2160"/>
        </w:tabs>
        <w:ind w:left="2160" w:hanging="360"/>
      </w:pPr>
      <w:rPr>
        <w:rFonts w:ascii="Arial" w:hAnsi="Arial" w:hint="default"/>
      </w:rPr>
    </w:lvl>
    <w:lvl w:ilvl="3" w:tplc="03124166" w:tentative="1">
      <w:start w:val="1"/>
      <w:numFmt w:val="bullet"/>
      <w:lvlText w:val="•"/>
      <w:lvlJc w:val="left"/>
      <w:pPr>
        <w:tabs>
          <w:tab w:val="num" w:pos="2880"/>
        </w:tabs>
        <w:ind w:left="2880" w:hanging="360"/>
      </w:pPr>
      <w:rPr>
        <w:rFonts w:ascii="Arial" w:hAnsi="Arial" w:hint="default"/>
      </w:rPr>
    </w:lvl>
    <w:lvl w:ilvl="4" w:tplc="61F09796" w:tentative="1">
      <w:start w:val="1"/>
      <w:numFmt w:val="bullet"/>
      <w:lvlText w:val="•"/>
      <w:lvlJc w:val="left"/>
      <w:pPr>
        <w:tabs>
          <w:tab w:val="num" w:pos="3600"/>
        </w:tabs>
        <w:ind w:left="3600" w:hanging="360"/>
      </w:pPr>
      <w:rPr>
        <w:rFonts w:ascii="Arial" w:hAnsi="Arial" w:hint="default"/>
      </w:rPr>
    </w:lvl>
    <w:lvl w:ilvl="5" w:tplc="D272E30A" w:tentative="1">
      <w:start w:val="1"/>
      <w:numFmt w:val="bullet"/>
      <w:lvlText w:val="•"/>
      <w:lvlJc w:val="left"/>
      <w:pPr>
        <w:tabs>
          <w:tab w:val="num" w:pos="4320"/>
        </w:tabs>
        <w:ind w:left="4320" w:hanging="360"/>
      </w:pPr>
      <w:rPr>
        <w:rFonts w:ascii="Arial" w:hAnsi="Arial" w:hint="default"/>
      </w:rPr>
    </w:lvl>
    <w:lvl w:ilvl="6" w:tplc="A02AF4F2" w:tentative="1">
      <w:start w:val="1"/>
      <w:numFmt w:val="bullet"/>
      <w:lvlText w:val="•"/>
      <w:lvlJc w:val="left"/>
      <w:pPr>
        <w:tabs>
          <w:tab w:val="num" w:pos="5040"/>
        </w:tabs>
        <w:ind w:left="5040" w:hanging="360"/>
      </w:pPr>
      <w:rPr>
        <w:rFonts w:ascii="Arial" w:hAnsi="Arial" w:hint="default"/>
      </w:rPr>
    </w:lvl>
    <w:lvl w:ilvl="7" w:tplc="899003FE" w:tentative="1">
      <w:start w:val="1"/>
      <w:numFmt w:val="bullet"/>
      <w:lvlText w:val="•"/>
      <w:lvlJc w:val="left"/>
      <w:pPr>
        <w:tabs>
          <w:tab w:val="num" w:pos="5760"/>
        </w:tabs>
        <w:ind w:left="5760" w:hanging="360"/>
      </w:pPr>
      <w:rPr>
        <w:rFonts w:ascii="Arial" w:hAnsi="Arial" w:hint="default"/>
      </w:rPr>
    </w:lvl>
    <w:lvl w:ilvl="8" w:tplc="75722D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CC1F27"/>
    <w:multiLevelType w:val="multilevel"/>
    <w:tmpl w:val="032C17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C691F6B"/>
    <w:multiLevelType w:val="multilevel"/>
    <w:tmpl w:val="2AA8B8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B81D65"/>
    <w:multiLevelType w:val="hybridMultilevel"/>
    <w:tmpl w:val="BA501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BA14F1"/>
    <w:multiLevelType w:val="multilevel"/>
    <w:tmpl w:val="75887962"/>
    <w:lvl w:ilvl="0">
      <w:start w:val="1"/>
      <w:numFmt w:val="decimal"/>
      <w:lvlText w:val="%1."/>
      <w:lvlJc w:val="left"/>
      <w:pPr>
        <w:ind w:left="720" w:hanging="360"/>
      </w:pPr>
    </w:lvl>
    <w:lvl w:ilvl="1">
      <w:start w:val="1"/>
      <w:numFmt w:val="bullet"/>
      <w:lvlText w:val=""/>
      <w:lvlJc w:val="left"/>
      <w:pPr>
        <w:ind w:left="1004" w:hanging="720"/>
      </w:pPr>
      <w:rPr>
        <w:rFonts w:ascii="Symbol" w:hAnsi="Symbol" w:hint="default"/>
        <w:b w:val="0"/>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C77527"/>
    <w:multiLevelType w:val="multilevel"/>
    <w:tmpl w:val="7550EF38"/>
    <w:lvl w:ilvl="0">
      <w:start w:val="1"/>
      <w:numFmt w:val="decimal"/>
      <w:lvlText w:val="%1."/>
      <w:lvlJc w:val="left"/>
      <w:pPr>
        <w:ind w:left="720" w:hanging="360"/>
      </w:pPr>
    </w:lvl>
    <w:lvl w:ilvl="1">
      <w:start w:val="1"/>
      <w:numFmt w:val="bullet"/>
      <w:lvlText w:val=""/>
      <w:lvlJc w:val="left"/>
      <w:pPr>
        <w:ind w:left="862" w:hanging="720"/>
      </w:pPr>
      <w:rPr>
        <w:rFonts w:ascii="Symbol" w:hAnsi="Symbol" w:hint="default"/>
        <w:b w:val="0"/>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050E57"/>
    <w:multiLevelType w:val="multilevel"/>
    <w:tmpl w:val="84F2E052"/>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862" w:hanging="720"/>
      </w:pPr>
      <w:rPr>
        <w:rFonts w:ascii="Symbol" w:hAnsi="Symbol" w:hint="default"/>
        <w:b w:val="0"/>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4422B5"/>
    <w:multiLevelType w:val="multilevel"/>
    <w:tmpl w:val="561CE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26B7C01"/>
    <w:multiLevelType w:val="hybridMultilevel"/>
    <w:tmpl w:val="10143D7E"/>
    <w:lvl w:ilvl="0" w:tplc="A052EB66">
      <w:start w:val="1"/>
      <w:numFmt w:val="bullet"/>
      <w:lvlText w:val=""/>
      <w:lvlJc w:val="left"/>
      <w:pPr>
        <w:tabs>
          <w:tab w:val="num" w:pos="1080"/>
        </w:tabs>
        <w:ind w:left="1080" w:hanging="360"/>
      </w:pPr>
      <w:rPr>
        <w:rFonts w:ascii="Symbol" w:hAnsi="Symbol" w:hint="default"/>
        <w:color w:val="0000FF"/>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84C07CC"/>
    <w:multiLevelType w:val="hybridMultilevel"/>
    <w:tmpl w:val="AA96B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E627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634677"/>
    <w:multiLevelType w:val="hybridMultilevel"/>
    <w:tmpl w:val="FEE2E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662687F"/>
    <w:multiLevelType w:val="hybridMultilevel"/>
    <w:tmpl w:val="33441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848BE"/>
    <w:multiLevelType w:val="hybridMultilevel"/>
    <w:tmpl w:val="CB341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5F50F9"/>
    <w:multiLevelType w:val="hybridMultilevel"/>
    <w:tmpl w:val="3D846D68"/>
    <w:lvl w:ilvl="0" w:tplc="0809000F">
      <w:start w:val="1"/>
      <w:numFmt w:val="decimal"/>
      <w:lvlText w:val="%1."/>
      <w:lvlJc w:val="left"/>
      <w:pPr>
        <w:ind w:left="1504" w:hanging="360"/>
      </w:pPr>
    </w:lvl>
    <w:lvl w:ilvl="1" w:tplc="08090019" w:tentative="1">
      <w:start w:val="1"/>
      <w:numFmt w:val="lowerLetter"/>
      <w:lvlText w:val="%2."/>
      <w:lvlJc w:val="left"/>
      <w:pPr>
        <w:ind w:left="2224" w:hanging="360"/>
      </w:pPr>
    </w:lvl>
    <w:lvl w:ilvl="2" w:tplc="0809001B" w:tentative="1">
      <w:start w:val="1"/>
      <w:numFmt w:val="lowerRoman"/>
      <w:lvlText w:val="%3."/>
      <w:lvlJc w:val="right"/>
      <w:pPr>
        <w:ind w:left="2944" w:hanging="180"/>
      </w:pPr>
    </w:lvl>
    <w:lvl w:ilvl="3" w:tplc="0809000F" w:tentative="1">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31" w15:restartNumberingAfterBreak="0">
    <w:nsid w:val="7DF44212"/>
    <w:multiLevelType w:val="multilevel"/>
    <w:tmpl w:val="C44AECCC"/>
    <w:lvl w:ilvl="0">
      <w:start w:val="1"/>
      <w:numFmt w:val="decimal"/>
      <w:lvlText w:val="%1."/>
      <w:lvlJc w:val="left"/>
      <w:pPr>
        <w:ind w:left="720" w:hanging="360"/>
      </w:pPr>
    </w:lvl>
    <w:lvl w:ilvl="1">
      <w:start w:val="1"/>
      <w:numFmt w:val="bullet"/>
      <w:lvlText w:val=""/>
      <w:lvlJc w:val="left"/>
      <w:pPr>
        <w:ind w:left="862" w:hanging="720"/>
      </w:pPr>
      <w:rPr>
        <w:rFonts w:ascii="Symbol" w:hAnsi="Symbol" w:hint="default"/>
        <w:b w:val="0"/>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7"/>
  </w:num>
  <w:num w:numId="3">
    <w:abstractNumId w:val="24"/>
  </w:num>
  <w:num w:numId="4">
    <w:abstractNumId w:val="16"/>
  </w:num>
  <w:num w:numId="5">
    <w:abstractNumId w:val="19"/>
  </w:num>
  <w:num w:numId="6">
    <w:abstractNumId w:val="5"/>
  </w:num>
  <w:num w:numId="7">
    <w:abstractNumId w:val="2"/>
  </w:num>
  <w:num w:numId="8">
    <w:abstractNumId w:val="25"/>
  </w:num>
  <w:num w:numId="9">
    <w:abstractNumId w:val="1"/>
  </w:num>
  <w:num w:numId="10">
    <w:abstractNumId w:val="3"/>
  </w:num>
  <w:num w:numId="11">
    <w:abstractNumId w:val="29"/>
  </w:num>
  <w:num w:numId="12">
    <w:abstractNumId w:val="4"/>
  </w:num>
  <w:num w:numId="13">
    <w:abstractNumId w:val="18"/>
  </w:num>
  <w:num w:numId="14">
    <w:abstractNumId w:val="8"/>
  </w:num>
  <w:num w:numId="15">
    <w:abstractNumId w:val="15"/>
  </w:num>
  <w:num w:numId="16">
    <w:abstractNumId w:val="28"/>
  </w:num>
  <w:num w:numId="17">
    <w:abstractNumId w:val="11"/>
  </w:num>
  <w:num w:numId="18">
    <w:abstractNumId w:val="10"/>
  </w:num>
  <w:num w:numId="19">
    <w:abstractNumId w:val="6"/>
  </w:num>
  <w:num w:numId="20">
    <w:abstractNumId w:val="20"/>
  </w:num>
  <w:num w:numId="21">
    <w:abstractNumId w:val="13"/>
  </w:num>
  <w:num w:numId="22">
    <w:abstractNumId w:val="9"/>
  </w:num>
  <w:num w:numId="23">
    <w:abstractNumId w:val="27"/>
  </w:num>
  <w:num w:numId="24">
    <w:abstractNumId w:val="21"/>
  </w:num>
  <w:num w:numId="25">
    <w:abstractNumId w:val="31"/>
  </w:num>
  <w:num w:numId="26">
    <w:abstractNumId w:val="0"/>
  </w:num>
  <w:num w:numId="27">
    <w:abstractNumId w:val="12"/>
  </w:num>
  <w:num w:numId="28">
    <w:abstractNumId w:val="22"/>
  </w:num>
  <w:num w:numId="29">
    <w:abstractNumId w:val="14"/>
  </w:num>
  <w:num w:numId="30">
    <w:abstractNumId w:val="30"/>
  </w:num>
  <w:num w:numId="3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FF"/>
    <w:rsid w:val="000072FE"/>
    <w:rsid w:val="000101F3"/>
    <w:rsid w:val="000161F3"/>
    <w:rsid w:val="00020A2E"/>
    <w:rsid w:val="00021BED"/>
    <w:rsid w:val="000228F2"/>
    <w:rsid w:val="000249EC"/>
    <w:rsid w:val="00026914"/>
    <w:rsid w:val="000310B7"/>
    <w:rsid w:val="00034AAA"/>
    <w:rsid w:val="00036AE1"/>
    <w:rsid w:val="0004411E"/>
    <w:rsid w:val="00054C9D"/>
    <w:rsid w:val="00063C71"/>
    <w:rsid w:val="00072940"/>
    <w:rsid w:val="000820BD"/>
    <w:rsid w:val="00083443"/>
    <w:rsid w:val="0008445E"/>
    <w:rsid w:val="00090682"/>
    <w:rsid w:val="00090FAE"/>
    <w:rsid w:val="00094439"/>
    <w:rsid w:val="00096187"/>
    <w:rsid w:val="00097034"/>
    <w:rsid w:val="000973FA"/>
    <w:rsid w:val="000A66D7"/>
    <w:rsid w:val="000B181B"/>
    <w:rsid w:val="000B2FAD"/>
    <w:rsid w:val="000B3590"/>
    <w:rsid w:val="000B392E"/>
    <w:rsid w:val="000B7B63"/>
    <w:rsid w:val="000C250F"/>
    <w:rsid w:val="000C62C5"/>
    <w:rsid w:val="000C6D66"/>
    <w:rsid w:val="000D030E"/>
    <w:rsid w:val="000D2F6E"/>
    <w:rsid w:val="000D5779"/>
    <w:rsid w:val="000D5787"/>
    <w:rsid w:val="000F14B0"/>
    <w:rsid w:val="000F281E"/>
    <w:rsid w:val="00107C33"/>
    <w:rsid w:val="0011065A"/>
    <w:rsid w:val="00116D07"/>
    <w:rsid w:val="001215E7"/>
    <w:rsid w:val="0012179E"/>
    <w:rsid w:val="0013164F"/>
    <w:rsid w:val="00140325"/>
    <w:rsid w:val="0014130D"/>
    <w:rsid w:val="00141508"/>
    <w:rsid w:val="001476C8"/>
    <w:rsid w:val="00147D2B"/>
    <w:rsid w:val="001631A7"/>
    <w:rsid w:val="001676A8"/>
    <w:rsid w:val="001816C8"/>
    <w:rsid w:val="00182B9F"/>
    <w:rsid w:val="00183601"/>
    <w:rsid w:val="001874DF"/>
    <w:rsid w:val="00190E92"/>
    <w:rsid w:val="0019228B"/>
    <w:rsid w:val="0019324F"/>
    <w:rsid w:val="001944A6"/>
    <w:rsid w:val="001A0DE2"/>
    <w:rsid w:val="001A2280"/>
    <w:rsid w:val="001B0574"/>
    <w:rsid w:val="001B297F"/>
    <w:rsid w:val="001B6318"/>
    <w:rsid w:val="001D58EF"/>
    <w:rsid w:val="001E0ED9"/>
    <w:rsid w:val="001E1398"/>
    <w:rsid w:val="001E4986"/>
    <w:rsid w:val="001E4DB6"/>
    <w:rsid w:val="001E5AFB"/>
    <w:rsid w:val="001E7BA5"/>
    <w:rsid w:val="001F04DB"/>
    <w:rsid w:val="001F0959"/>
    <w:rsid w:val="001F0C3E"/>
    <w:rsid w:val="001F1E59"/>
    <w:rsid w:val="001F2368"/>
    <w:rsid w:val="001F6D6E"/>
    <w:rsid w:val="002155F5"/>
    <w:rsid w:val="002218CD"/>
    <w:rsid w:val="0022203A"/>
    <w:rsid w:val="002229B7"/>
    <w:rsid w:val="00223225"/>
    <w:rsid w:val="0022529C"/>
    <w:rsid w:val="00225E0C"/>
    <w:rsid w:val="00230EA1"/>
    <w:rsid w:val="00237113"/>
    <w:rsid w:val="00242390"/>
    <w:rsid w:val="00242399"/>
    <w:rsid w:val="00245420"/>
    <w:rsid w:val="00251787"/>
    <w:rsid w:val="002732CD"/>
    <w:rsid w:val="0027680C"/>
    <w:rsid w:val="002804CF"/>
    <w:rsid w:val="002933CA"/>
    <w:rsid w:val="002B1A9D"/>
    <w:rsid w:val="002B402B"/>
    <w:rsid w:val="002B713C"/>
    <w:rsid w:val="002C44C5"/>
    <w:rsid w:val="002C66EF"/>
    <w:rsid w:val="002D0BE6"/>
    <w:rsid w:val="002D7809"/>
    <w:rsid w:val="002D7E14"/>
    <w:rsid w:val="002E4908"/>
    <w:rsid w:val="002E4EA7"/>
    <w:rsid w:val="002F3F9A"/>
    <w:rsid w:val="002F5C98"/>
    <w:rsid w:val="00304EE1"/>
    <w:rsid w:val="003128DF"/>
    <w:rsid w:val="00313971"/>
    <w:rsid w:val="003161E4"/>
    <w:rsid w:val="00317B0D"/>
    <w:rsid w:val="00320183"/>
    <w:rsid w:val="00324560"/>
    <w:rsid w:val="0032637B"/>
    <w:rsid w:val="00327947"/>
    <w:rsid w:val="00334298"/>
    <w:rsid w:val="00334B9F"/>
    <w:rsid w:val="00336997"/>
    <w:rsid w:val="00346357"/>
    <w:rsid w:val="003568BF"/>
    <w:rsid w:val="00356AE5"/>
    <w:rsid w:val="00357C07"/>
    <w:rsid w:val="00364255"/>
    <w:rsid w:val="00364C72"/>
    <w:rsid w:val="00367D97"/>
    <w:rsid w:val="00371F4D"/>
    <w:rsid w:val="0038029E"/>
    <w:rsid w:val="003805D1"/>
    <w:rsid w:val="003808E7"/>
    <w:rsid w:val="00381481"/>
    <w:rsid w:val="00381F2E"/>
    <w:rsid w:val="00386093"/>
    <w:rsid w:val="00387451"/>
    <w:rsid w:val="00393347"/>
    <w:rsid w:val="00393A34"/>
    <w:rsid w:val="003959C8"/>
    <w:rsid w:val="003965D7"/>
    <w:rsid w:val="00396CCA"/>
    <w:rsid w:val="003A3DF2"/>
    <w:rsid w:val="003B2ED6"/>
    <w:rsid w:val="003B43F4"/>
    <w:rsid w:val="003B6610"/>
    <w:rsid w:val="003D10E0"/>
    <w:rsid w:val="003D1295"/>
    <w:rsid w:val="003D557F"/>
    <w:rsid w:val="003D5BB7"/>
    <w:rsid w:val="003E1731"/>
    <w:rsid w:val="003E4DBA"/>
    <w:rsid w:val="003E4E2F"/>
    <w:rsid w:val="003E79F9"/>
    <w:rsid w:val="003F016C"/>
    <w:rsid w:val="00407E26"/>
    <w:rsid w:val="00414DF9"/>
    <w:rsid w:val="004205C6"/>
    <w:rsid w:val="00424A8E"/>
    <w:rsid w:val="00424E6C"/>
    <w:rsid w:val="00425E80"/>
    <w:rsid w:val="00426EF1"/>
    <w:rsid w:val="00431891"/>
    <w:rsid w:val="004323C1"/>
    <w:rsid w:val="004348FC"/>
    <w:rsid w:val="00435B81"/>
    <w:rsid w:val="004424EC"/>
    <w:rsid w:val="004435DF"/>
    <w:rsid w:val="004479BC"/>
    <w:rsid w:val="0045207C"/>
    <w:rsid w:val="004551A4"/>
    <w:rsid w:val="004616F0"/>
    <w:rsid w:val="00461800"/>
    <w:rsid w:val="00462371"/>
    <w:rsid w:val="00465DD5"/>
    <w:rsid w:val="00474612"/>
    <w:rsid w:val="0048135F"/>
    <w:rsid w:val="004849F9"/>
    <w:rsid w:val="00485CE3"/>
    <w:rsid w:val="0049251A"/>
    <w:rsid w:val="004A6E84"/>
    <w:rsid w:val="004B47B2"/>
    <w:rsid w:val="004B58A3"/>
    <w:rsid w:val="004C1E49"/>
    <w:rsid w:val="004C3DE7"/>
    <w:rsid w:val="004C6C24"/>
    <w:rsid w:val="004D5CC1"/>
    <w:rsid w:val="004D6AE8"/>
    <w:rsid w:val="004E26B5"/>
    <w:rsid w:val="004E66B5"/>
    <w:rsid w:val="004F046F"/>
    <w:rsid w:val="004F0A81"/>
    <w:rsid w:val="004F0D0A"/>
    <w:rsid w:val="00500455"/>
    <w:rsid w:val="00500FD2"/>
    <w:rsid w:val="00501E01"/>
    <w:rsid w:val="00502A75"/>
    <w:rsid w:val="005106A1"/>
    <w:rsid w:val="00511FC2"/>
    <w:rsid w:val="00513E9C"/>
    <w:rsid w:val="00516C3C"/>
    <w:rsid w:val="005231E7"/>
    <w:rsid w:val="00523519"/>
    <w:rsid w:val="005340FF"/>
    <w:rsid w:val="00535111"/>
    <w:rsid w:val="00544B9B"/>
    <w:rsid w:val="005505BD"/>
    <w:rsid w:val="00551D45"/>
    <w:rsid w:val="00553269"/>
    <w:rsid w:val="005632E9"/>
    <w:rsid w:val="00566652"/>
    <w:rsid w:val="00576321"/>
    <w:rsid w:val="00581C3A"/>
    <w:rsid w:val="00583A52"/>
    <w:rsid w:val="005866D8"/>
    <w:rsid w:val="00590394"/>
    <w:rsid w:val="005950BE"/>
    <w:rsid w:val="005A1059"/>
    <w:rsid w:val="005A17F1"/>
    <w:rsid w:val="005A2229"/>
    <w:rsid w:val="005A3F4D"/>
    <w:rsid w:val="005A4067"/>
    <w:rsid w:val="005B3C10"/>
    <w:rsid w:val="005B69E0"/>
    <w:rsid w:val="005B7BE4"/>
    <w:rsid w:val="005C46C5"/>
    <w:rsid w:val="005C5086"/>
    <w:rsid w:val="005D2628"/>
    <w:rsid w:val="005D5894"/>
    <w:rsid w:val="005D680E"/>
    <w:rsid w:val="005E44F0"/>
    <w:rsid w:val="005E678B"/>
    <w:rsid w:val="005E6D06"/>
    <w:rsid w:val="005E6E42"/>
    <w:rsid w:val="005F174A"/>
    <w:rsid w:val="005F32C6"/>
    <w:rsid w:val="005F3A5D"/>
    <w:rsid w:val="00603788"/>
    <w:rsid w:val="00604EB2"/>
    <w:rsid w:val="006103DD"/>
    <w:rsid w:val="00613D34"/>
    <w:rsid w:val="006149B4"/>
    <w:rsid w:val="006160BE"/>
    <w:rsid w:val="0062777E"/>
    <w:rsid w:val="00627CCF"/>
    <w:rsid w:val="00627FDA"/>
    <w:rsid w:val="00634763"/>
    <w:rsid w:val="00636866"/>
    <w:rsid w:val="00637701"/>
    <w:rsid w:val="00642059"/>
    <w:rsid w:val="00650AAE"/>
    <w:rsid w:val="006512AA"/>
    <w:rsid w:val="00652A35"/>
    <w:rsid w:val="00656839"/>
    <w:rsid w:val="00662119"/>
    <w:rsid w:val="00670318"/>
    <w:rsid w:val="0067213E"/>
    <w:rsid w:val="0067788E"/>
    <w:rsid w:val="0068024D"/>
    <w:rsid w:val="006820DE"/>
    <w:rsid w:val="00684803"/>
    <w:rsid w:val="00685C84"/>
    <w:rsid w:val="006860A9"/>
    <w:rsid w:val="0068769C"/>
    <w:rsid w:val="00691A3E"/>
    <w:rsid w:val="00696E24"/>
    <w:rsid w:val="006A01F6"/>
    <w:rsid w:val="006A0B13"/>
    <w:rsid w:val="006A64D0"/>
    <w:rsid w:val="006B0B04"/>
    <w:rsid w:val="006C028A"/>
    <w:rsid w:val="006D7981"/>
    <w:rsid w:val="006E145D"/>
    <w:rsid w:val="006E417A"/>
    <w:rsid w:val="006E6D68"/>
    <w:rsid w:val="006F62E8"/>
    <w:rsid w:val="006F76FC"/>
    <w:rsid w:val="00703464"/>
    <w:rsid w:val="007066F1"/>
    <w:rsid w:val="00711800"/>
    <w:rsid w:val="00712D1D"/>
    <w:rsid w:val="007149F2"/>
    <w:rsid w:val="00721FF9"/>
    <w:rsid w:val="00726844"/>
    <w:rsid w:val="00726C4E"/>
    <w:rsid w:val="0073241E"/>
    <w:rsid w:val="00734B92"/>
    <w:rsid w:val="007406AE"/>
    <w:rsid w:val="007432B9"/>
    <w:rsid w:val="007734EF"/>
    <w:rsid w:val="007743C7"/>
    <w:rsid w:val="00775788"/>
    <w:rsid w:val="0078143C"/>
    <w:rsid w:val="00785A12"/>
    <w:rsid w:val="00792473"/>
    <w:rsid w:val="007959DF"/>
    <w:rsid w:val="00797974"/>
    <w:rsid w:val="007B1D28"/>
    <w:rsid w:val="007B442A"/>
    <w:rsid w:val="007C03AB"/>
    <w:rsid w:val="007C0681"/>
    <w:rsid w:val="007C2300"/>
    <w:rsid w:val="007C46DD"/>
    <w:rsid w:val="007C4716"/>
    <w:rsid w:val="007C6A22"/>
    <w:rsid w:val="007D4B05"/>
    <w:rsid w:val="007D729E"/>
    <w:rsid w:val="007D783E"/>
    <w:rsid w:val="007E0FC3"/>
    <w:rsid w:val="007E5FCF"/>
    <w:rsid w:val="007F5D65"/>
    <w:rsid w:val="00801DF3"/>
    <w:rsid w:val="00813C3B"/>
    <w:rsid w:val="008145BE"/>
    <w:rsid w:val="00814B6F"/>
    <w:rsid w:val="00816B1E"/>
    <w:rsid w:val="00822B97"/>
    <w:rsid w:val="0082301C"/>
    <w:rsid w:val="0083323F"/>
    <w:rsid w:val="00835248"/>
    <w:rsid w:val="00835489"/>
    <w:rsid w:val="00841BEF"/>
    <w:rsid w:val="008454BB"/>
    <w:rsid w:val="00847C71"/>
    <w:rsid w:val="00853631"/>
    <w:rsid w:val="0085530D"/>
    <w:rsid w:val="008560FD"/>
    <w:rsid w:val="008626EC"/>
    <w:rsid w:val="00886AD0"/>
    <w:rsid w:val="00887254"/>
    <w:rsid w:val="00887F38"/>
    <w:rsid w:val="00892D6E"/>
    <w:rsid w:val="008944E8"/>
    <w:rsid w:val="008A0261"/>
    <w:rsid w:val="008A231B"/>
    <w:rsid w:val="008A4B7C"/>
    <w:rsid w:val="008A6016"/>
    <w:rsid w:val="008A6330"/>
    <w:rsid w:val="008B0EF5"/>
    <w:rsid w:val="008B1085"/>
    <w:rsid w:val="008B1DBE"/>
    <w:rsid w:val="008B293E"/>
    <w:rsid w:val="008B582D"/>
    <w:rsid w:val="008D6EB6"/>
    <w:rsid w:val="008E74DE"/>
    <w:rsid w:val="008F3692"/>
    <w:rsid w:val="008F5129"/>
    <w:rsid w:val="008F6577"/>
    <w:rsid w:val="00905F37"/>
    <w:rsid w:val="00907FB1"/>
    <w:rsid w:val="00913AA2"/>
    <w:rsid w:val="009175E9"/>
    <w:rsid w:val="0092212A"/>
    <w:rsid w:val="0092336E"/>
    <w:rsid w:val="00931397"/>
    <w:rsid w:val="00933DFC"/>
    <w:rsid w:val="00933F2F"/>
    <w:rsid w:val="00935A2E"/>
    <w:rsid w:val="00936244"/>
    <w:rsid w:val="009403D3"/>
    <w:rsid w:val="00953DAD"/>
    <w:rsid w:val="00955426"/>
    <w:rsid w:val="00956B61"/>
    <w:rsid w:val="009577F7"/>
    <w:rsid w:val="00957FDD"/>
    <w:rsid w:val="00964C81"/>
    <w:rsid w:val="00967044"/>
    <w:rsid w:val="009771A2"/>
    <w:rsid w:val="00981A5A"/>
    <w:rsid w:val="0098543B"/>
    <w:rsid w:val="00986934"/>
    <w:rsid w:val="0099116C"/>
    <w:rsid w:val="00991CBA"/>
    <w:rsid w:val="009954EF"/>
    <w:rsid w:val="00996710"/>
    <w:rsid w:val="009A0F2F"/>
    <w:rsid w:val="009A2F9D"/>
    <w:rsid w:val="009A522D"/>
    <w:rsid w:val="009A6844"/>
    <w:rsid w:val="009A6F59"/>
    <w:rsid w:val="009B1720"/>
    <w:rsid w:val="009B43FF"/>
    <w:rsid w:val="009C27FC"/>
    <w:rsid w:val="009D01E7"/>
    <w:rsid w:val="009D2E10"/>
    <w:rsid w:val="009E7878"/>
    <w:rsid w:val="009F4F44"/>
    <w:rsid w:val="00A006E2"/>
    <w:rsid w:val="00A07FF6"/>
    <w:rsid w:val="00A350CB"/>
    <w:rsid w:val="00A41659"/>
    <w:rsid w:val="00A4199E"/>
    <w:rsid w:val="00A437CF"/>
    <w:rsid w:val="00A45996"/>
    <w:rsid w:val="00A50A03"/>
    <w:rsid w:val="00A524F3"/>
    <w:rsid w:val="00A54671"/>
    <w:rsid w:val="00A5545B"/>
    <w:rsid w:val="00A55678"/>
    <w:rsid w:val="00A558E9"/>
    <w:rsid w:val="00A60EED"/>
    <w:rsid w:val="00A67448"/>
    <w:rsid w:val="00A7504D"/>
    <w:rsid w:val="00A83921"/>
    <w:rsid w:val="00A83A89"/>
    <w:rsid w:val="00A84CC3"/>
    <w:rsid w:val="00A95540"/>
    <w:rsid w:val="00AA4DF5"/>
    <w:rsid w:val="00AA635B"/>
    <w:rsid w:val="00AB2EBD"/>
    <w:rsid w:val="00AC1248"/>
    <w:rsid w:val="00AC1F91"/>
    <w:rsid w:val="00AC2AC7"/>
    <w:rsid w:val="00AC3488"/>
    <w:rsid w:val="00AC3D58"/>
    <w:rsid w:val="00AC4C81"/>
    <w:rsid w:val="00AD5249"/>
    <w:rsid w:val="00AD7F33"/>
    <w:rsid w:val="00AE0253"/>
    <w:rsid w:val="00AE0D16"/>
    <w:rsid w:val="00AE2BE1"/>
    <w:rsid w:val="00AF2C45"/>
    <w:rsid w:val="00AF4B25"/>
    <w:rsid w:val="00AF4E72"/>
    <w:rsid w:val="00B012AE"/>
    <w:rsid w:val="00B03D2B"/>
    <w:rsid w:val="00B10579"/>
    <w:rsid w:val="00B11463"/>
    <w:rsid w:val="00B14A26"/>
    <w:rsid w:val="00B163A3"/>
    <w:rsid w:val="00B23EB0"/>
    <w:rsid w:val="00B24E50"/>
    <w:rsid w:val="00B30890"/>
    <w:rsid w:val="00B340EF"/>
    <w:rsid w:val="00B3521D"/>
    <w:rsid w:val="00B37669"/>
    <w:rsid w:val="00B42543"/>
    <w:rsid w:val="00B43935"/>
    <w:rsid w:val="00B43B86"/>
    <w:rsid w:val="00B448CA"/>
    <w:rsid w:val="00B55887"/>
    <w:rsid w:val="00B71DD5"/>
    <w:rsid w:val="00B819CB"/>
    <w:rsid w:val="00B8294C"/>
    <w:rsid w:val="00B83005"/>
    <w:rsid w:val="00B8345C"/>
    <w:rsid w:val="00B83A84"/>
    <w:rsid w:val="00B83CCF"/>
    <w:rsid w:val="00B86559"/>
    <w:rsid w:val="00B87167"/>
    <w:rsid w:val="00BA3EE9"/>
    <w:rsid w:val="00BA60AD"/>
    <w:rsid w:val="00BB63A7"/>
    <w:rsid w:val="00BB7BD9"/>
    <w:rsid w:val="00BD0A2E"/>
    <w:rsid w:val="00BE4EB4"/>
    <w:rsid w:val="00BE687A"/>
    <w:rsid w:val="00C0069D"/>
    <w:rsid w:val="00C022F4"/>
    <w:rsid w:val="00C025D9"/>
    <w:rsid w:val="00C02CDC"/>
    <w:rsid w:val="00C03615"/>
    <w:rsid w:val="00C03839"/>
    <w:rsid w:val="00C0787A"/>
    <w:rsid w:val="00C07D48"/>
    <w:rsid w:val="00C147C0"/>
    <w:rsid w:val="00C1546B"/>
    <w:rsid w:val="00C21DB7"/>
    <w:rsid w:val="00C260F4"/>
    <w:rsid w:val="00C2743B"/>
    <w:rsid w:val="00C34597"/>
    <w:rsid w:val="00C366DF"/>
    <w:rsid w:val="00C439B7"/>
    <w:rsid w:val="00C43EE1"/>
    <w:rsid w:val="00C479D3"/>
    <w:rsid w:val="00C52505"/>
    <w:rsid w:val="00C61168"/>
    <w:rsid w:val="00C66218"/>
    <w:rsid w:val="00C6731F"/>
    <w:rsid w:val="00C673B3"/>
    <w:rsid w:val="00C90ED8"/>
    <w:rsid w:val="00C912D9"/>
    <w:rsid w:val="00C920AF"/>
    <w:rsid w:val="00C94D36"/>
    <w:rsid w:val="00CA5AA0"/>
    <w:rsid w:val="00CB5CCD"/>
    <w:rsid w:val="00CC3FB0"/>
    <w:rsid w:val="00CC4B7D"/>
    <w:rsid w:val="00CC5C7C"/>
    <w:rsid w:val="00CD0062"/>
    <w:rsid w:val="00CE2496"/>
    <w:rsid w:val="00CE49F1"/>
    <w:rsid w:val="00CF0343"/>
    <w:rsid w:val="00CF2EC5"/>
    <w:rsid w:val="00CF5FC4"/>
    <w:rsid w:val="00CF6C02"/>
    <w:rsid w:val="00D0077E"/>
    <w:rsid w:val="00D070E4"/>
    <w:rsid w:val="00D17978"/>
    <w:rsid w:val="00D21E37"/>
    <w:rsid w:val="00D22DF4"/>
    <w:rsid w:val="00D24D98"/>
    <w:rsid w:val="00D26499"/>
    <w:rsid w:val="00D2737F"/>
    <w:rsid w:val="00D2746C"/>
    <w:rsid w:val="00D27ADF"/>
    <w:rsid w:val="00D35534"/>
    <w:rsid w:val="00D37F9F"/>
    <w:rsid w:val="00D64C99"/>
    <w:rsid w:val="00D84CD2"/>
    <w:rsid w:val="00D85472"/>
    <w:rsid w:val="00D9414B"/>
    <w:rsid w:val="00D957B3"/>
    <w:rsid w:val="00D97EF1"/>
    <w:rsid w:val="00DA5023"/>
    <w:rsid w:val="00DA5B23"/>
    <w:rsid w:val="00DB1BD4"/>
    <w:rsid w:val="00DB4608"/>
    <w:rsid w:val="00DB468A"/>
    <w:rsid w:val="00DC116F"/>
    <w:rsid w:val="00DC156A"/>
    <w:rsid w:val="00DC2DEE"/>
    <w:rsid w:val="00DD57E6"/>
    <w:rsid w:val="00DD58EA"/>
    <w:rsid w:val="00DD622E"/>
    <w:rsid w:val="00DE08B2"/>
    <w:rsid w:val="00DE36C3"/>
    <w:rsid w:val="00DE4B98"/>
    <w:rsid w:val="00DE5E5A"/>
    <w:rsid w:val="00DF04DF"/>
    <w:rsid w:val="00DF197F"/>
    <w:rsid w:val="00DF454D"/>
    <w:rsid w:val="00E109F7"/>
    <w:rsid w:val="00E11A43"/>
    <w:rsid w:val="00E14FA8"/>
    <w:rsid w:val="00E208D9"/>
    <w:rsid w:val="00E27273"/>
    <w:rsid w:val="00E31A61"/>
    <w:rsid w:val="00E4193B"/>
    <w:rsid w:val="00E42523"/>
    <w:rsid w:val="00E50176"/>
    <w:rsid w:val="00E5435C"/>
    <w:rsid w:val="00E652D9"/>
    <w:rsid w:val="00E70E3E"/>
    <w:rsid w:val="00E76386"/>
    <w:rsid w:val="00E861DA"/>
    <w:rsid w:val="00E8717D"/>
    <w:rsid w:val="00E90DD5"/>
    <w:rsid w:val="00E912C9"/>
    <w:rsid w:val="00EA0621"/>
    <w:rsid w:val="00EA4435"/>
    <w:rsid w:val="00EA4559"/>
    <w:rsid w:val="00EA5B3B"/>
    <w:rsid w:val="00EA6C0D"/>
    <w:rsid w:val="00EA6CFF"/>
    <w:rsid w:val="00EB1CB1"/>
    <w:rsid w:val="00EB428F"/>
    <w:rsid w:val="00EB644E"/>
    <w:rsid w:val="00EB723D"/>
    <w:rsid w:val="00EB786D"/>
    <w:rsid w:val="00EC0F2A"/>
    <w:rsid w:val="00EC2A42"/>
    <w:rsid w:val="00EC4D36"/>
    <w:rsid w:val="00EC50E0"/>
    <w:rsid w:val="00EC52B3"/>
    <w:rsid w:val="00ED4FFA"/>
    <w:rsid w:val="00F04E7F"/>
    <w:rsid w:val="00F06952"/>
    <w:rsid w:val="00F11698"/>
    <w:rsid w:val="00F145C3"/>
    <w:rsid w:val="00F27D45"/>
    <w:rsid w:val="00F31EAD"/>
    <w:rsid w:val="00F31EF0"/>
    <w:rsid w:val="00F34031"/>
    <w:rsid w:val="00F34AC6"/>
    <w:rsid w:val="00F4037F"/>
    <w:rsid w:val="00F410AC"/>
    <w:rsid w:val="00F468E8"/>
    <w:rsid w:val="00F56420"/>
    <w:rsid w:val="00F636C9"/>
    <w:rsid w:val="00F669A6"/>
    <w:rsid w:val="00F71800"/>
    <w:rsid w:val="00F7272A"/>
    <w:rsid w:val="00F72798"/>
    <w:rsid w:val="00F95837"/>
    <w:rsid w:val="00FA1D71"/>
    <w:rsid w:val="00FA4213"/>
    <w:rsid w:val="00FA4FDB"/>
    <w:rsid w:val="00FA6175"/>
    <w:rsid w:val="00FB0EA4"/>
    <w:rsid w:val="00FB5DE6"/>
    <w:rsid w:val="00FC108B"/>
    <w:rsid w:val="00FC46AA"/>
    <w:rsid w:val="00FD05CB"/>
    <w:rsid w:val="00FD2B10"/>
    <w:rsid w:val="00FD363D"/>
    <w:rsid w:val="00FE0FD8"/>
    <w:rsid w:val="00FE1DF1"/>
    <w:rsid w:val="00FE6411"/>
    <w:rsid w:val="00FE647A"/>
    <w:rsid w:val="00FF5830"/>
    <w:rsid w:val="00FF6B9C"/>
    <w:rsid w:val="00FF6F7F"/>
    <w:rsid w:val="00FF71BF"/>
    <w:rsid w:val="00FF7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643876"/>
  <w15:docId w15:val="{9C02326B-EA66-4209-87A0-4C09F43E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5996"/>
    <w:rPr>
      <w:rFonts w:ascii="Arial" w:hAnsi="Arial"/>
      <w:sz w:val="24"/>
      <w:szCs w:val="24"/>
    </w:rPr>
  </w:style>
  <w:style w:type="paragraph" w:styleId="Heading1">
    <w:name w:val="heading 1"/>
    <w:basedOn w:val="Normal"/>
    <w:next w:val="Normal"/>
    <w:qFormat/>
    <w:rsid w:val="00A45996"/>
    <w:pPr>
      <w:keepNext/>
      <w:jc w:val="right"/>
      <w:outlineLvl w:val="0"/>
    </w:pPr>
    <w:rPr>
      <w:b/>
    </w:rPr>
  </w:style>
  <w:style w:type="paragraph" w:styleId="Heading2">
    <w:name w:val="heading 2"/>
    <w:basedOn w:val="Normal"/>
    <w:next w:val="Normal"/>
    <w:qFormat/>
    <w:rsid w:val="00A45996"/>
    <w:pPr>
      <w:keepNext/>
      <w:jc w:val="center"/>
      <w:outlineLvl w:val="1"/>
    </w:pPr>
    <w:rPr>
      <w:b/>
      <w:u w:val="single"/>
    </w:rPr>
  </w:style>
  <w:style w:type="paragraph" w:styleId="Heading3">
    <w:name w:val="heading 3"/>
    <w:basedOn w:val="Normal"/>
    <w:next w:val="Normal"/>
    <w:qFormat/>
    <w:rsid w:val="00A45996"/>
    <w:pPr>
      <w:keepNext/>
      <w:outlineLvl w:val="2"/>
    </w:pPr>
    <w:rPr>
      <w:b/>
    </w:rPr>
  </w:style>
  <w:style w:type="paragraph" w:styleId="Heading4">
    <w:name w:val="heading 4"/>
    <w:basedOn w:val="Normal"/>
    <w:next w:val="Normal"/>
    <w:qFormat/>
    <w:rsid w:val="00A45996"/>
    <w:pPr>
      <w:keepNext/>
      <w:outlineLvl w:val="3"/>
    </w:pPr>
    <w:rPr>
      <w:b/>
      <w:u w:val="single"/>
    </w:rPr>
  </w:style>
  <w:style w:type="paragraph" w:styleId="Heading5">
    <w:name w:val="heading 5"/>
    <w:basedOn w:val="Normal"/>
    <w:next w:val="Normal"/>
    <w:qFormat/>
    <w:rsid w:val="00A45996"/>
    <w:pPr>
      <w:keepNext/>
      <w:ind w:firstLine="709"/>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5996"/>
    <w:pPr>
      <w:jc w:val="both"/>
    </w:pPr>
  </w:style>
  <w:style w:type="paragraph" w:styleId="BodyTextIndent">
    <w:name w:val="Body Text Indent"/>
    <w:basedOn w:val="Normal"/>
    <w:rsid w:val="00A45996"/>
    <w:pPr>
      <w:ind w:left="720"/>
      <w:jc w:val="both"/>
    </w:pPr>
  </w:style>
  <w:style w:type="paragraph" w:styleId="BodyTextIndent2">
    <w:name w:val="Body Text Indent 2"/>
    <w:basedOn w:val="Normal"/>
    <w:rsid w:val="00A45996"/>
    <w:pPr>
      <w:ind w:left="720" w:hanging="720"/>
      <w:jc w:val="both"/>
    </w:pPr>
  </w:style>
  <w:style w:type="paragraph" w:styleId="BodyTextIndent3">
    <w:name w:val="Body Text Indent 3"/>
    <w:basedOn w:val="Normal"/>
    <w:rsid w:val="00A45996"/>
    <w:pPr>
      <w:ind w:left="426" w:hanging="426"/>
      <w:jc w:val="both"/>
    </w:pPr>
  </w:style>
  <w:style w:type="paragraph" w:styleId="CommentText">
    <w:name w:val="annotation text"/>
    <w:basedOn w:val="Normal"/>
    <w:semiHidden/>
    <w:rsid w:val="00A45996"/>
    <w:rPr>
      <w:sz w:val="20"/>
    </w:rPr>
  </w:style>
  <w:style w:type="paragraph" w:styleId="BodyText2">
    <w:name w:val="Body Text 2"/>
    <w:basedOn w:val="Normal"/>
    <w:rsid w:val="00A45996"/>
    <w:pPr>
      <w:jc w:val="both"/>
    </w:pPr>
    <w:rPr>
      <w:sz w:val="22"/>
    </w:rPr>
  </w:style>
  <w:style w:type="paragraph" w:styleId="BodyText3">
    <w:name w:val="Body Text 3"/>
    <w:basedOn w:val="Normal"/>
    <w:rsid w:val="00A45996"/>
    <w:rPr>
      <w:sz w:val="22"/>
    </w:rPr>
  </w:style>
  <w:style w:type="paragraph" w:customStyle="1" w:styleId="DfESBullets">
    <w:name w:val="DfESBullets"/>
    <w:basedOn w:val="Normal"/>
    <w:rsid w:val="00A45996"/>
    <w:pPr>
      <w:widowControl w:val="0"/>
      <w:numPr>
        <w:numId w:val="1"/>
      </w:numPr>
      <w:overflowPunct w:val="0"/>
      <w:autoSpaceDE w:val="0"/>
      <w:autoSpaceDN w:val="0"/>
      <w:adjustRightInd w:val="0"/>
      <w:spacing w:after="240"/>
      <w:textAlignment w:val="baseline"/>
    </w:pPr>
    <w:rPr>
      <w:sz w:val="22"/>
    </w:rPr>
  </w:style>
  <w:style w:type="character" w:styleId="Hyperlink">
    <w:name w:val="Hyperlink"/>
    <w:basedOn w:val="DefaultParagraphFont"/>
    <w:uiPriority w:val="99"/>
    <w:rsid w:val="00A45996"/>
    <w:rPr>
      <w:color w:val="0000FF"/>
      <w:u w:val="single"/>
    </w:rPr>
  </w:style>
  <w:style w:type="paragraph" w:styleId="Header">
    <w:name w:val="header"/>
    <w:basedOn w:val="Normal"/>
    <w:rsid w:val="00A45996"/>
    <w:pPr>
      <w:tabs>
        <w:tab w:val="center" w:pos="4320"/>
        <w:tab w:val="right" w:pos="8640"/>
      </w:tabs>
    </w:pPr>
  </w:style>
  <w:style w:type="paragraph" w:styleId="Footer">
    <w:name w:val="footer"/>
    <w:basedOn w:val="Normal"/>
    <w:rsid w:val="00A45996"/>
    <w:pPr>
      <w:tabs>
        <w:tab w:val="center" w:pos="4320"/>
        <w:tab w:val="right" w:pos="8640"/>
      </w:tabs>
    </w:pPr>
  </w:style>
  <w:style w:type="character" w:styleId="CommentReference">
    <w:name w:val="annotation reference"/>
    <w:basedOn w:val="DefaultParagraphFont"/>
    <w:semiHidden/>
    <w:rsid w:val="00A45996"/>
    <w:rPr>
      <w:sz w:val="16"/>
      <w:szCs w:val="16"/>
    </w:rPr>
  </w:style>
  <w:style w:type="paragraph" w:styleId="Title">
    <w:name w:val="Title"/>
    <w:basedOn w:val="Normal"/>
    <w:qFormat/>
    <w:rsid w:val="00A45996"/>
    <w:pPr>
      <w:jc w:val="center"/>
    </w:pPr>
    <w:rPr>
      <w:b/>
      <w:lang w:eastAsia="en-US"/>
    </w:rPr>
  </w:style>
  <w:style w:type="paragraph" w:styleId="BalloonText">
    <w:name w:val="Balloon Text"/>
    <w:basedOn w:val="Normal"/>
    <w:semiHidden/>
    <w:rsid w:val="00A45996"/>
    <w:rPr>
      <w:rFonts w:ascii="Tahoma" w:hAnsi="Tahoma" w:cs="Tahoma"/>
      <w:sz w:val="16"/>
      <w:szCs w:val="16"/>
    </w:rPr>
  </w:style>
  <w:style w:type="paragraph" w:styleId="CommentSubject">
    <w:name w:val="annotation subject"/>
    <w:basedOn w:val="CommentText"/>
    <w:next w:val="CommentText"/>
    <w:semiHidden/>
    <w:rsid w:val="00A45996"/>
    <w:rPr>
      <w:b/>
      <w:bCs/>
    </w:rPr>
  </w:style>
  <w:style w:type="table" w:styleId="TableGrid">
    <w:name w:val="Table Grid"/>
    <w:basedOn w:val="TableNormal"/>
    <w:rsid w:val="001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43EE1"/>
    <w:rPr>
      <w:color w:val="800080"/>
      <w:u w:val="single"/>
    </w:rPr>
  </w:style>
  <w:style w:type="paragraph" w:styleId="ListParagraph">
    <w:name w:val="List Paragraph"/>
    <w:basedOn w:val="Normal"/>
    <w:uiPriority w:val="34"/>
    <w:qFormat/>
    <w:rsid w:val="00D85472"/>
    <w:pPr>
      <w:ind w:left="720"/>
      <w:contextualSpacing/>
    </w:pPr>
  </w:style>
  <w:style w:type="paragraph" w:customStyle="1" w:styleId="Default">
    <w:name w:val="Default"/>
    <w:rsid w:val="00EB723D"/>
    <w:pPr>
      <w:autoSpaceDE w:val="0"/>
      <w:autoSpaceDN w:val="0"/>
      <w:adjustRightInd w:val="0"/>
    </w:pPr>
    <w:rPr>
      <w:rFonts w:ascii="Calibri" w:hAnsi="Calibri" w:cs="Calibri"/>
      <w:color w:val="000000"/>
      <w:sz w:val="24"/>
      <w:szCs w:val="24"/>
    </w:rPr>
  </w:style>
  <w:style w:type="paragraph" w:customStyle="1" w:styleId="TableHeadings">
    <w:name w:val="Table Headings"/>
    <w:basedOn w:val="Normal"/>
    <w:qFormat/>
    <w:rsid w:val="00EB644E"/>
    <w:pPr>
      <w:spacing w:before="60" w:after="60"/>
    </w:pPr>
    <w:rPr>
      <w:rFonts w:asciiTheme="minorHAnsi" w:hAnsiTheme="minorHAnsi" w:cstheme="minorHAnsi"/>
      <w:b/>
      <w:sz w:val="22"/>
      <w:szCs w:val="22"/>
      <w:lang w:eastAsia="en-US"/>
    </w:rPr>
  </w:style>
  <w:style w:type="paragraph" w:customStyle="1" w:styleId="TableText">
    <w:name w:val="Table Text"/>
    <w:basedOn w:val="Normal"/>
    <w:qFormat/>
    <w:rsid w:val="00EB644E"/>
    <w:pPr>
      <w:spacing w:before="60" w:after="60"/>
    </w:pPr>
    <w:rPr>
      <w:rFonts w:asciiTheme="minorHAnsi" w:hAnsiTheme="minorHAnsi" w:cstheme="minorHAnsi"/>
      <w:sz w:val="22"/>
      <w:szCs w:val="22"/>
      <w:lang w:eastAsia="en-US"/>
    </w:rPr>
  </w:style>
  <w:style w:type="paragraph" w:customStyle="1" w:styleId="TableDirections">
    <w:name w:val="Table Directions"/>
    <w:basedOn w:val="Normal"/>
    <w:qFormat/>
    <w:rsid w:val="00EB644E"/>
    <w:rPr>
      <w:rFonts w:asciiTheme="minorHAnsi" w:hAnsiTheme="minorHAnsi" w:cstheme="minorHAnsi"/>
      <w:i/>
      <w:color w:val="808080" w:themeColor="background1" w:themeShade="80"/>
      <w:sz w:val="22"/>
      <w:u w:val="single"/>
      <w:lang w:eastAsia="en-US"/>
    </w:rPr>
  </w:style>
  <w:style w:type="paragraph" w:customStyle="1" w:styleId="TableParagraph">
    <w:name w:val="Table Paragraph"/>
    <w:basedOn w:val="Normal"/>
    <w:uiPriority w:val="1"/>
    <w:qFormat/>
    <w:rsid w:val="00063C71"/>
    <w:pPr>
      <w:widowControl w:val="0"/>
      <w:ind w:left="67" w:right="262" w:firstLine="720"/>
    </w:pPr>
    <w:rPr>
      <w:rFonts w:eastAsia="Arial" w:cs="Arial"/>
      <w:sz w:val="22"/>
      <w:szCs w:val="22"/>
      <w:lang w:val="en-US" w:eastAsia="en-US"/>
    </w:rPr>
  </w:style>
  <w:style w:type="paragraph" w:customStyle="1" w:styleId="Numbering">
    <w:name w:val="Numbering"/>
    <w:basedOn w:val="ListParagraph"/>
    <w:link w:val="NumberingChar"/>
    <w:qFormat/>
    <w:rsid w:val="00063C71"/>
    <w:pPr>
      <w:keepNext/>
      <w:keepLines/>
      <w:numPr>
        <w:numId w:val="14"/>
      </w:numPr>
      <w:spacing w:after="200"/>
    </w:pPr>
    <w:rPr>
      <w:rFonts w:asciiTheme="minorHAnsi" w:eastAsia="Calibri" w:hAnsiTheme="minorHAnsi" w:cstheme="minorHAnsi"/>
      <w:b/>
      <w:color w:val="808080" w:themeColor="background1" w:themeShade="80"/>
      <w:sz w:val="22"/>
      <w:szCs w:val="22"/>
      <w:lang w:eastAsia="en-US"/>
    </w:rPr>
  </w:style>
  <w:style w:type="character" w:customStyle="1" w:styleId="NumberingChar">
    <w:name w:val="Numbering Char"/>
    <w:basedOn w:val="DefaultParagraphFont"/>
    <w:link w:val="Numbering"/>
    <w:rsid w:val="00063C71"/>
    <w:rPr>
      <w:rFonts w:asciiTheme="minorHAnsi" w:eastAsia="Calibri" w:hAnsiTheme="minorHAnsi" w:cstheme="minorHAnsi"/>
      <w:b/>
      <w:color w:val="808080" w:themeColor="background1" w:themeShade="80"/>
      <w:sz w:val="22"/>
      <w:szCs w:val="22"/>
      <w:lang w:eastAsia="en-US"/>
    </w:rPr>
  </w:style>
  <w:style w:type="paragraph" w:styleId="FootnoteText">
    <w:name w:val="footnote text"/>
    <w:basedOn w:val="Normal"/>
    <w:link w:val="FootnoteTextChar"/>
    <w:semiHidden/>
    <w:unhideWhenUsed/>
    <w:rsid w:val="0078143C"/>
    <w:rPr>
      <w:sz w:val="20"/>
      <w:szCs w:val="20"/>
    </w:rPr>
  </w:style>
  <w:style w:type="character" w:customStyle="1" w:styleId="FootnoteTextChar">
    <w:name w:val="Footnote Text Char"/>
    <w:basedOn w:val="DefaultParagraphFont"/>
    <w:link w:val="FootnoteText"/>
    <w:semiHidden/>
    <w:rsid w:val="0078143C"/>
    <w:rPr>
      <w:rFonts w:ascii="Arial" w:hAnsi="Arial"/>
    </w:rPr>
  </w:style>
  <w:style w:type="character" w:styleId="FootnoteReference">
    <w:name w:val="footnote reference"/>
    <w:basedOn w:val="DefaultParagraphFont"/>
    <w:semiHidden/>
    <w:unhideWhenUsed/>
    <w:rsid w:val="0078143C"/>
    <w:rPr>
      <w:vertAlign w:val="superscript"/>
    </w:rPr>
  </w:style>
  <w:style w:type="character" w:customStyle="1" w:styleId="Mention1">
    <w:name w:val="Mention1"/>
    <w:basedOn w:val="DefaultParagraphFont"/>
    <w:uiPriority w:val="99"/>
    <w:semiHidden/>
    <w:unhideWhenUsed/>
    <w:rsid w:val="00A558E9"/>
    <w:rPr>
      <w:color w:val="2B579A"/>
      <w:shd w:val="clear" w:color="auto" w:fill="E6E6E6"/>
    </w:rPr>
  </w:style>
  <w:style w:type="character" w:customStyle="1" w:styleId="tgc">
    <w:name w:val="_tgc"/>
    <w:basedOn w:val="DefaultParagraphFont"/>
    <w:rsid w:val="0068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5789">
      <w:bodyDiv w:val="1"/>
      <w:marLeft w:val="0"/>
      <w:marRight w:val="0"/>
      <w:marTop w:val="0"/>
      <w:marBottom w:val="0"/>
      <w:divBdr>
        <w:top w:val="none" w:sz="0" w:space="0" w:color="auto"/>
        <w:left w:val="none" w:sz="0" w:space="0" w:color="auto"/>
        <w:bottom w:val="none" w:sz="0" w:space="0" w:color="auto"/>
        <w:right w:val="none" w:sz="0" w:space="0" w:color="auto"/>
      </w:divBdr>
      <w:divsChild>
        <w:div w:id="310403072">
          <w:marLeft w:val="446"/>
          <w:marRight w:val="0"/>
          <w:marTop w:val="0"/>
          <w:marBottom w:val="120"/>
          <w:divBdr>
            <w:top w:val="none" w:sz="0" w:space="0" w:color="auto"/>
            <w:left w:val="none" w:sz="0" w:space="0" w:color="auto"/>
            <w:bottom w:val="none" w:sz="0" w:space="0" w:color="auto"/>
            <w:right w:val="none" w:sz="0" w:space="0" w:color="auto"/>
          </w:divBdr>
        </w:div>
      </w:divsChild>
    </w:div>
    <w:div w:id="387533749">
      <w:bodyDiv w:val="1"/>
      <w:marLeft w:val="0"/>
      <w:marRight w:val="0"/>
      <w:marTop w:val="0"/>
      <w:marBottom w:val="0"/>
      <w:divBdr>
        <w:top w:val="none" w:sz="0" w:space="0" w:color="auto"/>
        <w:left w:val="none" w:sz="0" w:space="0" w:color="auto"/>
        <w:bottom w:val="none" w:sz="0" w:space="0" w:color="auto"/>
        <w:right w:val="none" w:sz="0" w:space="0" w:color="auto"/>
      </w:divBdr>
    </w:div>
    <w:div w:id="85723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un.beales@elevateeastlondon.co.uk" TargetMode="External"/><Relationship Id="rId18" Type="http://schemas.openxmlformats.org/officeDocument/2006/relationships/hyperlink" Target="mailto:andrew.sivess@lbbd.gov.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CSImplications@lbbd.gov.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isk.implications@lbbd.gov.uk" TargetMode="External"/><Relationship Id="rId17" Type="http://schemas.openxmlformats.org/officeDocument/2006/relationships/hyperlink" Target="mailto:matthew.cole@lbbd.gov.uk" TargetMode="External"/><Relationship Id="rId25" Type="http://schemas.openxmlformats.org/officeDocument/2006/relationships/footer" Target="footer2.xml"/><Relationship Id="rId33" Type="http://schemas.openxmlformats.org/officeDocument/2006/relationships/hyperlink" Target="http://www.legislation.gov.uk/ukpga/2011/20/contents/enacted" TargetMode="External"/><Relationship Id="rId2" Type="http://schemas.openxmlformats.org/officeDocument/2006/relationships/customXml" Target="../customXml/item2.xml"/><Relationship Id="rId16" Type="http://schemas.openxmlformats.org/officeDocument/2006/relationships/hyperlink" Target="mailto:karen.wheeler@lbbd.gov.uk" TargetMode="External"/><Relationship Id="rId20" Type="http://schemas.openxmlformats.org/officeDocument/2006/relationships/hyperlink" Target="mailto:ACSImplications@lbbd.gov.uk"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ialimplication@lbbd.gov.uk" TargetMode="External"/><Relationship Id="rId24" Type="http://schemas.openxmlformats.org/officeDocument/2006/relationships/footer" Target="footer1.xml"/><Relationship Id="rId32" Type="http://schemas.openxmlformats.org/officeDocument/2006/relationships/hyperlink" Target="http://www.legislation.gov.uk/ukpga/2011/20/section/1/enacted" TargetMode="External"/><Relationship Id="rId5" Type="http://schemas.openxmlformats.org/officeDocument/2006/relationships/numbering" Target="numbering.xml"/><Relationship Id="rId15" Type="http://schemas.openxmlformats.org/officeDocument/2006/relationships/hyperlink" Target="mailto:legalimplications@lbbd.gov.uk" TargetMode="External"/><Relationship Id="rId23" Type="http://schemas.openxmlformats.org/officeDocument/2006/relationships/header" Target="header2.xml"/><Relationship Id="rId28"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yperlink" Target="mailto:christopher.bush@lbbd.gov.uk" TargetMode="External"/><Relationship Id="rId31" Type="http://schemas.openxmlformats.org/officeDocument/2006/relationships/hyperlink" Target="http://uk.practicallaw.com/9-508-0346?p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williams@lbbd.gov.uk"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uk.practicallaw.com/4-508-2809?pit="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k%20Byles\Dropbox\2.%20Operations\Projects%20and%20Products\LIVE%20PROJECTS%20AND%20LEADS\Barking%20and%20Dagenham\Ambition%2020-20\Education%20services\Financial%20models\SI%20Partnership%20Costings%20Version%209.2%20170530%20CLEAN.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SI</a:t>
            </a:r>
            <a:r>
              <a:rPr lang="en-GB" baseline="0"/>
              <a:t> Partnership Income breakdown 2016-2022</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3"/>
          <c:order val="1"/>
          <c:tx>
            <c:strRef>
              <c:f>OVERVIEW!$A$9</c:f>
              <c:strCache>
                <c:ptCount val="1"/>
                <c:pt idx="0">
                  <c:v>Traded income/school buy-back</c:v>
                </c:pt>
              </c:strCache>
            </c:strRef>
          </c:tx>
          <c:spPr>
            <a:solidFill>
              <a:schemeClr val="accent6">
                <a:lumMod val="60000"/>
              </a:schemeClr>
            </a:solidFill>
            <a:ln>
              <a:noFill/>
            </a:ln>
            <a:effectLst/>
          </c:spPr>
          <c:invertIfNegative val="0"/>
          <c:cat>
            <c:strRef>
              <c:f>OVERVIEW!$B$7:$G$7</c:f>
              <c:strCache>
                <c:ptCount val="6"/>
                <c:pt idx="0">
                  <c:v>2016/17</c:v>
                </c:pt>
                <c:pt idx="1">
                  <c:v>2017/18</c:v>
                </c:pt>
                <c:pt idx="2">
                  <c:v>2018/19</c:v>
                </c:pt>
                <c:pt idx="3">
                  <c:v>2019/20</c:v>
                </c:pt>
                <c:pt idx="4">
                  <c:v>2020/2021</c:v>
                </c:pt>
                <c:pt idx="5">
                  <c:v>2021/2022</c:v>
                </c:pt>
              </c:strCache>
            </c:strRef>
          </c:cat>
          <c:val>
            <c:numRef>
              <c:f>OVERVIEW!$B$9:$G$9</c:f>
              <c:numCache>
                <c:formatCode>_("£"* #,##0.00_);_("£"* \(#,##0.00\);_("£"* "-"??_);_(@_)</c:formatCode>
                <c:ptCount val="6"/>
                <c:pt idx="0">
                  <c:v>1263326.51</c:v>
                </c:pt>
                <c:pt idx="1">
                  <c:v>1305357.67</c:v>
                </c:pt>
                <c:pt idx="2">
                  <c:v>1331464.8234000001</c:v>
                </c:pt>
                <c:pt idx="3">
                  <c:v>1358094.119868</c:v>
                </c:pt>
                <c:pt idx="4">
                  <c:v>1385256.00226536</c:v>
                </c:pt>
                <c:pt idx="5">
                  <c:v>1412961.1223106701</c:v>
                </c:pt>
              </c:numCache>
            </c:numRef>
          </c:val>
          <c:extLst>
            <c:ext xmlns:c16="http://schemas.microsoft.com/office/drawing/2014/chart" uri="{C3380CC4-5D6E-409C-BE32-E72D297353CC}">
              <c16:uniqueId val="{00000000-3495-4980-8060-915A4DC81005}"/>
            </c:ext>
          </c:extLst>
        </c:ser>
        <c:ser>
          <c:idx val="4"/>
          <c:order val="2"/>
          <c:tx>
            <c:strRef>
              <c:f>OVERVIEW!$A$10</c:f>
              <c:strCache>
                <c:ptCount val="1"/>
                <c:pt idx="0">
                  <c:v>DSG</c:v>
                </c:pt>
              </c:strCache>
            </c:strRef>
          </c:tx>
          <c:spPr>
            <a:solidFill>
              <a:schemeClr val="accent5">
                <a:lumMod val="60000"/>
              </a:schemeClr>
            </a:solidFill>
            <a:ln>
              <a:noFill/>
            </a:ln>
            <a:effectLst/>
          </c:spPr>
          <c:invertIfNegative val="0"/>
          <c:cat>
            <c:strRef>
              <c:f>OVERVIEW!$B$7:$G$7</c:f>
              <c:strCache>
                <c:ptCount val="6"/>
                <c:pt idx="0">
                  <c:v>2016/17</c:v>
                </c:pt>
                <c:pt idx="1">
                  <c:v>2017/18</c:v>
                </c:pt>
                <c:pt idx="2">
                  <c:v>2018/19</c:v>
                </c:pt>
                <c:pt idx="3">
                  <c:v>2019/20</c:v>
                </c:pt>
                <c:pt idx="4">
                  <c:v>2020/2021</c:v>
                </c:pt>
                <c:pt idx="5">
                  <c:v>2021/2022</c:v>
                </c:pt>
              </c:strCache>
            </c:strRef>
          </c:cat>
          <c:val>
            <c:numRef>
              <c:f>OVERVIEW!$B$10:$G$10</c:f>
              <c:numCache>
                <c:formatCode>_("£"* #,##0.00_);_("£"* \(#,##0.00\);_("£"* "-"??_);_(@_)</c:formatCode>
                <c:ptCount val="6"/>
                <c:pt idx="0">
                  <c:v>330000</c:v>
                </c:pt>
                <c:pt idx="1">
                  <c:v>330000</c:v>
                </c:pt>
                <c:pt idx="2">
                  <c:v>200000</c:v>
                </c:pt>
                <c:pt idx="3">
                  <c:v>150000</c:v>
                </c:pt>
                <c:pt idx="4">
                  <c:v>120000</c:v>
                </c:pt>
                <c:pt idx="5">
                  <c:v>100000</c:v>
                </c:pt>
              </c:numCache>
            </c:numRef>
          </c:val>
          <c:extLst>
            <c:ext xmlns:c16="http://schemas.microsoft.com/office/drawing/2014/chart" uri="{C3380CC4-5D6E-409C-BE32-E72D297353CC}">
              <c16:uniqueId val="{00000001-3495-4980-8060-915A4DC81005}"/>
            </c:ext>
          </c:extLst>
        </c:ser>
        <c:ser>
          <c:idx val="5"/>
          <c:order val="3"/>
          <c:tx>
            <c:strRef>
              <c:f>OVERVIEW!$A$11</c:f>
              <c:strCache>
                <c:ptCount val="1"/>
                <c:pt idx="0">
                  <c:v>Other income</c:v>
                </c:pt>
              </c:strCache>
            </c:strRef>
          </c:tx>
          <c:spPr>
            <a:solidFill>
              <a:schemeClr val="accent4">
                <a:lumMod val="60000"/>
              </a:schemeClr>
            </a:solidFill>
            <a:ln>
              <a:noFill/>
            </a:ln>
            <a:effectLst/>
          </c:spPr>
          <c:invertIfNegative val="0"/>
          <c:cat>
            <c:strRef>
              <c:f>OVERVIEW!$B$7:$G$7</c:f>
              <c:strCache>
                <c:ptCount val="6"/>
                <c:pt idx="0">
                  <c:v>2016/17</c:v>
                </c:pt>
                <c:pt idx="1">
                  <c:v>2017/18</c:v>
                </c:pt>
                <c:pt idx="2">
                  <c:v>2018/19</c:v>
                </c:pt>
                <c:pt idx="3">
                  <c:v>2019/20</c:v>
                </c:pt>
                <c:pt idx="4">
                  <c:v>2020/2021</c:v>
                </c:pt>
                <c:pt idx="5">
                  <c:v>2021/2022</c:v>
                </c:pt>
              </c:strCache>
            </c:strRef>
          </c:cat>
          <c:val>
            <c:numRef>
              <c:f>OVERVIEW!$B$11:$G$11</c:f>
              <c:numCache>
                <c:formatCode>General</c:formatCode>
                <c:ptCount val="6"/>
                <c:pt idx="0" formatCode="_(&quot;£&quot;* #,##0.00_);_(&quot;£&quot;* \(#,##0.00\);_(&quot;£&quot;* &quot;-&quot;??_);_(@_)">
                  <c:v>133009</c:v>
                </c:pt>
              </c:numCache>
            </c:numRef>
          </c:val>
          <c:extLst>
            <c:ext xmlns:c16="http://schemas.microsoft.com/office/drawing/2014/chart" uri="{C3380CC4-5D6E-409C-BE32-E72D297353CC}">
              <c16:uniqueId val="{00000002-3495-4980-8060-915A4DC81005}"/>
            </c:ext>
          </c:extLst>
        </c:ser>
        <c:ser>
          <c:idx val="6"/>
          <c:order val="4"/>
          <c:tx>
            <c:strRef>
              <c:f>OVERVIEW!$A$12</c:f>
              <c:strCache>
                <c:ptCount val="1"/>
                <c:pt idx="0">
                  <c:v>Council commission of SI</c:v>
                </c:pt>
              </c:strCache>
            </c:strRef>
          </c:tx>
          <c:spPr>
            <a:solidFill>
              <a:schemeClr val="accent6">
                <a:lumMod val="80000"/>
                <a:lumOff val="20000"/>
              </a:schemeClr>
            </a:solidFill>
            <a:ln>
              <a:noFill/>
            </a:ln>
            <a:effectLst/>
          </c:spPr>
          <c:invertIfNegative val="0"/>
          <c:cat>
            <c:strRef>
              <c:f>OVERVIEW!$B$7:$G$7</c:f>
              <c:strCache>
                <c:ptCount val="6"/>
                <c:pt idx="0">
                  <c:v>2016/17</c:v>
                </c:pt>
                <c:pt idx="1">
                  <c:v>2017/18</c:v>
                </c:pt>
                <c:pt idx="2">
                  <c:v>2018/19</c:v>
                </c:pt>
                <c:pt idx="3">
                  <c:v>2019/20</c:v>
                </c:pt>
                <c:pt idx="4">
                  <c:v>2020/2021</c:v>
                </c:pt>
                <c:pt idx="5">
                  <c:v>2021/2022</c:v>
                </c:pt>
              </c:strCache>
            </c:strRef>
          </c:cat>
          <c:val>
            <c:numRef>
              <c:f>OVERVIEW!$B$12:$G$12</c:f>
              <c:numCache>
                <c:formatCode>_("£"* #,##0.00_);_("£"* \(#,##0.00\);_("£"* "-"??_);_(@_)</c:formatCode>
                <c:ptCount val="6"/>
                <c:pt idx="0">
                  <c:v>150000</c:v>
                </c:pt>
                <c:pt idx="1">
                  <c:v>150000</c:v>
                </c:pt>
                <c:pt idx="2">
                  <c:v>153000</c:v>
                </c:pt>
                <c:pt idx="3">
                  <c:v>156060</c:v>
                </c:pt>
                <c:pt idx="4">
                  <c:v>159181.20000000001</c:v>
                </c:pt>
                <c:pt idx="5">
                  <c:v>162364.82399999999</c:v>
                </c:pt>
              </c:numCache>
            </c:numRef>
          </c:val>
          <c:extLst>
            <c:ext xmlns:c16="http://schemas.microsoft.com/office/drawing/2014/chart" uri="{C3380CC4-5D6E-409C-BE32-E72D297353CC}">
              <c16:uniqueId val="{00000003-3495-4980-8060-915A4DC81005}"/>
            </c:ext>
          </c:extLst>
        </c:ser>
        <c:ser>
          <c:idx val="7"/>
          <c:order val="5"/>
          <c:tx>
            <c:strRef>
              <c:f>OVERVIEW!$A$13</c:f>
              <c:strCache>
                <c:ptCount val="1"/>
                <c:pt idx="0">
                  <c:v>Council commission of SEND/ Inclusion</c:v>
                </c:pt>
              </c:strCache>
            </c:strRef>
          </c:tx>
          <c:spPr>
            <a:solidFill>
              <a:schemeClr val="accent5">
                <a:lumMod val="80000"/>
                <a:lumOff val="20000"/>
              </a:schemeClr>
            </a:solidFill>
            <a:ln>
              <a:noFill/>
            </a:ln>
            <a:effectLst/>
          </c:spPr>
          <c:invertIfNegative val="0"/>
          <c:cat>
            <c:strRef>
              <c:f>OVERVIEW!$B$7:$G$7</c:f>
              <c:strCache>
                <c:ptCount val="6"/>
                <c:pt idx="0">
                  <c:v>2016/17</c:v>
                </c:pt>
                <c:pt idx="1">
                  <c:v>2017/18</c:v>
                </c:pt>
                <c:pt idx="2">
                  <c:v>2018/19</c:v>
                </c:pt>
                <c:pt idx="3">
                  <c:v>2019/20</c:v>
                </c:pt>
                <c:pt idx="4">
                  <c:v>2020/2021</c:v>
                </c:pt>
                <c:pt idx="5">
                  <c:v>2021/2022</c:v>
                </c:pt>
              </c:strCache>
            </c:strRef>
          </c:cat>
          <c:val>
            <c:numRef>
              <c:f>OVERVIEW!$B$13:$G$13</c:f>
              <c:numCache>
                <c:formatCode>_("£"* #,##0.00_);_("£"* \(#,##0.00\);_("£"* "-"??_);_(@_)</c:formatCode>
                <c:ptCount val="6"/>
                <c:pt idx="0">
                  <c:v>300000</c:v>
                </c:pt>
                <c:pt idx="1">
                  <c:v>300000</c:v>
                </c:pt>
                <c:pt idx="2">
                  <c:v>300000</c:v>
                </c:pt>
                <c:pt idx="3">
                  <c:v>300000</c:v>
                </c:pt>
                <c:pt idx="4">
                  <c:v>300000</c:v>
                </c:pt>
                <c:pt idx="5">
                  <c:v>300000</c:v>
                </c:pt>
              </c:numCache>
            </c:numRef>
          </c:val>
          <c:extLst>
            <c:ext xmlns:c16="http://schemas.microsoft.com/office/drawing/2014/chart" uri="{C3380CC4-5D6E-409C-BE32-E72D297353CC}">
              <c16:uniqueId val="{00000004-3495-4980-8060-915A4DC81005}"/>
            </c:ext>
          </c:extLst>
        </c:ser>
        <c:ser>
          <c:idx val="8"/>
          <c:order val="6"/>
          <c:tx>
            <c:strRef>
              <c:f>OVERVIEW!$A$14</c:f>
              <c:strCache>
                <c:ptCount val="1"/>
                <c:pt idx="0">
                  <c:v>Central Government grant funding</c:v>
                </c:pt>
              </c:strCache>
            </c:strRef>
          </c:tx>
          <c:spPr>
            <a:solidFill>
              <a:schemeClr val="accent4">
                <a:lumMod val="80000"/>
                <a:lumOff val="20000"/>
              </a:schemeClr>
            </a:solidFill>
            <a:ln>
              <a:noFill/>
            </a:ln>
            <a:effectLst/>
          </c:spPr>
          <c:invertIfNegative val="0"/>
          <c:cat>
            <c:strRef>
              <c:f>OVERVIEW!$B$7:$G$7</c:f>
              <c:strCache>
                <c:ptCount val="6"/>
                <c:pt idx="0">
                  <c:v>2016/17</c:v>
                </c:pt>
                <c:pt idx="1">
                  <c:v>2017/18</c:v>
                </c:pt>
                <c:pt idx="2">
                  <c:v>2018/19</c:v>
                </c:pt>
                <c:pt idx="3">
                  <c:v>2019/20</c:v>
                </c:pt>
                <c:pt idx="4">
                  <c:v>2020/2021</c:v>
                </c:pt>
                <c:pt idx="5">
                  <c:v>2021/2022</c:v>
                </c:pt>
              </c:strCache>
            </c:strRef>
          </c:cat>
          <c:val>
            <c:numRef>
              <c:f>OVERVIEW!$B$14:$G$14</c:f>
              <c:numCache>
                <c:formatCode>_("£"* #,##0.00_);_("£"* \(#,##0.00\);_("£"* "-"??_);_(@_)</c:formatCode>
                <c:ptCount val="6"/>
                <c:pt idx="0">
                  <c:v>150000</c:v>
                </c:pt>
                <c:pt idx="1">
                  <c:v>150000</c:v>
                </c:pt>
                <c:pt idx="2">
                  <c:v>150000</c:v>
                </c:pt>
                <c:pt idx="3">
                  <c:v>135000</c:v>
                </c:pt>
                <c:pt idx="4">
                  <c:v>121500</c:v>
                </c:pt>
                <c:pt idx="5">
                  <c:v>109350</c:v>
                </c:pt>
              </c:numCache>
            </c:numRef>
          </c:val>
          <c:extLst>
            <c:ext xmlns:c16="http://schemas.microsoft.com/office/drawing/2014/chart" uri="{C3380CC4-5D6E-409C-BE32-E72D297353CC}">
              <c16:uniqueId val="{00000005-3495-4980-8060-915A4DC81005}"/>
            </c:ext>
          </c:extLst>
        </c:ser>
        <c:ser>
          <c:idx val="9"/>
          <c:order val="7"/>
          <c:tx>
            <c:strRef>
              <c:f>OVERVIEW!$A$15</c:f>
              <c:strCache>
                <c:ptCount val="1"/>
                <c:pt idx="0">
                  <c:v>Corporate overhead contribution</c:v>
                </c:pt>
              </c:strCache>
            </c:strRef>
          </c:tx>
          <c:spPr>
            <a:solidFill>
              <a:schemeClr val="accent6">
                <a:lumMod val="80000"/>
              </a:schemeClr>
            </a:solidFill>
            <a:ln>
              <a:noFill/>
            </a:ln>
            <a:effectLst/>
          </c:spPr>
          <c:invertIfNegative val="0"/>
          <c:cat>
            <c:strRef>
              <c:f>OVERVIEW!$B$7:$G$7</c:f>
              <c:strCache>
                <c:ptCount val="6"/>
                <c:pt idx="0">
                  <c:v>2016/17</c:v>
                </c:pt>
                <c:pt idx="1">
                  <c:v>2017/18</c:v>
                </c:pt>
                <c:pt idx="2">
                  <c:v>2018/19</c:v>
                </c:pt>
                <c:pt idx="3">
                  <c:v>2019/20</c:v>
                </c:pt>
                <c:pt idx="4">
                  <c:v>2020/2021</c:v>
                </c:pt>
                <c:pt idx="5">
                  <c:v>2021/2022</c:v>
                </c:pt>
              </c:strCache>
            </c:strRef>
          </c:cat>
          <c:val>
            <c:numRef>
              <c:f>OVERVIEW!$B$15:$G$15</c:f>
              <c:numCache>
                <c:formatCode>_("£"* #,##0.00_);_("£"* \(#,##0.00\);_("£"* "-"??_);_(@_)</c:formatCode>
                <c:ptCount val="6"/>
                <c:pt idx="0">
                  <c:v>135364</c:v>
                </c:pt>
                <c:pt idx="1">
                  <c:v>135364</c:v>
                </c:pt>
                <c:pt idx="2">
                  <c:v>135364</c:v>
                </c:pt>
                <c:pt idx="3">
                  <c:v>135364</c:v>
                </c:pt>
                <c:pt idx="4">
                  <c:v>135364</c:v>
                </c:pt>
                <c:pt idx="5">
                  <c:v>135364</c:v>
                </c:pt>
              </c:numCache>
            </c:numRef>
          </c:val>
          <c:extLst>
            <c:ext xmlns:c16="http://schemas.microsoft.com/office/drawing/2014/chart" uri="{C3380CC4-5D6E-409C-BE32-E72D297353CC}">
              <c16:uniqueId val="{00000006-3495-4980-8060-915A4DC81005}"/>
            </c:ext>
          </c:extLst>
        </c:ser>
        <c:dLbls>
          <c:showLegendKey val="0"/>
          <c:showVal val="0"/>
          <c:showCatName val="0"/>
          <c:showSerName val="0"/>
          <c:showPercent val="0"/>
          <c:showBubbleSize val="0"/>
        </c:dLbls>
        <c:gapWidth val="150"/>
        <c:overlap val="100"/>
        <c:axId val="-1764692544"/>
        <c:axId val="-1764388416"/>
        <c:extLst>
          <c:ext xmlns:c15="http://schemas.microsoft.com/office/drawing/2012/chart" uri="{02D57815-91ED-43cb-92C2-25804820EDAC}">
            <c15:filteredBarSeries>
              <c15:ser>
                <c:idx val="2"/>
                <c:order val="0"/>
                <c:tx>
                  <c:strRef>
                    <c:extLst>
                      <c:ext uri="{02D57815-91ED-43cb-92C2-25804820EDAC}">
                        <c15:formulaRef>
                          <c15:sqref>OVERVIEW!$A$8</c15:sqref>
                        </c15:formulaRef>
                      </c:ext>
                    </c:extLst>
                    <c:strCache>
                      <c:ptCount val="1"/>
                      <c:pt idx="0">
                        <c:v>Income </c:v>
                      </c:pt>
                    </c:strCache>
                  </c:strRef>
                </c:tx>
                <c:spPr>
                  <a:solidFill>
                    <a:schemeClr val="accent4"/>
                  </a:solidFill>
                  <a:ln>
                    <a:noFill/>
                  </a:ln>
                  <a:effectLst/>
                </c:spPr>
                <c:invertIfNegative val="0"/>
                <c:cat>
                  <c:strRef>
                    <c:extLst>
                      <c:ext uri="{02D57815-91ED-43cb-92C2-25804820EDAC}">
                        <c15:formulaRef>
                          <c15:sqref>OVERVIEW!$B$7:$G$7</c15:sqref>
                        </c15:formulaRef>
                      </c:ext>
                    </c:extLst>
                    <c:strCache>
                      <c:ptCount val="6"/>
                      <c:pt idx="0">
                        <c:v>2016/17</c:v>
                      </c:pt>
                      <c:pt idx="1">
                        <c:v>2017/18</c:v>
                      </c:pt>
                      <c:pt idx="2">
                        <c:v>2018/19</c:v>
                      </c:pt>
                      <c:pt idx="3">
                        <c:v>2019/20</c:v>
                      </c:pt>
                      <c:pt idx="4">
                        <c:v>2020/2021</c:v>
                      </c:pt>
                      <c:pt idx="5">
                        <c:v>2021/2022</c:v>
                      </c:pt>
                    </c:strCache>
                  </c:strRef>
                </c:cat>
                <c:val>
                  <c:numRef>
                    <c:extLst>
                      <c:ext uri="{02D57815-91ED-43cb-92C2-25804820EDAC}">
                        <c15:formulaRef>
                          <c15:sqref>OVERVIEW!$B$8:$G$8</c15:sqref>
                        </c15:formulaRef>
                      </c:ext>
                    </c:extLst>
                    <c:numCache>
                      <c:formatCode>General</c:formatCode>
                      <c:ptCount val="6"/>
                    </c:numCache>
                  </c:numRef>
                </c:val>
                <c:extLst>
                  <c:ext xmlns:c16="http://schemas.microsoft.com/office/drawing/2014/chart" uri="{C3380CC4-5D6E-409C-BE32-E72D297353CC}">
                    <c16:uniqueId val="{00000007-3495-4980-8060-915A4DC81005}"/>
                  </c:ext>
                </c:extLst>
              </c15:ser>
            </c15:filteredBarSeries>
          </c:ext>
        </c:extLst>
      </c:barChart>
      <c:catAx>
        <c:axId val="-176469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4388416"/>
        <c:crosses val="autoZero"/>
        <c:auto val="1"/>
        <c:lblAlgn val="ctr"/>
        <c:lblOffset val="100"/>
        <c:noMultiLvlLbl val="0"/>
      </c:catAx>
      <c:valAx>
        <c:axId val="-176438841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469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193dd3641564d948868676e95deb7f4 xmlns="f2246d44-6f4b-4c5e-bb0d-fc8c3f6d8cc9">
      <Terms xmlns="http://schemas.microsoft.com/office/infopath/2007/PartnerControls"/>
    </n193dd3641564d948868676e95deb7f4>
    <Protective_x0020_Marking xmlns="f2246d44-6f4b-4c5e-bb0d-fc8c3f6d8cc9">IL 0</Protective_x0020_Marking>
    <TaxCatchAll xmlns="f2246d44-6f4b-4c5e-bb0d-fc8c3f6d8cc9"/>
  </documentManagement>
</p:properties>
</file>

<file path=customXml/item2.xml><?xml version="1.0" encoding="utf-8"?>
<ct:contentTypeSchema xmlns:ct="http://schemas.microsoft.com/office/2006/metadata/contentType" xmlns:ma="http://schemas.microsoft.com/office/2006/metadata/properties/metaAttributes" ct:_="" ma:_="" ma:contentTypeName="General" ma:contentTypeID="0x0101009CAFC535A40B9F40A74066B2210E2CEA06002BFF7BA8793E194995CFB5B56255C8F1" ma:contentTypeVersion="24" ma:contentTypeDescription="Use this content type to create a General document library" ma:contentTypeScope="" ma:versionID="db3071216745f78b0aea505011fc33dd">
  <xsd:schema xmlns:xsd="http://www.w3.org/2001/XMLSchema" xmlns:xs="http://www.w3.org/2001/XMLSchema" xmlns:p="http://schemas.microsoft.com/office/2006/metadata/properties" xmlns:ns2="f2246d44-6f4b-4c5e-bb0d-fc8c3f6d8cc9" targetNamespace="http://schemas.microsoft.com/office/2006/metadata/properties" ma:root="true" ma:fieldsID="0730cd6928edb28ea939369bcb475c30" ns2:_="">
    <xsd:import namespace="f2246d44-6f4b-4c5e-bb0d-fc8c3f6d8cc9"/>
    <xsd:element name="properties">
      <xsd:complexType>
        <xsd:sequence>
          <xsd:element name="documentManagement">
            <xsd:complexType>
              <xsd:all>
                <xsd:element ref="ns2:n193dd3641564d948868676e95deb7f4" minOccurs="0"/>
                <xsd:element ref="ns2:TaxCatchAll" minOccurs="0"/>
                <xsd:element ref="ns2:TaxCatchAllLabel" minOccurs="0"/>
                <xsd:element ref="ns2:Protective_x0020_Marki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46d44-6f4b-4c5e-bb0d-fc8c3f6d8cc9" elementFormDefault="qualified">
    <xsd:import namespace="http://schemas.microsoft.com/office/2006/documentManagement/types"/>
    <xsd:import namespace="http://schemas.microsoft.com/office/infopath/2007/PartnerControls"/>
    <xsd:element name="n193dd3641564d948868676e95deb7f4" ma:index="4" nillable="true" ma:taxonomy="true" ma:internalName="n193dd3641564d948868676e95deb7f4" ma:taxonomyFieldName="Document_x0020_Category" ma:displayName="Document Category" ma:readOnly="false" ma:fieldId="{7193dd36-4156-4d94-8868-676e95deb7f4}"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e1ee28bc-4273-42df-95c3-19d967795490}" ma:internalName="TaxCatchAll" ma:readOnly="false" ma:showField="CatchAllData" ma:web="f2246d44-6f4b-4c5e-bb0d-fc8c3f6d8cc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description="" ma:hidden="true" ma:list="{e1ee28bc-4273-42df-95c3-19d967795490}" ma:internalName="TaxCatchAllLabel" ma:readOnly="true" ma:showField="CatchAllDataLabel" ma:web="f2246d44-6f4b-4c5e-bb0d-fc8c3f6d8cc9">
      <xsd:complexType>
        <xsd:complexContent>
          <xsd:extension base="dms:MultiChoiceLookup">
            <xsd:sequence>
              <xsd:element name="Value" type="dms:Lookup" maxOccurs="unbounded" minOccurs="0" nillable="true"/>
            </xsd:sequence>
          </xsd:extension>
        </xsd:complexContent>
      </xsd:complexType>
    </xsd:element>
    <xsd:element name="Protective_x0020_Marking" ma:index="8" ma:displayName="Protective Marking" ma:default="IL 0" ma:format="Dropdown" ma:internalName="Protective_x0020_Marking" ma:readOnly="false">
      <xsd:simpleType>
        <xsd:restriction base="dms:Choice">
          <xsd:enumeration value="IL 0"/>
          <xsd:enumeration value="IL 1"/>
          <xsd:enumeration value="IL 2"/>
          <xsd:enumeration value="IL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44EA-4411-4323-9E84-599664B40FFF}">
  <ds:schemaRefs>
    <ds:schemaRef ds:uri="f2246d44-6f4b-4c5e-bb0d-fc8c3f6d8cc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C4A3406-986C-4DDE-8B4C-23E9DD073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46d44-6f4b-4c5e-bb0d-fc8c3f6d8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8A04E-77F9-4841-B02C-CFD564B908BE}">
  <ds:schemaRefs>
    <ds:schemaRef ds:uri="http://schemas.microsoft.com/sharepoint/v3/contenttype/forms"/>
  </ds:schemaRefs>
</ds:datastoreItem>
</file>

<file path=customXml/itemProps4.xml><?xml version="1.0" encoding="utf-8"?>
<ds:datastoreItem xmlns:ds="http://schemas.openxmlformats.org/officeDocument/2006/customXml" ds:itemID="{6F28C2B3-991B-41B0-B4D0-FE202B2C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5662</Words>
  <Characters>32386</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Reports for Council Meetings – Appendix A (Report template)</vt:lpstr>
    </vt:vector>
  </TitlesOfParts>
  <Company>LBBD</Company>
  <LinksUpToDate>false</LinksUpToDate>
  <CharactersWithSpaces>37973</CharactersWithSpaces>
  <SharedDoc>false</SharedDoc>
  <HLinks>
    <vt:vector size="12" baseType="variant">
      <vt:variant>
        <vt:i4>2949175</vt:i4>
      </vt:variant>
      <vt:variant>
        <vt:i4>3</vt:i4>
      </vt:variant>
      <vt:variant>
        <vt:i4>0</vt:i4>
      </vt:variant>
      <vt:variant>
        <vt:i4>5</vt:i4>
      </vt:variant>
      <vt:variant>
        <vt:lpwstr>http://lbbd/staffinfo/writing-reports-council-meetings/writing-reports-menu.htm</vt:lpwstr>
      </vt:variant>
      <vt:variant>
        <vt:lpwstr/>
      </vt:variant>
      <vt:variant>
        <vt:i4>1179714</vt:i4>
      </vt:variant>
      <vt:variant>
        <vt:i4>0</vt:i4>
      </vt:variant>
      <vt:variant>
        <vt:i4>0</vt:i4>
      </vt:variant>
      <vt:variant>
        <vt:i4>5</vt:i4>
      </vt:variant>
      <vt:variant>
        <vt:lpwstr>http://www.lbbd.gov.uk/CouncilandDemocracy/EthicalGovernance/Documents/const-b-article12.pdf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Reports for Council Meetings – Appendix A (Report template)</dc:title>
  <dc:subject>Report Writing</dc:subject>
  <dc:creator>Barry Ray</dc:creator>
  <cp:lastModifiedBy>Young Nichola</cp:lastModifiedBy>
  <cp:revision>2</cp:revision>
  <cp:lastPrinted>2017-05-31T15:57:00Z</cp:lastPrinted>
  <dcterms:created xsi:type="dcterms:W3CDTF">2017-06-13T12:34:00Z</dcterms:created>
  <dcterms:modified xsi:type="dcterms:W3CDTF">2017-06-13T12:34:00Z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endixCharacter">
    <vt:lpwstr> </vt:lpwstr>
  </property>
  <property fmtid="{D5CDD505-2E9C-101B-9397-08002B2CF9AE}" pid="3" name="ContentTypeId">
    <vt:lpwstr>0x0101009CAFC535A40B9F40A74066B2210E2CEA06002BFF7BA8793E194995CFB5B56255C8F1</vt:lpwstr>
  </property>
  <property fmtid="{D5CDD505-2E9C-101B-9397-08002B2CF9AE}" pid="4" name="Document Category">
    <vt:lpwstr/>
  </property>
</Properties>
</file>