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5C43" w14:textId="77777777" w:rsidR="003568BF" w:rsidRPr="004F787C" w:rsidRDefault="003568BF" w:rsidP="003568BF">
      <w:pPr>
        <w:jc w:val="center"/>
        <w:rPr>
          <w:rFonts w:cs="Arial"/>
          <w:b/>
          <w:color w:val="000000"/>
        </w:rPr>
      </w:pPr>
      <w:bookmarkStart w:id="0" w:name="_GoBack"/>
      <w:bookmarkEnd w:id="0"/>
      <w:r w:rsidRPr="004F787C">
        <w:rPr>
          <w:rFonts w:cs="Arial"/>
          <w:b/>
          <w:color w:val="000000"/>
        </w:rPr>
        <w:t>(</w:t>
      </w:r>
      <w:r w:rsidR="004F787C" w:rsidRPr="004F787C">
        <w:rPr>
          <w:rFonts w:cs="Arial"/>
          <w:b/>
          <w:color w:val="000000"/>
        </w:rPr>
        <w:t>BARKING AND DAGENHAM SCHOOL</w:t>
      </w:r>
      <w:r w:rsidR="00AF6019">
        <w:rPr>
          <w:rFonts w:cs="Arial"/>
          <w:b/>
          <w:color w:val="000000"/>
        </w:rPr>
        <w:t>S</w:t>
      </w:r>
      <w:r w:rsidR="004F787C" w:rsidRPr="004F787C">
        <w:rPr>
          <w:rFonts w:cs="Arial"/>
          <w:b/>
          <w:color w:val="000000"/>
        </w:rPr>
        <w:t xml:space="preserve"> FORUM</w:t>
      </w:r>
      <w:r w:rsidRPr="004F787C">
        <w:rPr>
          <w:rFonts w:cs="Arial"/>
          <w:b/>
          <w:color w:val="000000"/>
        </w:rPr>
        <w:t>)</w:t>
      </w:r>
    </w:p>
    <w:p w14:paraId="13835DE5" w14:textId="77777777" w:rsidR="009A0F2F" w:rsidRPr="00F62747" w:rsidRDefault="009A0F2F" w:rsidP="00242399">
      <w:pPr>
        <w:jc w:val="center"/>
        <w:rPr>
          <w:rFonts w:cs="Arial"/>
          <w:b/>
          <w:color w:val="000000"/>
          <w:sz w:val="20"/>
          <w:szCs w:val="20"/>
        </w:rPr>
      </w:pPr>
    </w:p>
    <w:p w14:paraId="31B5CEB8" w14:textId="77777777" w:rsidR="009A0F2F" w:rsidRPr="00DD34BC" w:rsidRDefault="00BB7BD9" w:rsidP="00DD34BC">
      <w:pPr>
        <w:jc w:val="center"/>
        <w:rPr>
          <w:rFonts w:cs="Arial"/>
          <w:b/>
          <w:color w:val="000000"/>
        </w:rPr>
      </w:pPr>
      <w:r w:rsidRPr="004F787C">
        <w:rPr>
          <w:rFonts w:cs="Arial"/>
          <w:b/>
          <w:color w:val="000000"/>
        </w:rPr>
        <w:t>(</w:t>
      </w:r>
      <w:r w:rsidR="000F291D">
        <w:rPr>
          <w:rFonts w:cs="Arial"/>
          <w:b/>
          <w:color w:val="000000"/>
        </w:rPr>
        <w:t>20</w:t>
      </w:r>
      <w:r w:rsidR="0005699A" w:rsidRPr="0005699A">
        <w:rPr>
          <w:rFonts w:cs="Arial"/>
          <w:b/>
          <w:color w:val="000000"/>
          <w:vertAlign w:val="superscript"/>
        </w:rPr>
        <w:t>th</w:t>
      </w:r>
      <w:r w:rsidR="0005699A">
        <w:rPr>
          <w:rFonts w:cs="Arial"/>
          <w:b/>
          <w:color w:val="000000"/>
        </w:rPr>
        <w:t xml:space="preserve"> </w:t>
      </w:r>
      <w:r w:rsidR="000F291D">
        <w:rPr>
          <w:rFonts w:cs="Arial"/>
          <w:b/>
          <w:color w:val="000000"/>
        </w:rPr>
        <w:t>March</w:t>
      </w:r>
      <w:r w:rsidR="0005699A">
        <w:rPr>
          <w:rFonts w:cs="Arial"/>
          <w:b/>
          <w:color w:val="000000"/>
        </w:rPr>
        <w:t xml:space="preserve"> 201</w:t>
      </w:r>
      <w:r w:rsidR="00DE2848">
        <w:rPr>
          <w:rFonts w:cs="Arial"/>
          <w:b/>
          <w:color w:val="000000"/>
        </w:rPr>
        <w:t>8</w:t>
      </w:r>
      <w:r w:rsidRPr="004F787C">
        <w:rPr>
          <w:rFonts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gridCol w:w="3449"/>
      </w:tblGrid>
      <w:tr w:rsidR="00462371" w:rsidRPr="00553269" w14:paraId="0D853AC8" w14:textId="77777777" w:rsidTr="00553269">
        <w:tc>
          <w:tcPr>
            <w:tcW w:w="9857" w:type="dxa"/>
            <w:gridSpan w:val="2"/>
          </w:tcPr>
          <w:p w14:paraId="26C828FC" w14:textId="77777777" w:rsidR="00462371" w:rsidRPr="00721B34" w:rsidRDefault="00462371" w:rsidP="00385FC8">
            <w:pPr>
              <w:rPr>
                <w:rFonts w:cs="Arial"/>
                <w:color w:val="000000"/>
              </w:rPr>
            </w:pPr>
            <w:r w:rsidRPr="00721B34">
              <w:rPr>
                <w:rFonts w:cs="Arial"/>
                <w:b/>
              </w:rPr>
              <w:t>Title:</w:t>
            </w:r>
            <w:r w:rsidRPr="00721B34">
              <w:rPr>
                <w:rFonts w:cs="Arial"/>
              </w:rPr>
              <w:t xml:space="preserve"> </w:t>
            </w:r>
            <w:r w:rsidR="00E45801" w:rsidRPr="00721B34">
              <w:rPr>
                <w:rFonts w:cs="Arial"/>
                <w:color w:val="000000"/>
              </w:rPr>
              <w:t>School F</w:t>
            </w:r>
            <w:r w:rsidR="00385FC8" w:rsidRPr="00721B34">
              <w:rPr>
                <w:rFonts w:cs="Arial"/>
                <w:color w:val="000000"/>
              </w:rPr>
              <w:t>orum Report</w:t>
            </w:r>
          </w:p>
          <w:p w14:paraId="67D9119A" w14:textId="77777777" w:rsidR="00385FC8" w:rsidRPr="00721B34" w:rsidRDefault="00385FC8" w:rsidP="00385FC8">
            <w:pPr>
              <w:rPr>
                <w:rFonts w:cs="Arial"/>
              </w:rPr>
            </w:pPr>
          </w:p>
        </w:tc>
      </w:tr>
      <w:tr w:rsidR="00EC2A42" w:rsidRPr="00553269" w14:paraId="16A8901C" w14:textId="77777777" w:rsidTr="00553269">
        <w:tc>
          <w:tcPr>
            <w:tcW w:w="9857" w:type="dxa"/>
            <w:gridSpan w:val="2"/>
          </w:tcPr>
          <w:p w14:paraId="4B2CCB78" w14:textId="77777777" w:rsidR="00EC2A42" w:rsidRPr="00721B34" w:rsidRDefault="00EC2A42" w:rsidP="00EC2A42">
            <w:pPr>
              <w:rPr>
                <w:rFonts w:cs="Arial"/>
                <w:b/>
                <w:color w:val="000000"/>
              </w:rPr>
            </w:pPr>
            <w:r w:rsidRPr="00721B34">
              <w:rPr>
                <w:rFonts w:cs="Arial"/>
                <w:b/>
              </w:rPr>
              <w:t>R</w:t>
            </w:r>
            <w:r w:rsidR="00DC116F" w:rsidRPr="00721B34">
              <w:rPr>
                <w:rFonts w:cs="Arial"/>
                <w:b/>
              </w:rPr>
              <w:t>eport of</w:t>
            </w:r>
            <w:r w:rsidR="005F3A5D" w:rsidRPr="00721B34">
              <w:rPr>
                <w:rFonts w:cs="Arial"/>
                <w:b/>
              </w:rPr>
              <w:t>:</w:t>
            </w:r>
            <w:r w:rsidRPr="00721B34">
              <w:rPr>
                <w:rFonts w:cs="Arial"/>
                <w:b/>
              </w:rPr>
              <w:t xml:space="preserve"> </w:t>
            </w:r>
            <w:r w:rsidR="00C43EE1" w:rsidRPr="00721B34">
              <w:rPr>
                <w:rFonts w:cs="Arial"/>
                <w:b/>
                <w:color w:val="000000"/>
              </w:rPr>
              <w:t xml:space="preserve">CORPORATE </w:t>
            </w:r>
            <w:r w:rsidR="00485CE3" w:rsidRPr="00721B34">
              <w:rPr>
                <w:rFonts w:cs="Arial"/>
                <w:b/>
                <w:color w:val="000000"/>
              </w:rPr>
              <w:t>DIRECTOR</w:t>
            </w:r>
            <w:r w:rsidR="00DD58EA" w:rsidRPr="00721B34">
              <w:rPr>
                <w:rFonts w:cs="Arial"/>
                <w:b/>
                <w:color w:val="000000"/>
              </w:rPr>
              <w:t xml:space="preserve"> </w:t>
            </w:r>
          </w:p>
          <w:p w14:paraId="10869902" w14:textId="77777777" w:rsidR="00EC2A42" w:rsidRPr="00721B34" w:rsidRDefault="00EC2A42" w:rsidP="00F7272A">
            <w:pPr>
              <w:rPr>
                <w:rFonts w:cs="Arial"/>
                <w:b/>
              </w:rPr>
            </w:pPr>
          </w:p>
        </w:tc>
      </w:tr>
      <w:tr w:rsidR="00461800" w:rsidRPr="00553269" w14:paraId="51C4D50F" w14:textId="77777777" w:rsidTr="00553269">
        <w:tc>
          <w:tcPr>
            <w:tcW w:w="6487" w:type="dxa"/>
          </w:tcPr>
          <w:p w14:paraId="5BAD465B" w14:textId="77777777" w:rsidR="00461800" w:rsidRPr="00721B34" w:rsidRDefault="00461800" w:rsidP="00462371">
            <w:pPr>
              <w:rPr>
                <w:rFonts w:cs="Arial"/>
              </w:rPr>
            </w:pPr>
            <w:r w:rsidRPr="00721B34">
              <w:rPr>
                <w:rFonts w:cs="Arial"/>
                <w:b/>
              </w:rPr>
              <w:t>O</w:t>
            </w:r>
            <w:r w:rsidR="00DC116F" w:rsidRPr="00721B34">
              <w:rPr>
                <w:rFonts w:cs="Arial"/>
                <w:b/>
              </w:rPr>
              <w:t>pen</w:t>
            </w:r>
          </w:p>
          <w:p w14:paraId="2170F624" w14:textId="77777777" w:rsidR="00461800" w:rsidRPr="00721B34" w:rsidRDefault="00461800" w:rsidP="00462371">
            <w:pPr>
              <w:rPr>
                <w:rFonts w:cs="Arial"/>
                <w:b/>
              </w:rPr>
            </w:pPr>
          </w:p>
        </w:tc>
        <w:tc>
          <w:tcPr>
            <w:tcW w:w="3370" w:type="dxa"/>
          </w:tcPr>
          <w:p w14:paraId="059F77D5" w14:textId="77777777" w:rsidR="00461800" w:rsidRPr="00721B34" w:rsidRDefault="00462371" w:rsidP="00F62747">
            <w:pPr>
              <w:rPr>
                <w:rFonts w:cs="Arial"/>
                <w:b/>
              </w:rPr>
            </w:pPr>
            <w:r w:rsidRPr="00721B34">
              <w:rPr>
                <w:rFonts w:cs="Arial"/>
                <w:b/>
              </w:rPr>
              <w:t>For Decision / For Information</w:t>
            </w:r>
          </w:p>
        </w:tc>
      </w:tr>
      <w:tr w:rsidR="00462371" w:rsidRPr="00553269" w14:paraId="39A587E7" w14:textId="77777777" w:rsidTr="00553269">
        <w:tc>
          <w:tcPr>
            <w:tcW w:w="6487" w:type="dxa"/>
          </w:tcPr>
          <w:p w14:paraId="072E8083" w14:textId="77777777" w:rsidR="00462371" w:rsidRPr="00721B34" w:rsidRDefault="00462371" w:rsidP="00191E9D">
            <w:pPr>
              <w:rPr>
                <w:rFonts w:cs="Arial"/>
                <w:b/>
              </w:rPr>
            </w:pPr>
            <w:r w:rsidRPr="00721B34">
              <w:rPr>
                <w:rFonts w:cs="Arial"/>
                <w:b/>
              </w:rPr>
              <w:t xml:space="preserve">Wards Affected: </w:t>
            </w:r>
            <w:r w:rsidR="004F787C" w:rsidRPr="00721B34">
              <w:rPr>
                <w:rFonts w:cs="Arial"/>
                <w:b/>
              </w:rPr>
              <w:t>All</w:t>
            </w:r>
          </w:p>
        </w:tc>
        <w:tc>
          <w:tcPr>
            <w:tcW w:w="3370" w:type="dxa"/>
          </w:tcPr>
          <w:p w14:paraId="1E04CFD3" w14:textId="77777777" w:rsidR="00462371" w:rsidRPr="00721B34" w:rsidRDefault="00462371" w:rsidP="004F787C">
            <w:pPr>
              <w:rPr>
                <w:rFonts w:cs="Arial"/>
                <w:b/>
              </w:rPr>
            </w:pPr>
            <w:r w:rsidRPr="00721B34">
              <w:rPr>
                <w:rFonts w:cs="Arial"/>
                <w:b/>
              </w:rPr>
              <w:t xml:space="preserve">Key Decision: </w:t>
            </w:r>
            <w:r w:rsidR="004F787C" w:rsidRPr="00721B34">
              <w:rPr>
                <w:rFonts w:cs="Arial"/>
                <w:b/>
              </w:rPr>
              <w:t>No</w:t>
            </w:r>
          </w:p>
        </w:tc>
      </w:tr>
      <w:tr w:rsidR="00462371" w:rsidRPr="00553269" w14:paraId="245D8CB3" w14:textId="77777777" w:rsidTr="00553269">
        <w:tc>
          <w:tcPr>
            <w:tcW w:w="6487" w:type="dxa"/>
          </w:tcPr>
          <w:p w14:paraId="1E5B6FE1" w14:textId="77777777" w:rsidR="00462371" w:rsidRPr="00721B34" w:rsidRDefault="00462371" w:rsidP="00462371">
            <w:pPr>
              <w:rPr>
                <w:rFonts w:cs="Arial"/>
                <w:b/>
              </w:rPr>
            </w:pPr>
            <w:r w:rsidRPr="00721B34">
              <w:rPr>
                <w:rFonts w:cs="Arial"/>
                <w:b/>
              </w:rPr>
              <w:t xml:space="preserve">Report </w:t>
            </w:r>
            <w:r w:rsidR="006E145D" w:rsidRPr="00721B34">
              <w:rPr>
                <w:rFonts w:cs="Arial"/>
                <w:b/>
              </w:rPr>
              <w:t>Author</w:t>
            </w:r>
            <w:r w:rsidRPr="00721B34">
              <w:rPr>
                <w:rFonts w:cs="Arial"/>
                <w:b/>
              </w:rPr>
              <w:t xml:space="preserve">: </w:t>
            </w:r>
          </w:p>
          <w:p w14:paraId="34DFBEBD" w14:textId="77777777" w:rsidR="004F787C" w:rsidRPr="00721B34" w:rsidRDefault="00D86826" w:rsidP="00462371">
            <w:pPr>
              <w:rPr>
                <w:rFonts w:cs="Arial"/>
              </w:rPr>
            </w:pPr>
            <w:r w:rsidRPr="00721B34">
              <w:rPr>
                <w:rFonts w:cs="Arial"/>
              </w:rPr>
              <w:t>Daksha Chauhan</w:t>
            </w:r>
            <w:r w:rsidR="004F787C" w:rsidRPr="00721B34">
              <w:rPr>
                <w:rFonts w:cs="Arial"/>
              </w:rPr>
              <w:t xml:space="preserve"> – Group </w:t>
            </w:r>
            <w:r w:rsidR="00E17639" w:rsidRPr="00721B34">
              <w:rPr>
                <w:rFonts w:cs="Arial"/>
              </w:rPr>
              <w:t>Accountant</w:t>
            </w:r>
            <w:r w:rsidR="004F787C" w:rsidRPr="00721B34">
              <w:rPr>
                <w:rFonts w:cs="Arial"/>
              </w:rPr>
              <w:t xml:space="preserve"> (Finance)</w:t>
            </w:r>
          </w:p>
          <w:p w14:paraId="06A534C0" w14:textId="77777777" w:rsidR="00A710A1" w:rsidRPr="00721B34" w:rsidRDefault="00A710A1" w:rsidP="00462371">
            <w:pPr>
              <w:rPr>
                <w:rFonts w:cs="Arial"/>
                <w:b/>
              </w:rPr>
            </w:pPr>
          </w:p>
          <w:p w14:paraId="0AE5664C" w14:textId="77777777" w:rsidR="00462371" w:rsidRPr="00721B34" w:rsidRDefault="00462371" w:rsidP="00462371">
            <w:pPr>
              <w:rPr>
                <w:rFonts w:cs="Arial"/>
                <w:b/>
              </w:rPr>
            </w:pPr>
          </w:p>
        </w:tc>
        <w:tc>
          <w:tcPr>
            <w:tcW w:w="3370" w:type="dxa"/>
          </w:tcPr>
          <w:p w14:paraId="1D921C19" w14:textId="77777777" w:rsidR="00462371" w:rsidRPr="00721B34" w:rsidRDefault="00462371" w:rsidP="00553269">
            <w:pPr>
              <w:pStyle w:val="Header"/>
              <w:tabs>
                <w:tab w:val="clear" w:pos="4320"/>
                <w:tab w:val="clear" w:pos="8640"/>
              </w:tabs>
              <w:rPr>
                <w:rFonts w:cs="Arial"/>
                <w:b/>
              </w:rPr>
            </w:pPr>
            <w:r w:rsidRPr="00721B34">
              <w:rPr>
                <w:rFonts w:cs="Arial"/>
                <w:b/>
              </w:rPr>
              <w:t>Contact Details:</w:t>
            </w:r>
          </w:p>
          <w:p w14:paraId="094C9E30" w14:textId="77777777" w:rsidR="00462371" w:rsidRPr="00721B34" w:rsidRDefault="00462371" w:rsidP="00462371">
            <w:pPr>
              <w:rPr>
                <w:rFonts w:cs="Arial"/>
                <w:color w:val="000000"/>
              </w:rPr>
            </w:pPr>
            <w:r w:rsidRPr="00721B34">
              <w:rPr>
                <w:rFonts w:cs="Arial"/>
              </w:rPr>
              <w:t xml:space="preserve">Tel: 020 </w:t>
            </w:r>
            <w:r w:rsidR="004F787C" w:rsidRPr="00721B34">
              <w:rPr>
                <w:rFonts w:cs="Arial"/>
                <w:color w:val="000000"/>
              </w:rPr>
              <w:t xml:space="preserve">8724 </w:t>
            </w:r>
            <w:r w:rsidR="002434F6" w:rsidRPr="00721B34">
              <w:rPr>
                <w:rFonts w:cs="Arial"/>
                <w:color w:val="000000"/>
              </w:rPr>
              <w:t>2250</w:t>
            </w:r>
          </w:p>
          <w:p w14:paraId="5B5D4644" w14:textId="77777777" w:rsidR="00462371" w:rsidRPr="00721B34" w:rsidRDefault="00462371" w:rsidP="002434F6">
            <w:pPr>
              <w:rPr>
                <w:rFonts w:cs="Arial"/>
                <w:color w:val="000000"/>
              </w:rPr>
            </w:pPr>
            <w:r w:rsidRPr="00721B34">
              <w:rPr>
                <w:rFonts w:cs="Arial"/>
              </w:rPr>
              <w:t xml:space="preserve">E-mail: </w:t>
            </w:r>
            <w:r w:rsidR="002434F6" w:rsidRPr="00721B34">
              <w:rPr>
                <w:rFonts w:cs="Arial"/>
              </w:rPr>
              <w:t>daksha.chauhan</w:t>
            </w:r>
            <w:r w:rsidR="004F787C" w:rsidRPr="00721B34">
              <w:rPr>
                <w:rFonts w:cs="Arial"/>
                <w:color w:val="000000"/>
              </w:rPr>
              <w:t>@lbbd.gov.uk</w:t>
            </w:r>
          </w:p>
        </w:tc>
      </w:tr>
      <w:tr w:rsidR="00462371" w:rsidRPr="00553269" w14:paraId="6BE91599" w14:textId="77777777" w:rsidTr="00553269">
        <w:tc>
          <w:tcPr>
            <w:tcW w:w="9857" w:type="dxa"/>
            <w:gridSpan w:val="2"/>
          </w:tcPr>
          <w:p w14:paraId="33EB7B61" w14:textId="77777777" w:rsidR="00462371" w:rsidRPr="00721B34" w:rsidRDefault="00D17978" w:rsidP="00D17978">
            <w:pPr>
              <w:rPr>
                <w:rFonts w:cs="Arial"/>
              </w:rPr>
            </w:pPr>
            <w:r w:rsidRPr="00721B34">
              <w:rPr>
                <w:rFonts w:cs="Arial"/>
                <w:b/>
              </w:rPr>
              <w:t xml:space="preserve">Accountable </w:t>
            </w:r>
            <w:r w:rsidR="00A45DB2">
              <w:rPr>
                <w:rFonts w:cs="Arial"/>
                <w:b/>
              </w:rPr>
              <w:t>Oper</w:t>
            </w:r>
            <w:r w:rsidR="005A06A8">
              <w:rPr>
                <w:rFonts w:cs="Arial"/>
                <w:b/>
              </w:rPr>
              <w:t>a</w:t>
            </w:r>
            <w:r w:rsidR="00A45DB2">
              <w:rPr>
                <w:rFonts w:cs="Arial"/>
                <w:b/>
              </w:rPr>
              <w:t>tional</w:t>
            </w:r>
            <w:r w:rsidRPr="00721B34">
              <w:rPr>
                <w:rFonts w:cs="Arial"/>
                <w:b/>
              </w:rPr>
              <w:t xml:space="preserve"> Director:</w:t>
            </w:r>
            <w:r w:rsidR="004F787C" w:rsidRPr="00721B34">
              <w:rPr>
                <w:rFonts w:cs="Arial"/>
                <w:b/>
              </w:rPr>
              <w:t xml:space="preserve"> </w:t>
            </w:r>
            <w:r w:rsidR="004F787C" w:rsidRPr="00721B34">
              <w:rPr>
                <w:rFonts w:cs="Arial"/>
              </w:rPr>
              <w:t xml:space="preserve">Jane Hargreaves – </w:t>
            </w:r>
            <w:r w:rsidR="00A45DB2">
              <w:rPr>
                <w:rFonts w:cs="Arial"/>
              </w:rPr>
              <w:t>Commissioning Director for Education Youth and Childcare</w:t>
            </w:r>
          </w:p>
        </w:tc>
      </w:tr>
      <w:tr w:rsidR="00462371" w:rsidRPr="00553269" w14:paraId="4205F383" w14:textId="77777777" w:rsidTr="00F2521E">
        <w:trPr>
          <w:trHeight w:val="347"/>
        </w:trPr>
        <w:tc>
          <w:tcPr>
            <w:tcW w:w="9857" w:type="dxa"/>
            <w:gridSpan w:val="2"/>
          </w:tcPr>
          <w:p w14:paraId="67EE74DB" w14:textId="77777777" w:rsidR="00462371" w:rsidRPr="00721B34" w:rsidRDefault="00D17978" w:rsidP="00D17978">
            <w:pPr>
              <w:rPr>
                <w:rFonts w:cs="Arial"/>
              </w:rPr>
            </w:pPr>
            <w:r w:rsidRPr="00721B34">
              <w:rPr>
                <w:rFonts w:cs="Arial"/>
                <w:b/>
              </w:rPr>
              <w:t xml:space="preserve">Accountable </w:t>
            </w:r>
            <w:r w:rsidR="00A45DB2">
              <w:rPr>
                <w:rFonts w:cs="Arial"/>
                <w:b/>
              </w:rPr>
              <w:t xml:space="preserve">Strategic </w:t>
            </w:r>
            <w:r w:rsidRPr="00721B34">
              <w:rPr>
                <w:rFonts w:cs="Arial"/>
                <w:b/>
              </w:rPr>
              <w:t>Director:</w:t>
            </w:r>
            <w:r w:rsidR="004F787C" w:rsidRPr="00721B34">
              <w:rPr>
                <w:rFonts w:cs="Arial"/>
                <w:b/>
              </w:rPr>
              <w:t xml:space="preserve"> </w:t>
            </w:r>
            <w:r w:rsidR="00A45DB2">
              <w:rPr>
                <w:rFonts w:cs="Arial"/>
              </w:rPr>
              <w:t>Anne Bristow</w:t>
            </w:r>
            <w:r w:rsidR="004F787C" w:rsidRPr="00721B34">
              <w:rPr>
                <w:rFonts w:cs="Arial"/>
              </w:rPr>
              <w:t xml:space="preserve"> – </w:t>
            </w:r>
            <w:r w:rsidR="00A45DB2">
              <w:rPr>
                <w:rFonts w:cs="Arial"/>
              </w:rPr>
              <w:t>Strategic Director for Service Development and Integration</w:t>
            </w:r>
          </w:p>
        </w:tc>
      </w:tr>
      <w:tr w:rsidR="00424A8E" w:rsidRPr="00553269" w14:paraId="76753108" w14:textId="77777777" w:rsidTr="00553269">
        <w:tc>
          <w:tcPr>
            <w:tcW w:w="9857" w:type="dxa"/>
            <w:gridSpan w:val="2"/>
            <w:tcBorders>
              <w:bottom w:val="single" w:sz="4" w:space="0" w:color="auto"/>
            </w:tcBorders>
          </w:tcPr>
          <w:p w14:paraId="795BCF63" w14:textId="77777777" w:rsidR="009A6F59" w:rsidRPr="00721B34" w:rsidRDefault="00424A8E" w:rsidP="00F7272A">
            <w:pPr>
              <w:rPr>
                <w:rFonts w:cs="Arial"/>
              </w:rPr>
            </w:pPr>
            <w:r w:rsidRPr="00721B34">
              <w:rPr>
                <w:rFonts w:cs="Arial"/>
                <w:b/>
              </w:rPr>
              <w:t xml:space="preserve">Summary: </w:t>
            </w:r>
            <w:r w:rsidR="000E5DAE" w:rsidRPr="00721B34">
              <w:rPr>
                <w:rFonts w:cs="Arial"/>
              </w:rPr>
              <w:t xml:space="preserve">The purpose of this report is to update </w:t>
            </w:r>
            <w:r w:rsidR="008726BA" w:rsidRPr="00721B34">
              <w:rPr>
                <w:rFonts w:cs="Arial"/>
              </w:rPr>
              <w:t xml:space="preserve">the Barking and Dagenham Schools </w:t>
            </w:r>
            <w:r w:rsidR="000E5DAE" w:rsidRPr="00721B34">
              <w:rPr>
                <w:rFonts w:cs="Arial"/>
              </w:rPr>
              <w:t>Forum on:</w:t>
            </w:r>
          </w:p>
          <w:p w14:paraId="52301142" w14:textId="77777777" w:rsidR="005C3D1C" w:rsidRPr="00721B34" w:rsidRDefault="0083246D" w:rsidP="0081076B">
            <w:pPr>
              <w:numPr>
                <w:ilvl w:val="0"/>
                <w:numId w:val="4"/>
              </w:numPr>
              <w:ind w:left="993" w:hanging="567"/>
              <w:rPr>
                <w:rFonts w:cs="Arial"/>
              </w:rPr>
            </w:pPr>
            <w:r w:rsidRPr="00721B34">
              <w:rPr>
                <w:rFonts w:cs="Arial"/>
              </w:rPr>
              <w:t>(Background)</w:t>
            </w:r>
          </w:p>
          <w:p w14:paraId="1912FA67" w14:textId="77777777" w:rsidR="00954DF3" w:rsidRPr="00721B34" w:rsidRDefault="003C16AB" w:rsidP="00166E5E">
            <w:pPr>
              <w:numPr>
                <w:ilvl w:val="0"/>
                <w:numId w:val="4"/>
              </w:numPr>
              <w:ind w:left="993" w:hanging="567"/>
              <w:rPr>
                <w:rFonts w:cs="Arial"/>
              </w:rPr>
            </w:pPr>
            <w:r w:rsidRPr="00721B34">
              <w:rPr>
                <w:rFonts w:cs="Arial"/>
              </w:rPr>
              <w:t>The Dedicated schools Grant 20</w:t>
            </w:r>
            <w:r w:rsidR="003F6B28" w:rsidRPr="00721B34">
              <w:rPr>
                <w:rFonts w:cs="Arial"/>
              </w:rPr>
              <w:t>1</w:t>
            </w:r>
            <w:r w:rsidR="00064AE1">
              <w:rPr>
                <w:rFonts w:cs="Arial"/>
              </w:rPr>
              <w:t>7</w:t>
            </w:r>
            <w:r w:rsidR="0030133F" w:rsidRPr="00721B34">
              <w:rPr>
                <w:rFonts w:cs="Arial"/>
              </w:rPr>
              <w:t>-1</w:t>
            </w:r>
            <w:r w:rsidR="00064AE1">
              <w:rPr>
                <w:rFonts w:cs="Arial"/>
              </w:rPr>
              <w:t>8</w:t>
            </w:r>
            <w:r w:rsidR="0030133F" w:rsidRPr="00721B34">
              <w:rPr>
                <w:rFonts w:cs="Arial"/>
              </w:rPr>
              <w:t xml:space="preserve"> Forecast Outturn</w:t>
            </w:r>
            <w:r w:rsidR="00954DF3" w:rsidRPr="00721B34">
              <w:rPr>
                <w:rFonts w:cs="Arial"/>
              </w:rPr>
              <w:t>.</w:t>
            </w:r>
          </w:p>
          <w:p w14:paraId="081D0AB4" w14:textId="77777777" w:rsidR="0030133F" w:rsidRPr="00721B34" w:rsidRDefault="009C36F9" w:rsidP="0030133F">
            <w:pPr>
              <w:numPr>
                <w:ilvl w:val="0"/>
                <w:numId w:val="4"/>
              </w:numPr>
              <w:ind w:left="993" w:hanging="567"/>
              <w:rPr>
                <w:rFonts w:cs="Arial"/>
              </w:rPr>
            </w:pPr>
            <w:r>
              <w:rPr>
                <w:rFonts w:cs="Arial"/>
              </w:rPr>
              <w:t>Schools Facing Financial Difficulty Update</w:t>
            </w:r>
          </w:p>
          <w:p w14:paraId="5D30413A" w14:textId="77777777" w:rsidR="0067198E" w:rsidRPr="00DE3F9B" w:rsidRDefault="009C36F9" w:rsidP="00DE3F9B">
            <w:pPr>
              <w:numPr>
                <w:ilvl w:val="0"/>
                <w:numId w:val="4"/>
              </w:numPr>
              <w:ind w:left="993" w:hanging="567"/>
              <w:rPr>
                <w:rFonts w:cs="Arial"/>
              </w:rPr>
            </w:pPr>
            <w:r>
              <w:rPr>
                <w:rFonts w:cs="Arial"/>
              </w:rPr>
              <w:t>Support for Schools with Falling Rolls</w:t>
            </w:r>
            <w:r w:rsidR="00C63665" w:rsidRPr="00721B34">
              <w:rPr>
                <w:rFonts w:cs="Arial"/>
              </w:rPr>
              <w:t xml:space="preserve"> </w:t>
            </w:r>
            <w:r w:rsidR="00B4402A">
              <w:rPr>
                <w:rFonts w:cs="Arial"/>
              </w:rPr>
              <w:t>- Options</w:t>
            </w:r>
          </w:p>
          <w:p w14:paraId="1F4343DC" w14:textId="77777777" w:rsidR="0005699A" w:rsidRPr="00721B34" w:rsidRDefault="00317452" w:rsidP="004760F2">
            <w:pPr>
              <w:numPr>
                <w:ilvl w:val="0"/>
                <w:numId w:val="4"/>
              </w:numPr>
              <w:ind w:left="993" w:hanging="567"/>
              <w:rPr>
                <w:rFonts w:cs="Arial"/>
              </w:rPr>
            </w:pPr>
            <w:r w:rsidRPr="00721B34">
              <w:rPr>
                <w:rFonts w:cs="Arial"/>
              </w:rPr>
              <w:t xml:space="preserve">High Needs – Proposed Budget </w:t>
            </w:r>
            <w:r w:rsidR="00761B82" w:rsidRPr="00721B34">
              <w:rPr>
                <w:rFonts w:cs="Arial"/>
              </w:rPr>
              <w:t>201</w:t>
            </w:r>
            <w:r w:rsidR="00064AE1">
              <w:rPr>
                <w:rFonts w:cs="Arial"/>
              </w:rPr>
              <w:t>8</w:t>
            </w:r>
            <w:r w:rsidRPr="00721B34">
              <w:rPr>
                <w:rFonts w:cs="Arial"/>
              </w:rPr>
              <w:t>-1</w:t>
            </w:r>
            <w:r w:rsidR="00064AE1">
              <w:rPr>
                <w:rFonts w:cs="Arial"/>
              </w:rPr>
              <w:t>9</w:t>
            </w:r>
            <w:r w:rsidR="003C16AB" w:rsidRPr="00721B34">
              <w:rPr>
                <w:rFonts w:cs="Arial"/>
              </w:rPr>
              <w:t xml:space="preserve"> </w:t>
            </w:r>
            <w:r w:rsidR="009C36F9">
              <w:rPr>
                <w:rFonts w:cs="Arial"/>
              </w:rPr>
              <w:t>and Pressures</w:t>
            </w:r>
          </w:p>
          <w:p w14:paraId="728F1713" w14:textId="77777777" w:rsidR="005E3416" w:rsidRPr="00DD34BC" w:rsidRDefault="005E3416" w:rsidP="009C36F9">
            <w:pPr>
              <w:ind w:left="993"/>
              <w:rPr>
                <w:rFonts w:cs="Arial"/>
              </w:rPr>
            </w:pPr>
          </w:p>
        </w:tc>
      </w:tr>
      <w:tr w:rsidR="009771A2" w:rsidRPr="00553269" w14:paraId="562ED9FD" w14:textId="77777777" w:rsidTr="00553269">
        <w:tc>
          <w:tcPr>
            <w:tcW w:w="9857" w:type="dxa"/>
            <w:gridSpan w:val="2"/>
            <w:tcBorders>
              <w:top w:val="single" w:sz="4" w:space="0" w:color="auto"/>
              <w:bottom w:val="nil"/>
            </w:tcBorders>
          </w:tcPr>
          <w:p w14:paraId="08E6E6F0" w14:textId="77777777" w:rsidR="00C96A66" w:rsidRPr="00721B34" w:rsidRDefault="009771A2" w:rsidP="00C96A66">
            <w:pPr>
              <w:autoSpaceDE w:val="0"/>
              <w:autoSpaceDN w:val="0"/>
              <w:adjustRightInd w:val="0"/>
              <w:rPr>
                <w:rFonts w:cs="Arial"/>
                <w:b/>
              </w:rPr>
            </w:pPr>
            <w:r w:rsidRPr="00721B34">
              <w:rPr>
                <w:rFonts w:cs="Arial"/>
                <w:b/>
              </w:rPr>
              <w:t>Recommendation(s)</w:t>
            </w:r>
          </w:p>
          <w:p w14:paraId="1D362F60" w14:textId="77777777" w:rsidR="00520A46" w:rsidRPr="00721B34" w:rsidRDefault="00520A46" w:rsidP="00C96A66">
            <w:pPr>
              <w:autoSpaceDE w:val="0"/>
              <w:autoSpaceDN w:val="0"/>
              <w:adjustRightInd w:val="0"/>
              <w:rPr>
                <w:rFonts w:cs="Arial"/>
              </w:rPr>
            </w:pPr>
            <w:r w:rsidRPr="00721B34">
              <w:rPr>
                <w:rFonts w:cs="Arial"/>
              </w:rPr>
              <w:t>The School</w:t>
            </w:r>
            <w:r w:rsidR="008726BA" w:rsidRPr="00721B34">
              <w:rPr>
                <w:rFonts w:cs="Arial"/>
              </w:rPr>
              <w:t>s</w:t>
            </w:r>
            <w:r w:rsidRPr="00721B34">
              <w:rPr>
                <w:rFonts w:cs="Arial"/>
              </w:rPr>
              <w:t xml:space="preserve"> Forum is asked:</w:t>
            </w:r>
          </w:p>
          <w:p w14:paraId="42C43377" w14:textId="77777777" w:rsidR="009C36F9" w:rsidRDefault="00CE731E" w:rsidP="009C36F9">
            <w:pPr>
              <w:numPr>
                <w:ilvl w:val="0"/>
                <w:numId w:val="3"/>
              </w:numPr>
              <w:autoSpaceDE w:val="0"/>
              <w:autoSpaceDN w:val="0"/>
              <w:adjustRightInd w:val="0"/>
              <w:ind w:left="993" w:hanging="633"/>
              <w:rPr>
                <w:rFonts w:cs="Arial"/>
              </w:rPr>
            </w:pPr>
            <w:r w:rsidRPr="00721B34">
              <w:rPr>
                <w:rFonts w:cs="Arial"/>
              </w:rPr>
              <w:t xml:space="preserve">To </w:t>
            </w:r>
            <w:r w:rsidR="00317452" w:rsidRPr="00721B34">
              <w:rPr>
                <w:rFonts w:cs="Arial"/>
              </w:rPr>
              <w:t xml:space="preserve">note DSG outturn position </w:t>
            </w:r>
            <w:r w:rsidRPr="00721B34">
              <w:rPr>
                <w:rFonts w:cs="Arial"/>
              </w:rPr>
              <w:t>for 201</w:t>
            </w:r>
            <w:r w:rsidR="00064AE1">
              <w:rPr>
                <w:rFonts w:cs="Arial"/>
              </w:rPr>
              <w:t>7</w:t>
            </w:r>
            <w:r w:rsidRPr="00721B34">
              <w:rPr>
                <w:rFonts w:cs="Arial"/>
              </w:rPr>
              <w:t>-</w:t>
            </w:r>
            <w:r w:rsidR="002434F6" w:rsidRPr="00721B34">
              <w:rPr>
                <w:rFonts w:cs="Arial"/>
              </w:rPr>
              <w:t>1</w:t>
            </w:r>
            <w:r w:rsidR="00064AE1">
              <w:rPr>
                <w:rFonts w:cs="Arial"/>
              </w:rPr>
              <w:t>8</w:t>
            </w:r>
            <w:r w:rsidR="00317452" w:rsidRPr="00721B34">
              <w:rPr>
                <w:rFonts w:cs="Arial"/>
              </w:rPr>
              <w:t>.</w:t>
            </w:r>
          </w:p>
          <w:p w14:paraId="7BF741E8" w14:textId="77777777" w:rsidR="009C36F9" w:rsidRPr="009C36F9" w:rsidRDefault="009C36F9" w:rsidP="009C36F9">
            <w:pPr>
              <w:numPr>
                <w:ilvl w:val="0"/>
                <w:numId w:val="3"/>
              </w:numPr>
              <w:autoSpaceDE w:val="0"/>
              <w:autoSpaceDN w:val="0"/>
              <w:adjustRightInd w:val="0"/>
              <w:ind w:left="993" w:hanging="633"/>
              <w:rPr>
                <w:rFonts w:cs="Arial"/>
              </w:rPr>
            </w:pPr>
            <w:r w:rsidRPr="009C36F9">
              <w:rPr>
                <w:rFonts w:cs="Arial"/>
                <w:bCs/>
              </w:rPr>
              <w:t xml:space="preserve">To note the </w:t>
            </w:r>
            <w:r w:rsidRPr="009C36F9">
              <w:rPr>
                <w:rFonts w:cs="Arial"/>
              </w:rPr>
              <w:t>Schools Facing Financial Difficulty Update</w:t>
            </w:r>
          </w:p>
          <w:p w14:paraId="57A84DC7" w14:textId="77777777" w:rsidR="00317452" w:rsidRPr="00DE3F9B" w:rsidRDefault="009C36F9" w:rsidP="00DE3F9B">
            <w:pPr>
              <w:numPr>
                <w:ilvl w:val="0"/>
                <w:numId w:val="3"/>
              </w:numPr>
              <w:autoSpaceDE w:val="0"/>
              <w:autoSpaceDN w:val="0"/>
              <w:adjustRightInd w:val="0"/>
              <w:ind w:left="993" w:hanging="633"/>
              <w:rPr>
                <w:rFonts w:cs="Arial"/>
              </w:rPr>
            </w:pPr>
            <w:r>
              <w:rPr>
                <w:rFonts w:cs="Arial"/>
                <w:bCs/>
              </w:rPr>
              <w:t>Schools with Falling Rolls</w:t>
            </w:r>
          </w:p>
          <w:p w14:paraId="6EBCA5BB" w14:textId="77777777" w:rsidR="00064AE1" w:rsidRPr="009C36F9" w:rsidRDefault="009C36F9" w:rsidP="009C36F9">
            <w:pPr>
              <w:numPr>
                <w:ilvl w:val="0"/>
                <w:numId w:val="3"/>
              </w:numPr>
              <w:autoSpaceDE w:val="0"/>
              <w:autoSpaceDN w:val="0"/>
              <w:adjustRightInd w:val="0"/>
              <w:ind w:left="993" w:hanging="633"/>
              <w:rPr>
                <w:rFonts w:cs="Arial"/>
              </w:rPr>
            </w:pPr>
            <w:r>
              <w:rPr>
                <w:rFonts w:cs="Arial"/>
              </w:rPr>
              <w:t>Note the High Needs H</w:t>
            </w:r>
            <w:r w:rsidR="00226594" w:rsidRPr="00721B34">
              <w:rPr>
                <w:rFonts w:cs="Arial"/>
              </w:rPr>
              <w:t>igh Needs Budget</w:t>
            </w:r>
            <w:r>
              <w:rPr>
                <w:rFonts w:cs="Arial"/>
              </w:rPr>
              <w:t xml:space="preserve"> and proposal to manage the pressure</w:t>
            </w:r>
            <w:r w:rsidR="00575B31" w:rsidRPr="00721B34">
              <w:rPr>
                <w:rFonts w:cs="Arial"/>
              </w:rPr>
              <w:t>.</w:t>
            </w:r>
          </w:p>
        </w:tc>
      </w:tr>
      <w:tr w:rsidR="009771A2" w:rsidRPr="00553269" w14:paraId="2E4D46A1" w14:textId="77777777" w:rsidTr="00553269">
        <w:tc>
          <w:tcPr>
            <w:tcW w:w="9857" w:type="dxa"/>
            <w:gridSpan w:val="2"/>
            <w:tcBorders>
              <w:top w:val="nil"/>
              <w:bottom w:val="single" w:sz="4" w:space="0" w:color="auto"/>
            </w:tcBorders>
          </w:tcPr>
          <w:p w14:paraId="5E6D9DD8" w14:textId="77777777" w:rsidR="00765B07" w:rsidRPr="00721B34" w:rsidRDefault="00765B07" w:rsidP="00E7688F">
            <w:pPr>
              <w:ind w:left="720"/>
              <w:rPr>
                <w:rFonts w:cs="Arial"/>
              </w:rPr>
            </w:pPr>
          </w:p>
        </w:tc>
      </w:tr>
      <w:tr w:rsidR="009771A2" w:rsidRPr="00553269" w14:paraId="142C8524" w14:textId="77777777" w:rsidTr="00553269">
        <w:tc>
          <w:tcPr>
            <w:tcW w:w="9857" w:type="dxa"/>
            <w:gridSpan w:val="2"/>
            <w:tcBorders>
              <w:bottom w:val="nil"/>
            </w:tcBorders>
          </w:tcPr>
          <w:p w14:paraId="659B5C30" w14:textId="77777777" w:rsidR="009771A2" w:rsidRPr="00721B34" w:rsidRDefault="009771A2" w:rsidP="00F62747">
            <w:pPr>
              <w:rPr>
                <w:rFonts w:cs="Arial"/>
                <w:b/>
              </w:rPr>
            </w:pPr>
            <w:r w:rsidRPr="00721B34">
              <w:rPr>
                <w:rFonts w:cs="Arial"/>
                <w:b/>
              </w:rPr>
              <w:t>Reason(s)</w:t>
            </w:r>
          </w:p>
        </w:tc>
      </w:tr>
      <w:tr w:rsidR="009771A2" w:rsidRPr="00553269" w14:paraId="12A92465" w14:textId="77777777" w:rsidTr="00553269">
        <w:tc>
          <w:tcPr>
            <w:tcW w:w="9857" w:type="dxa"/>
            <w:gridSpan w:val="2"/>
            <w:tcBorders>
              <w:top w:val="nil"/>
            </w:tcBorders>
          </w:tcPr>
          <w:p w14:paraId="0AFC788B" w14:textId="77777777" w:rsidR="009771A2" w:rsidRPr="00721B34" w:rsidRDefault="006262A7" w:rsidP="006262A7">
            <w:pPr>
              <w:rPr>
                <w:rFonts w:cs="Arial"/>
              </w:rPr>
            </w:pPr>
            <w:r w:rsidRPr="00721B34">
              <w:rPr>
                <w:rFonts w:cs="Arial"/>
              </w:rPr>
              <w:t>None</w:t>
            </w:r>
          </w:p>
        </w:tc>
      </w:tr>
    </w:tbl>
    <w:p w14:paraId="7DE5FD7F" w14:textId="77777777" w:rsidR="009A0F2F" w:rsidRPr="00411851" w:rsidRDefault="00C43EE1" w:rsidP="00575B31">
      <w:pPr>
        <w:tabs>
          <w:tab w:val="left" w:pos="0"/>
        </w:tabs>
        <w:rPr>
          <w:rFonts w:cs="Arial"/>
          <w:b/>
        </w:rPr>
      </w:pPr>
      <w:r>
        <w:rPr>
          <w:rFonts w:cs="Arial"/>
        </w:rPr>
        <w:br w:type="page"/>
      </w:r>
      <w:r w:rsidR="00411851" w:rsidRPr="00411851">
        <w:rPr>
          <w:rFonts w:cs="Arial"/>
          <w:b/>
        </w:rPr>
        <w:lastRenderedPageBreak/>
        <w:t>1</w:t>
      </w:r>
      <w:r w:rsidR="00411851">
        <w:rPr>
          <w:rFonts w:cs="Arial"/>
          <w:b/>
        </w:rPr>
        <w:t>.</w:t>
      </w:r>
      <w:r w:rsidR="00411851" w:rsidRPr="00411851">
        <w:rPr>
          <w:rFonts w:cs="Arial"/>
          <w:b/>
        </w:rPr>
        <w:tab/>
      </w:r>
      <w:r w:rsidR="00E7688F" w:rsidRPr="00411851">
        <w:rPr>
          <w:rFonts w:cs="Arial"/>
          <w:b/>
        </w:rPr>
        <w:t>Introduction and Background</w:t>
      </w:r>
    </w:p>
    <w:p w14:paraId="7B3AE3EC" w14:textId="77777777" w:rsidR="009A0F2F" w:rsidRPr="00242399" w:rsidRDefault="009A0F2F" w:rsidP="00F7272A">
      <w:pPr>
        <w:rPr>
          <w:rFonts w:cs="Arial"/>
        </w:rPr>
      </w:pPr>
    </w:p>
    <w:p w14:paraId="1D46DF6E" w14:textId="77777777" w:rsidR="00CA5E3F" w:rsidRPr="00D90D2E" w:rsidRDefault="00CA5E3F" w:rsidP="00166E5E">
      <w:pPr>
        <w:numPr>
          <w:ilvl w:val="1"/>
          <w:numId w:val="2"/>
        </w:numPr>
        <w:tabs>
          <w:tab w:val="clear" w:pos="360"/>
          <w:tab w:val="num" w:pos="-567"/>
        </w:tabs>
        <w:ind w:left="709" w:hanging="709"/>
        <w:jc w:val="both"/>
        <w:rPr>
          <w:rFonts w:cs="Arial"/>
          <w:color w:val="000000"/>
        </w:rPr>
      </w:pPr>
      <w:r>
        <w:rPr>
          <w:rFonts w:cs="Arial"/>
        </w:rPr>
        <w:t xml:space="preserve">The School Forum is a </w:t>
      </w:r>
      <w:r w:rsidRPr="00D90D2E">
        <w:rPr>
          <w:rFonts w:cs="Arial"/>
        </w:rPr>
        <w:t>decision making and consultative body in relation to matters concerning schools’ budgets as defined in the School Finance (England) Regulations 2012</w:t>
      </w:r>
      <w:r>
        <w:rPr>
          <w:rFonts w:cs="Arial"/>
        </w:rPr>
        <w:t xml:space="preserve"> and the </w:t>
      </w:r>
      <w:r w:rsidRPr="00D90D2E">
        <w:rPr>
          <w:rFonts w:cs="Arial"/>
        </w:rPr>
        <w:t>Schools Forums (England) Regulations 2012</w:t>
      </w:r>
      <w:r w:rsidRPr="00D90D2E">
        <w:rPr>
          <w:rFonts w:cs="Arial"/>
          <w:color w:val="000000"/>
        </w:rPr>
        <w:t>.</w:t>
      </w:r>
      <w:r>
        <w:rPr>
          <w:rFonts w:cs="Arial"/>
          <w:color w:val="000000"/>
        </w:rPr>
        <w:t xml:space="preserve">  T</w:t>
      </w:r>
      <w:r w:rsidR="00383EA6">
        <w:rPr>
          <w:rFonts w:cs="Arial"/>
          <w:color w:val="000000"/>
        </w:rPr>
        <w:t>he</w:t>
      </w:r>
      <w:r>
        <w:rPr>
          <w:rFonts w:cs="Arial"/>
          <w:color w:val="000000"/>
        </w:rPr>
        <w:t xml:space="preserve"> Forum is required to meet at least four times a year.    </w:t>
      </w:r>
    </w:p>
    <w:p w14:paraId="42F63AD4" w14:textId="77777777" w:rsidR="009A0F2F" w:rsidRDefault="00CA5E3F" w:rsidP="0083323F">
      <w:pPr>
        <w:ind w:left="720" w:hanging="720"/>
        <w:rPr>
          <w:rFonts w:cs="Arial"/>
        </w:rPr>
      </w:pPr>
      <w:r>
        <w:rPr>
          <w:rFonts w:cs="Arial"/>
        </w:rPr>
        <w:t xml:space="preserve"> </w:t>
      </w:r>
      <w:r w:rsidR="006B0B04">
        <w:rPr>
          <w:rFonts w:cs="Arial"/>
        </w:rPr>
        <w:tab/>
      </w:r>
    </w:p>
    <w:p w14:paraId="7B3BB5DF" w14:textId="77777777" w:rsidR="00B52BD3" w:rsidRPr="00BB58E6" w:rsidRDefault="00237113" w:rsidP="0083246D">
      <w:pPr>
        <w:rPr>
          <w:rFonts w:cs="Arial"/>
        </w:rPr>
      </w:pPr>
      <w:r>
        <w:rPr>
          <w:rFonts w:cs="Arial"/>
        </w:rPr>
        <w:tab/>
      </w:r>
      <w:r w:rsidR="00657B37">
        <w:rPr>
          <w:rFonts w:cs="Arial"/>
          <w:b/>
        </w:rPr>
        <w:tab/>
      </w:r>
    </w:p>
    <w:p w14:paraId="3CBD2A91" w14:textId="77777777" w:rsidR="002C1B17" w:rsidRPr="009C36F9" w:rsidRDefault="006F49E8" w:rsidP="006F49E8">
      <w:pPr>
        <w:numPr>
          <w:ilvl w:val="0"/>
          <w:numId w:val="2"/>
        </w:numPr>
        <w:rPr>
          <w:rFonts w:cs="Arial"/>
          <w:b/>
          <w:u w:val="single"/>
        </w:rPr>
      </w:pPr>
      <w:r w:rsidRPr="00E24839">
        <w:rPr>
          <w:rFonts w:cs="Arial"/>
          <w:b/>
          <w:u w:val="single"/>
        </w:rPr>
        <w:t>Dedicated Schools Grant 201</w:t>
      </w:r>
      <w:r w:rsidR="00320E9A" w:rsidRPr="00E24839">
        <w:rPr>
          <w:rFonts w:cs="Arial"/>
          <w:b/>
          <w:u w:val="single"/>
        </w:rPr>
        <w:t>7</w:t>
      </w:r>
      <w:r w:rsidRPr="00E24839">
        <w:rPr>
          <w:rFonts w:cs="Arial"/>
          <w:b/>
          <w:u w:val="single"/>
        </w:rPr>
        <w:t>-1</w:t>
      </w:r>
      <w:r w:rsidR="00320E9A" w:rsidRPr="00E24839">
        <w:rPr>
          <w:rFonts w:cs="Arial"/>
          <w:b/>
          <w:u w:val="single"/>
        </w:rPr>
        <w:t>8</w:t>
      </w:r>
      <w:r w:rsidR="009C36F9">
        <w:rPr>
          <w:rFonts w:cs="Arial"/>
          <w:b/>
          <w:u w:val="single"/>
        </w:rPr>
        <w:t xml:space="preserve"> – Forecast Outturn</w:t>
      </w:r>
    </w:p>
    <w:p w14:paraId="4016CE93" w14:textId="77777777" w:rsidR="008E5E22" w:rsidRDefault="008E5E22" w:rsidP="006F49E8">
      <w:pPr>
        <w:ind w:left="709" w:hanging="709"/>
        <w:rPr>
          <w:rFonts w:cs="Arial"/>
        </w:rPr>
      </w:pPr>
    </w:p>
    <w:p w14:paraId="45FFA555" w14:textId="77777777" w:rsidR="00E60F11" w:rsidRDefault="00E60F11" w:rsidP="0019260C">
      <w:pPr>
        <w:ind w:left="709"/>
        <w:rPr>
          <w:rFonts w:cs="Arial"/>
        </w:rPr>
      </w:pPr>
    </w:p>
    <w:p w14:paraId="7B76961A" w14:textId="77777777" w:rsidR="00E60F11" w:rsidRPr="0019260C" w:rsidRDefault="002C1B17" w:rsidP="0019260C">
      <w:pPr>
        <w:ind w:left="709"/>
        <w:rPr>
          <w:rFonts w:cs="Arial"/>
          <w:b/>
          <w:bCs/>
          <w:color w:val="000000"/>
        </w:rPr>
      </w:pPr>
      <w:r w:rsidRPr="0019260C">
        <w:rPr>
          <w:rFonts w:cs="Arial"/>
          <w:b/>
          <w:bCs/>
          <w:color w:val="000000"/>
        </w:rPr>
        <w:t xml:space="preserve">Table </w:t>
      </w:r>
      <w:r w:rsidR="009C36F9" w:rsidRPr="0019260C">
        <w:rPr>
          <w:rFonts w:cs="Arial"/>
          <w:b/>
          <w:bCs/>
          <w:color w:val="000000"/>
        </w:rPr>
        <w:t>1</w:t>
      </w:r>
      <w:r w:rsidRPr="0019260C">
        <w:rPr>
          <w:rFonts w:cs="Arial"/>
          <w:b/>
          <w:bCs/>
          <w:color w:val="000000"/>
        </w:rPr>
        <w:t xml:space="preserve">: </w:t>
      </w:r>
      <w:r w:rsidR="00E60F11" w:rsidRPr="0019260C">
        <w:rPr>
          <w:rFonts w:cs="Arial"/>
          <w:b/>
          <w:bCs/>
          <w:color w:val="000000"/>
        </w:rPr>
        <w:t>Dedicated Schools Grant 2017-18 Forecast Outturn Position after adjustments</w:t>
      </w:r>
    </w:p>
    <w:p w14:paraId="0F6956B0" w14:textId="77777777" w:rsidR="008E5E22" w:rsidRPr="0019260C" w:rsidRDefault="008E5E22" w:rsidP="006F49E8">
      <w:pPr>
        <w:ind w:left="709" w:hanging="709"/>
        <w:rPr>
          <w:rFonts w:cs="Arial"/>
        </w:rPr>
      </w:pPr>
    </w:p>
    <w:tbl>
      <w:tblPr>
        <w:tblW w:w="9356" w:type="dxa"/>
        <w:tblInd w:w="108" w:type="dxa"/>
        <w:tblLook w:val="04A0" w:firstRow="1" w:lastRow="0" w:firstColumn="1" w:lastColumn="0" w:noHBand="0" w:noVBand="1"/>
      </w:tblPr>
      <w:tblGrid>
        <w:gridCol w:w="778"/>
        <w:gridCol w:w="2228"/>
        <w:gridCol w:w="2097"/>
        <w:gridCol w:w="2014"/>
        <w:gridCol w:w="2239"/>
      </w:tblGrid>
      <w:tr w:rsidR="00E60F11" w:rsidRPr="0019260C" w14:paraId="48E74703" w14:textId="77777777" w:rsidTr="0019260C">
        <w:trPr>
          <w:trHeight w:val="820"/>
        </w:trPr>
        <w:tc>
          <w:tcPr>
            <w:tcW w:w="7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2F5F80"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Notes</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14:paraId="4F6F88DE"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 </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14:paraId="04E27E8D"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2017-18 Budget</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001D88CB"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2017-18 Forecast Outturn</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14:paraId="0815959D" w14:textId="77777777" w:rsidR="00CB2F93" w:rsidRPr="0019260C" w:rsidRDefault="00E60F11" w:rsidP="00E60F11">
            <w:pPr>
              <w:jc w:val="center"/>
              <w:rPr>
                <w:rFonts w:cs="Arial"/>
                <w:b/>
                <w:bCs/>
                <w:color w:val="000000"/>
                <w:sz w:val="22"/>
                <w:szCs w:val="22"/>
              </w:rPr>
            </w:pPr>
            <w:r w:rsidRPr="0019260C">
              <w:rPr>
                <w:rFonts w:cs="Arial"/>
                <w:b/>
                <w:bCs/>
                <w:color w:val="000000"/>
                <w:sz w:val="22"/>
                <w:szCs w:val="22"/>
              </w:rPr>
              <w:t>Year End Variance</w:t>
            </w:r>
          </w:p>
          <w:p w14:paraId="3F194E8D" w14:textId="77777777" w:rsidR="00E60F11" w:rsidRPr="0019260C" w:rsidRDefault="00CB2F93" w:rsidP="00E60F11">
            <w:pPr>
              <w:jc w:val="center"/>
              <w:rPr>
                <w:rFonts w:cs="Arial"/>
                <w:b/>
                <w:bCs/>
                <w:color w:val="000000"/>
                <w:sz w:val="22"/>
                <w:szCs w:val="22"/>
              </w:rPr>
            </w:pPr>
            <w:r w:rsidRPr="0019260C">
              <w:rPr>
                <w:rFonts w:cs="Arial"/>
                <w:b/>
                <w:bCs/>
                <w:color w:val="000000"/>
                <w:sz w:val="22"/>
                <w:szCs w:val="22"/>
              </w:rPr>
              <w:t>(underspend) / overspend</w:t>
            </w:r>
          </w:p>
        </w:tc>
      </w:tr>
      <w:tr w:rsidR="00E60F11" w:rsidRPr="0019260C" w14:paraId="657DBD34" w14:textId="77777777" w:rsidTr="0019260C">
        <w:trPr>
          <w:trHeight w:val="310"/>
        </w:trPr>
        <w:tc>
          <w:tcPr>
            <w:tcW w:w="778" w:type="dxa"/>
            <w:tcBorders>
              <w:top w:val="nil"/>
              <w:left w:val="single" w:sz="4" w:space="0" w:color="auto"/>
              <w:bottom w:val="single" w:sz="4" w:space="0" w:color="auto"/>
              <w:right w:val="single" w:sz="4" w:space="0" w:color="auto"/>
            </w:tcBorders>
            <w:shd w:val="clear" w:color="auto" w:fill="auto"/>
            <w:textDirection w:val="btLr"/>
            <w:vAlign w:val="center"/>
            <w:hideMark/>
          </w:tcPr>
          <w:p w14:paraId="6B9C19CD"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 </w:t>
            </w:r>
          </w:p>
        </w:tc>
        <w:tc>
          <w:tcPr>
            <w:tcW w:w="2228" w:type="dxa"/>
            <w:tcBorders>
              <w:top w:val="nil"/>
              <w:left w:val="nil"/>
              <w:bottom w:val="single" w:sz="4" w:space="0" w:color="auto"/>
              <w:right w:val="single" w:sz="4" w:space="0" w:color="auto"/>
            </w:tcBorders>
            <w:shd w:val="clear" w:color="auto" w:fill="auto"/>
            <w:vAlign w:val="center"/>
            <w:hideMark/>
          </w:tcPr>
          <w:p w14:paraId="5E96B3E6"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 </w:t>
            </w:r>
          </w:p>
        </w:tc>
        <w:tc>
          <w:tcPr>
            <w:tcW w:w="2097" w:type="dxa"/>
            <w:tcBorders>
              <w:top w:val="nil"/>
              <w:left w:val="nil"/>
              <w:bottom w:val="single" w:sz="4" w:space="0" w:color="auto"/>
              <w:right w:val="single" w:sz="4" w:space="0" w:color="auto"/>
            </w:tcBorders>
            <w:shd w:val="clear" w:color="auto" w:fill="auto"/>
            <w:vAlign w:val="center"/>
            <w:hideMark/>
          </w:tcPr>
          <w:p w14:paraId="56806415"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£’000</w:t>
            </w:r>
          </w:p>
        </w:tc>
        <w:tc>
          <w:tcPr>
            <w:tcW w:w="2014" w:type="dxa"/>
            <w:tcBorders>
              <w:top w:val="nil"/>
              <w:left w:val="nil"/>
              <w:bottom w:val="single" w:sz="4" w:space="0" w:color="auto"/>
              <w:right w:val="single" w:sz="4" w:space="0" w:color="auto"/>
            </w:tcBorders>
            <w:shd w:val="clear" w:color="auto" w:fill="auto"/>
            <w:vAlign w:val="center"/>
            <w:hideMark/>
          </w:tcPr>
          <w:p w14:paraId="168C5831"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£’000</w:t>
            </w:r>
          </w:p>
        </w:tc>
        <w:tc>
          <w:tcPr>
            <w:tcW w:w="2239" w:type="dxa"/>
            <w:tcBorders>
              <w:top w:val="nil"/>
              <w:left w:val="nil"/>
              <w:bottom w:val="single" w:sz="4" w:space="0" w:color="auto"/>
              <w:right w:val="single" w:sz="4" w:space="0" w:color="auto"/>
            </w:tcBorders>
            <w:shd w:val="clear" w:color="auto" w:fill="auto"/>
            <w:vAlign w:val="center"/>
            <w:hideMark/>
          </w:tcPr>
          <w:p w14:paraId="21200C1F"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£’000</w:t>
            </w:r>
          </w:p>
        </w:tc>
      </w:tr>
      <w:tr w:rsidR="00E60F11" w:rsidRPr="0019260C" w14:paraId="0E4D1029" w14:textId="77777777" w:rsidTr="0019260C">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23D059B8" w14:textId="77777777" w:rsidR="00E60F11" w:rsidRPr="0019260C" w:rsidRDefault="00E60F11" w:rsidP="00E60F11">
            <w:pPr>
              <w:jc w:val="center"/>
              <w:rPr>
                <w:rFonts w:cs="Arial"/>
                <w:color w:val="000000"/>
                <w:sz w:val="22"/>
                <w:szCs w:val="22"/>
              </w:rPr>
            </w:pPr>
            <w:r w:rsidRPr="0019260C">
              <w:rPr>
                <w:rFonts w:cs="Arial"/>
                <w:color w:val="000000"/>
                <w:sz w:val="22"/>
                <w:szCs w:val="22"/>
              </w:rPr>
              <w:t>2.2</w:t>
            </w:r>
          </w:p>
        </w:tc>
        <w:tc>
          <w:tcPr>
            <w:tcW w:w="2228" w:type="dxa"/>
            <w:tcBorders>
              <w:top w:val="nil"/>
              <w:left w:val="nil"/>
              <w:bottom w:val="single" w:sz="4" w:space="0" w:color="auto"/>
              <w:right w:val="single" w:sz="4" w:space="0" w:color="auto"/>
            </w:tcBorders>
            <w:shd w:val="clear" w:color="auto" w:fill="auto"/>
            <w:vAlign w:val="center"/>
            <w:hideMark/>
          </w:tcPr>
          <w:p w14:paraId="0B0EBBEB" w14:textId="77777777" w:rsidR="00E60F11" w:rsidRPr="0019260C" w:rsidRDefault="00E60F11" w:rsidP="00E60F11">
            <w:pPr>
              <w:rPr>
                <w:rFonts w:cs="Arial"/>
                <w:color w:val="000000"/>
                <w:sz w:val="22"/>
                <w:szCs w:val="22"/>
              </w:rPr>
            </w:pPr>
            <w:r w:rsidRPr="0019260C">
              <w:rPr>
                <w:rFonts w:cs="Arial"/>
                <w:color w:val="000000"/>
                <w:sz w:val="22"/>
                <w:szCs w:val="22"/>
              </w:rPr>
              <w:t>Early Years Block</w:t>
            </w:r>
          </w:p>
        </w:tc>
        <w:tc>
          <w:tcPr>
            <w:tcW w:w="2097" w:type="dxa"/>
            <w:tcBorders>
              <w:top w:val="nil"/>
              <w:left w:val="nil"/>
              <w:bottom w:val="single" w:sz="4" w:space="0" w:color="auto"/>
              <w:right w:val="single" w:sz="4" w:space="0" w:color="auto"/>
            </w:tcBorders>
            <w:shd w:val="clear" w:color="auto" w:fill="auto"/>
            <w:vAlign w:val="center"/>
            <w:hideMark/>
          </w:tcPr>
          <w:p w14:paraId="4F4BD234" w14:textId="77777777" w:rsidR="00E60F11" w:rsidRPr="0019260C" w:rsidRDefault="00E60F11" w:rsidP="00E60F11">
            <w:pPr>
              <w:jc w:val="right"/>
              <w:rPr>
                <w:rFonts w:cs="Arial"/>
                <w:color w:val="000000"/>
                <w:sz w:val="22"/>
                <w:szCs w:val="22"/>
              </w:rPr>
            </w:pPr>
            <w:r w:rsidRPr="0019260C">
              <w:rPr>
                <w:rFonts w:cs="Arial"/>
                <w:color w:val="000000"/>
                <w:sz w:val="22"/>
                <w:szCs w:val="22"/>
              </w:rPr>
              <w:t xml:space="preserve">            19,681 </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2ACBF8B2" w14:textId="77777777" w:rsidR="00E60F11" w:rsidRPr="0019260C" w:rsidRDefault="00E60F11" w:rsidP="00E60F11">
            <w:pPr>
              <w:jc w:val="right"/>
              <w:rPr>
                <w:rFonts w:cs="Arial"/>
                <w:color w:val="000000"/>
                <w:sz w:val="22"/>
                <w:szCs w:val="22"/>
              </w:rPr>
            </w:pPr>
            <w:r w:rsidRPr="0019260C">
              <w:rPr>
                <w:rFonts w:cs="Arial"/>
                <w:color w:val="000000"/>
                <w:sz w:val="22"/>
                <w:szCs w:val="22"/>
              </w:rPr>
              <w:t xml:space="preserve">           18,836 </w:t>
            </w:r>
          </w:p>
        </w:tc>
        <w:tc>
          <w:tcPr>
            <w:tcW w:w="2239" w:type="dxa"/>
            <w:tcBorders>
              <w:top w:val="nil"/>
              <w:left w:val="nil"/>
              <w:bottom w:val="single" w:sz="4" w:space="0" w:color="auto"/>
              <w:right w:val="single" w:sz="4" w:space="0" w:color="auto"/>
            </w:tcBorders>
            <w:shd w:val="clear" w:color="auto" w:fill="auto"/>
            <w:vAlign w:val="center"/>
            <w:hideMark/>
          </w:tcPr>
          <w:p w14:paraId="6E109C67" w14:textId="77777777" w:rsidR="00E60F11" w:rsidRPr="0019260C" w:rsidRDefault="00E60F11" w:rsidP="00E60F11">
            <w:pPr>
              <w:jc w:val="right"/>
              <w:rPr>
                <w:rFonts w:cs="Arial"/>
                <w:color w:val="000000"/>
                <w:sz w:val="22"/>
                <w:szCs w:val="22"/>
              </w:rPr>
            </w:pPr>
            <w:r w:rsidRPr="0019260C">
              <w:rPr>
                <w:rFonts w:cs="Arial"/>
                <w:color w:val="FF0000"/>
                <w:sz w:val="22"/>
                <w:szCs w:val="22"/>
              </w:rPr>
              <w:t>(845)</w:t>
            </w:r>
          </w:p>
        </w:tc>
      </w:tr>
      <w:tr w:rsidR="00E60F11" w:rsidRPr="009C36F9" w14:paraId="46CC98F4" w14:textId="77777777" w:rsidTr="0019260C">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3D71A85F" w14:textId="77777777" w:rsidR="00E60F11" w:rsidRPr="0019260C" w:rsidRDefault="00E60F11" w:rsidP="00E60F11">
            <w:pPr>
              <w:jc w:val="center"/>
              <w:rPr>
                <w:rFonts w:cs="Arial"/>
                <w:color w:val="000000"/>
                <w:sz w:val="22"/>
                <w:szCs w:val="22"/>
              </w:rPr>
            </w:pPr>
            <w:r w:rsidRPr="0019260C">
              <w:rPr>
                <w:rFonts w:cs="Arial"/>
                <w:color w:val="000000"/>
                <w:sz w:val="22"/>
                <w:szCs w:val="22"/>
              </w:rPr>
              <w:t>2</w:t>
            </w:r>
            <w:r w:rsidR="002B1E30" w:rsidRPr="0019260C">
              <w:rPr>
                <w:rFonts w:cs="Arial"/>
                <w:color w:val="000000"/>
                <w:sz w:val="22"/>
                <w:szCs w:val="22"/>
              </w:rPr>
              <w:t>.3</w:t>
            </w:r>
          </w:p>
        </w:tc>
        <w:tc>
          <w:tcPr>
            <w:tcW w:w="2228" w:type="dxa"/>
            <w:tcBorders>
              <w:top w:val="nil"/>
              <w:left w:val="nil"/>
              <w:bottom w:val="single" w:sz="4" w:space="0" w:color="auto"/>
              <w:right w:val="single" w:sz="4" w:space="0" w:color="auto"/>
            </w:tcBorders>
            <w:shd w:val="clear" w:color="auto" w:fill="auto"/>
            <w:vAlign w:val="center"/>
            <w:hideMark/>
          </w:tcPr>
          <w:p w14:paraId="4C55162F" w14:textId="77777777" w:rsidR="00E60F11" w:rsidRPr="0019260C" w:rsidRDefault="00E60F11" w:rsidP="00E60F11">
            <w:pPr>
              <w:rPr>
                <w:rFonts w:cs="Arial"/>
                <w:color w:val="000000"/>
                <w:sz w:val="22"/>
                <w:szCs w:val="22"/>
              </w:rPr>
            </w:pPr>
            <w:r w:rsidRPr="0019260C">
              <w:rPr>
                <w:rFonts w:cs="Arial"/>
                <w:color w:val="000000"/>
                <w:sz w:val="22"/>
                <w:szCs w:val="22"/>
              </w:rPr>
              <w:t>High Needs Block</w:t>
            </w:r>
          </w:p>
        </w:tc>
        <w:tc>
          <w:tcPr>
            <w:tcW w:w="2097" w:type="dxa"/>
            <w:tcBorders>
              <w:top w:val="nil"/>
              <w:left w:val="nil"/>
              <w:bottom w:val="single" w:sz="4" w:space="0" w:color="auto"/>
              <w:right w:val="single" w:sz="4" w:space="0" w:color="auto"/>
            </w:tcBorders>
            <w:shd w:val="clear" w:color="auto" w:fill="auto"/>
            <w:vAlign w:val="center"/>
            <w:hideMark/>
          </w:tcPr>
          <w:p w14:paraId="7740E276" w14:textId="77777777" w:rsidR="00E60F11" w:rsidRPr="0019260C" w:rsidRDefault="00E60F11" w:rsidP="00E60F11">
            <w:pPr>
              <w:jc w:val="right"/>
              <w:rPr>
                <w:rFonts w:cs="Arial"/>
                <w:color w:val="000000"/>
                <w:sz w:val="22"/>
                <w:szCs w:val="22"/>
              </w:rPr>
            </w:pPr>
            <w:r w:rsidRPr="0019260C">
              <w:rPr>
                <w:rFonts w:cs="Arial"/>
                <w:color w:val="000000"/>
                <w:sz w:val="22"/>
                <w:szCs w:val="22"/>
              </w:rPr>
              <w:t xml:space="preserve">            26,190 </w:t>
            </w:r>
          </w:p>
        </w:tc>
        <w:tc>
          <w:tcPr>
            <w:tcW w:w="2014" w:type="dxa"/>
            <w:tcBorders>
              <w:top w:val="nil"/>
              <w:left w:val="nil"/>
              <w:bottom w:val="single" w:sz="4" w:space="0" w:color="auto"/>
              <w:right w:val="single" w:sz="4" w:space="0" w:color="auto"/>
            </w:tcBorders>
            <w:shd w:val="clear" w:color="auto" w:fill="auto"/>
            <w:vAlign w:val="center"/>
            <w:hideMark/>
          </w:tcPr>
          <w:p w14:paraId="0F3CBD75" w14:textId="07426E40" w:rsidR="00E60F11" w:rsidRPr="0019260C" w:rsidRDefault="00E60F11" w:rsidP="00E60F11">
            <w:pPr>
              <w:jc w:val="right"/>
              <w:rPr>
                <w:rFonts w:cs="Arial"/>
                <w:color w:val="000000"/>
                <w:sz w:val="22"/>
                <w:szCs w:val="22"/>
              </w:rPr>
            </w:pPr>
            <w:r w:rsidRPr="0019260C">
              <w:rPr>
                <w:rFonts w:cs="Arial"/>
                <w:color w:val="000000"/>
                <w:sz w:val="22"/>
                <w:szCs w:val="22"/>
              </w:rPr>
              <w:t xml:space="preserve">           2</w:t>
            </w:r>
            <w:r w:rsidR="000123DC" w:rsidRPr="0019260C">
              <w:rPr>
                <w:rFonts w:cs="Arial"/>
                <w:color w:val="000000"/>
                <w:sz w:val="22"/>
                <w:szCs w:val="22"/>
              </w:rPr>
              <w:t>7,490</w:t>
            </w:r>
            <w:r w:rsidRPr="0019260C">
              <w:rPr>
                <w:rFonts w:cs="Arial"/>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vAlign w:val="center"/>
            <w:hideMark/>
          </w:tcPr>
          <w:p w14:paraId="283CFD42" w14:textId="46061B44" w:rsidR="00E60F11" w:rsidRPr="0019260C" w:rsidRDefault="00E60F11" w:rsidP="00E60F11">
            <w:pPr>
              <w:jc w:val="right"/>
              <w:rPr>
                <w:rFonts w:cs="Arial"/>
                <w:color w:val="000000"/>
                <w:sz w:val="22"/>
                <w:szCs w:val="22"/>
              </w:rPr>
            </w:pPr>
            <w:r w:rsidRPr="0019260C">
              <w:rPr>
                <w:rFonts w:cs="Arial"/>
                <w:color w:val="000000"/>
                <w:sz w:val="22"/>
                <w:szCs w:val="22"/>
              </w:rPr>
              <w:t xml:space="preserve">                </w:t>
            </w:r>
            <w:r w:rsidR="000123DC" w:rsidRPr="0019260C">
              <w:rPr>
                <w:rFonts w:cs="Arial"/>
                <w:color w:val="000000"/>
                <w:sz w:val="22"/>
                <w:szCs w:val="22"/>
              </w:rPr>
              <w:t>1,300</w:t>
            </w:r>
            <w:r w:rsidRPr="0019260C">
              <w:rPr>
                <w:rFonts w:cs="Arial"/>
                <w:color w:val="000000"/>
                <w:sz w:val="22"/>
                <w:szCs w:val="22"/>
              </w:rPr>
              <w:t xml:space="preserve"> </w:t>
            </w:r>
          </w:p>
        </w:tc>
      </w:tr>
      <w:tr w:rsidR="00E60F11" w:rsidRPr="009C36F9" w14:paraId="21EF5D16" w14:textId="77777777" w:rsidTr="0019260C">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3214A986" w14:textId="77777777" w:rsidR="00E60F11" w:rsidRPr="0019260C" w:rsidRDefault="002B1E30" w:rsidP="00E60F11">
            <w:pPr>
              <w:jc w:val="center"/>
              <w:rPr>
                <w:rFonts w:cs="Arial"/>
                <w:color w:val="000000"/>
                <w:sz w:val="22"/>
                <w:szCs w:val="22"/>
              </w:rPr>
            </w:pPr>
            <w:r w:rsidRPr="0019260C">
              <w:rPr>
                <w:rFonts w:cs="Arial"/>
                <w:color w:val="000000"/>
                <w:sz w:val="22"/>
                <w:szCs w:val="22"/>
              </w:rPr>
              <w:t>2.4</w:t>
            </w:r>
          </w:p>
        </w:tc>
        <w:tc>
          <w:tcPr>
            <w:tcW w:w="2228" w:type="dxa"/>
            <w:tcBorders>
              <w:top w:val="nil"/>
              <w:left w:val="nil"/>
              <w:bottom w:val="single" w:sz="4" w:space="0" w:color="auto"/>
              <w:right w:val="single" w:sz="4" w:space="0" w:color="auto"/>
            </w:tcBorders>
            <w:shd w:val="clear" w:color="auto" w:fill="auto"/>
            <w:vAlign w:val="center"/>
            <w:hideMark/>
          </w:tcPr>
          <w:p w14:paraId="5DB84E33" w14:textId="77777777" w:rsidR="00E60F11" w:rsidRPr="0019260C" w:rsidRDefault="00E60F11" w:rsidP="00E60F11">
            <w:pPr>
              <w:rPr>
                <w:rFonts w:cs="Arial"/>
                <w:color w:val="000000"/>
                <w:sz w:val="22"/>
                <w:szCs w:val="22"/>
              </w:rPr>
            </w:pPr>
            <w:r w:rsidRPr="0019260C">
              <w:rPr>
                <w:rFonts w:cs="Arial"/>
                <w:color w:val="000000"/>
                <w:sz w:val="22"/>
                <w:szCs w:val="22"/>
              </w:rPr>
              <w:t>Schools Block</w:t>
            </w:r>
          </w:p>
        </w:tc>
        <w:tc>
          <w:tcPr>
            <w:tcW w:w="2097" w:type="dxa"/>
            <w:tcBorders>
              <w:top w:val="nil"/>
              <w:left w:val="nil"/>
              <w:bottom w:val="single" w:sz="4" w:space="0" w:color="auto"/>
              <w:right w:val="single" w:sz="4" w:space="0" w:color="auto"/>
            </w:tcBorders>
            <w:shd w:val="clear" w:color="auto" w:fill="auto"/>
            <w:vAlign w:val="center"/>
            <w:hideMark/>
          </w:tcPr>
          <w:p w14:paraId="029CD02D" w14:textId="77777777" w:rsidR="00E60F11" w:rsidRPr="0019260C" w:rsidRDefault="00E60F11" w:rsidP="00E60F11">
            <w:pPr>
              <w:jc w:val="right"/>
              <w:rPr>
                <w:rFonts w:cs="Arial"/>
                <w:color w:val="000000"/>
                <w:sz w:val="22"/>
                <w:szCs w:val="22"/>
              </w:rPr>
            </w:pPr>
            <w:r w:rsidRPr="0019260C">
              <w:rPr>
                <w:rFonts w:cs="Arial"/>
                <w:color w:val="000000"/>
                <w:sz w:val="22"/>
                <w:szCs w:val="22"/>
              </w:rPr>
              <w:t xml:space="preserve">          16</w:t>
            </w:r>
            <w:r w:rsidR="00E869BB" w:rsidRPr="0019260C">
              <w:rPr>
                <w:rFonts w:cs="Arial"/>
                <w:color w:val="000000"/>
                <w:sz w:val="22"/>
                <w:szCs w:val="22"/>
              </w:rPr>
              <w:t>5,515</w:t>
            </w:r>
            <w:r w:rsidRPr="0019260C">
              <w:rPr>
                <w:rFonts w:cs="Arial"/>
                <w:color w:val="000000"/>
                <w:sz w:val="22"/>
                <w:szCs w:val="22"/>
              </w:rPr>
              <w:t xml:space="preserve"> </w:t>
            </w:r>
          </w:p>
        </w:tc>
        <w:tc>
          <w:tcPr>
            <w:tcW w:w="2014" w:type="dxa"/>
            <w:tcBorders>
              <w:top w:val="nil"/>
              <w:left w:val="nil"/>
              <w:bottom w:val="single" w:sz="4" w:space="0" w:color="auto"/>
              <w:right w:val="single" w:sz="4" w:space="0" w:color="auto"/>
            </w:tcBorders>
            <w:shd w:val="clear" w:color="auto" w:fill="auto"/>
            <w:vAlign w:val="center"/>
            <w:hideMark/>
          </w:tcPr>
          <w:p w14:paraId="54EAF310" w14:textId="44012CC3" w:rsidR="00E60F11" w:rsidRPr="0019260C" w:rsidRDefault="00E60F11" w:rsidP="00E60F11">
            <w:pPr>
              <w:jc w:val="right"/>
              <w:rPr>
                <w:rFonts w:cs="Arial"/>
                <w:color w:val="000000"/>
                <w:sz w:val="22"/>
                <w:szCs w:val="22"/>
              </w:rPr>
            </w:pPr>
            <w:r w:rsidRPr="0019260C">
              <w:rPr>
                <w:rFonts w:cs="Arial"/>
                <w:color w:val="000000"/>
                <w:sz w:val="22"/>
                <w:szCs w:val="22"/>
              </w:rPr>
              <w:t xml:space="preserve">         </w:t>
            </w:r>
            <w:r w:rsidR="005B2344" w:rsidRPr="0019260C">
              <w:rPr>
                <w:rFonts w:cs="Arial"/>
                <w:color w:val="000000"/>
                <w:sz w:val="22"/>
                <w:szCs w:val="22"/>
              </w:rPr>
              <w:t>16</w:t>
            </w:r>
            <w:r w:rsidR="003369B4" w:rsidRPr="0019260C">
              <w:rPr>
                <w:rFonts w:cs="Arial"/>
                <w:color w:val="000000"/>
                <w:sz w:val="22"/>
                <w:szCs w:val="22"/>
              </w:rPr>
              <w:t>5</w:t>
            </w:r>
            <w:r w:rsidR="00E869BB" w:rsidRPr="0019260C">
              <w:rPr>
                <w:rFonts w:cs="Arial"/>
                <w:color w:val="000000"/>
                <w:sz w:val="22"/>
                <w:szCs w:val="22"/>
              </w:rPr>
              <w:t>,515</w:t>
            </w:r>
            <w:r w:rsidRPr="0019260C">
              <w:rPr>
                <w:rFonts w:cs="Arial"/>
                <w:color w:val="000000"/>
                <w:sz w:val="22"/>
                <w:szCs w:val="22"/>
              </w:rPr>
              <w:t xml:space="preserve"> </w:t>
            </w:r>
          </w:p>
        </w:tc>
        <w:tc>
          <w:tcPr>
            <w:tcW w:w="2239" w:type="dxa"/>
            <w:tcBorders>
              <w:top w:val="nil"/>
              <w:left w:val="nil"/>
              <w:bottom w:val="single" w:sz="4" w:space="0" w:color="auto"/>
              <w:right w:val="single" w:sz="4" w:space="0" w:color="auto"/>
            </w:tcBorders>
            <w:shd w:val="clear" w:color="auto" w:fill="auto"/>
            <w:vAlign w:val="center"/>
            <w:hideMark/>
          </w:tcPr>
          <w:p w14:paraId="547B86CE" w14:textId="77777777" w:rsidR="00E60F11" w:rsidRPr="0019260C" w:rsidRDefault="00E60F11" w:rsidP="00E60F11">
            <w:pPr>
              <w:jc w:val="right"/>
              <w:rPr>
                <w:rFonts w:cs="Arial"/>
                <w:color w:val="000000"/>
                <w:sz w:val="22"/>
                <w:szCs w:val="22"/>
              </w:rPr>
            </w:pPr>
            <w:r w:rsidRPr="0019260C">
              <w:rPr>
                <w:rFonts w:cs="Arial"/>
                <w:color w:val="000000"/>
                <w:sz w:val="22"/>
                <w:szCs w:val="22"/>
              </w:rPr>
              <w:t xml:space="preserve">                   </w:t>
            </w:r>
            <w:r w:rsidR="000B16F3" w:rsidRPr="0019260C">
              <w:rPr>
                <w:rFonts w:cs="Arial"/>
                <w:color w:val="000000"/>
                <w:sz w:val="22"/>
                <w:szCs w:val="22"/>
              </w:rPr>
              <w:t>0</w:t>
            </w:r>
            <w:r w:rsidRPr="0019260C">
              <w:rPr>
                <w:rFonts w:cs="Arial"/>
                <w:color w:val="000000"/>
                <w:sz w:val="22"/>
                <w:szCs w:val="22"/>
              </w:rPr>
              <w:t xml:space="preserve">   </w:t>
            </w:r>
          </w:p>
        </w:tc>
      </w:tr>
      <w:tr w:rsidR="00E60F11" w:rsidRPr="009C36F9" w14:paraId="2C6DDB93" w14:textId="77777777" w:rsidTr="0019260C">
        <w:trPr>
          <w:trHeight w:val="310"/>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76D2DD12" w14:textId="77777777" w:rsidR="00E60F11" w:rsidRPr="0019260C" w:rsidRDefault="00E60F11" w:rsidP="00E60F11">
            <w:pPr>
              <w:jc w:val="center"/>
              <w:rPr>
                <w:rFonts w:cs="Arial"/>
                <w:b/>
                <w:bCs/>
                <w:color w:val="000000"/>
                <w:sz w:val="22"/>
                <w:szCs w:val="22"/>
              </w:rPr>
            </w:pPr>
            <w:r w:rsidRPr="0019260C">
              <w:rPr>
                <w:rFonts w:cs="Arial"/>
                <w:b/>
                <w:bCs/>
                <w:color w:val="000000"/>
                <w:sz w:val="22"/>
                <w:szCs w:val="22"/>
              </w:rPr>
              <w:t> </w:t>
            </w:r>
          </w:p>
        </w:tc>
        <w:tc>
          <w:tcPr>
            <w:tcW w:w="2228" w:type="dxa"/>
            <w:tcBorders>
              <w:top w:val="nil"/>
              <w:left w:val="nil"/>
              <w:bottom w:val="single" w:sz="4" w:space="0" w:color="auto"/>
              <w:right w:val="single" w:sz="4" w:space="0" w:color="auto"/>
            </w:tcBorders>
            <w:shd w:val="clear" w:color="auto" w:fill="auto"/>
            <w:vAlign w:val="center"/>
            <w:hideMark/>
          </w:tcPr>
          <w:p w14:paraId="1277F1B4" w14:textId="77777777" w:rsidR="00E60F11" w:rsidRPr="0019260C" w:rsidRDefault="00E60F11" w:rsidP="00E60F11">
            <w:pPr>
              <w:rPr>
                <w:rFonts w:cs="Arial"/>
                <w:b/>
                <w:bCs/>
                <w:color w:val="000000"/>
                <w:sz w:val="22"/>
                <w:szCs w:val="22"/>
              </w:rPr>
            </w:pPr>
            <w:r w:rsidRPr="0019260C">
              <w:rPr>
                <w:rFonts w:cs="Arial"/>
                <w:b/>
                <w:bCs/>
                <w:color w:val="000000"/>
                <w:sz w:val="22"/>
                <w:szCs w:val="22"/>
              </w:rPr>
              <w:t>TOTAL</w:t>
            </w:r>
          </w:p>
        </w:tc>
        <w:tc>
          <w:tcPr>
            <w:tcW w:w="2097" w:type="dxa"/>
            <w:tcBorders>
              <w:top w:val="nil"/>
              <w:left w:val="nil"/>
              <w:bottom w:val="single" w:sz="4" w:space="0" w:color="auto"/>
              <w:right w:val="single" w:sz="4" w:space="0" w:color="auto"/>
            </w:tcBorders>
            <w:shd w:val="clear" w:color="auto" w:fill="auto"/>
            <w:vAlign w:val="center"/>
            <w:hideMark/>
          </w:tcPr>
          <w:p w14:paraId="1E804B1A" w14:textId="4A8DA36B" w:rsidR="00E60F11" w:rsidRPr="0019260C" w:rsidRDefault="00E60F11" w:rsidP="00E60F11">
            <w:pPr>
              <w:jc w:val="right"/>
              <w:rPr>
                <w:rFonts w:cs="Arial"/>
                <w:b/>
                <w:bCs/>
                <w:color w:val="000000"/>
                <w:sz w:val="22"/>
                <w:szCs w:val="22"/>
              </w:rPr>
            </w:pPr>
            <w:r w:rsidRPr="0019260C">
              <w:rPr>
                <w:rFonts w:cs="Arial"/>
                <w:b/>
                <w:bCs/>
                <w:color w:val="000000"/>
                <w:sz w:val="22"/>
                <w:szCs w:val="22"/>
              </w:rPr>
              <w:t>£</w:t>
            </w:r>
            <w:r w:rsidR="00210E9A" w:rsidRPr="0019260C">
              <w:rPr>
                <w:rFonts w:cs="Arial"/>
                <w:b/>
                <w:bCs/>
                <w:color w:val="000000"/>
                <w:sz w:val="22"/>
                <w:szCs w:val="22"/>
              </w:rPr>
              <w:t>21</w:t>
            </w:r>
            <w:r w:rsidR="000123DC" w:rsidRPr="0019260C">
              <w:rPr>
                <w:rFonts w:cs="Arial"/>
                <w:b/>
                <w:bCs/>
                <w:color w:val="000000"/>
                <w:sz w:val="22"/>
                <w:szCs w:val="22"/>
              </w:rPr>
              <w:t>1,386</w:t>
            </w:r>
          </w:p>
        </w:tc>
        <w:tc>
          <w:tcPr>
            <w:tcW w:w="2014" w:type="dxa"/>
            <w:tcBorders>
              <w:top w:val="nil"/>
              <w:left w:val="nil"/>
              <w:bottom w:val="single" w:sz="4" w:space="0" w:color="auto"/>
              <w:right w:val="single" w:sz="4" w:space="0" w:color="auto"/>
            </w:tcBorders>
            <w:shd w:val="clear" w:color="auto" w:fill="auto"/>
            <w:vAlign w:val="center"/>
            <w:hideMark/>
          </w:tcPr>
          <w:p w14:paraId="3ACDED93" w14:textId="6D7C3DBB" w:rsidR="00E60F11" w:rsidRPr="0019260C" w:rsidRDefault="00E60F11" w:rsidP="00E60F11">
            <w:pPr>
              <w:jc w:val="right"/>
              <w:rPr>
                <w:rFonts w:cs="Arial"/>
                <w:b/>
                <w:bCs/>
                <w:color w:val="000000"/>
                <w:sz w:val="22"/>
                <w:szCs w:val="22"/>
              </w:rPr>
            </w:pPr>
            <w:r w:rsidRPr="0019260C">
              <w:rPr>
                <w:rFonts w:cs="Arial"/>
                <w:b/>
                <w:bCs/>
                <w:color w:val="000000"/>
                <w:sz w:val="22"/>
                <w:szCs w:val="22"/>
              </w:rPr>
              <w:t>£211,</w:t>
            </w:r>
            <w:r w:rsidR="0019260C" w:rsidRPr="0019260C">
              <w:rPr>
                <w:rFonts w:cs="Arial"/>
                <w:b/>
                <w:bCs/>
                <w:color w:val="000000"/>
                <w:sz w:val="22"/>
                <w:szCs w:val="22"/>
              </w:rPr>
              <w:t>841</w:t>
            </w:r>
          </w:p>
        </w:tc>
        <w:tc>
          <w:tcPr>
            <w:tcW w:w="2239" w:type="dxa"/>
            <w:tcBorders>
              <w:top w:val="nil"/>
              <w:left w:val="nil"/>
              <w:bottom w:val="single" w:sz="4" w:space="0" w:color="auto"/>
              <w:right w:val="single" w:sz="4" w:space="0" w:color="auto"/>
            </w:tcBorders>
            <w:shd w:val="clear" w:color="auto" w:fill="auto"/>
            <w:vAlign w:val="center"/>
            <w:hideMark/>
          </w:tcPr>
          <w:p w14:paraId="09200509" w14:textId="00A241CD" w:rsidR="00E60F11" w:rsidRPr="0019260C" w:rsidRDefault="000123DC" w:rsidP="00E60F11">
            <w:pPr>
              <w:jc w:val="right"/>
              <w:rPr>
                <w:rFonts w:cs="Arial"/>
                <w:b/>
                <w:bCs/>
                <w:color w:val="000000"/>
                <w:sz w:val="22"/>
                <w:szCs w:val="22"/>
              </w:rPr>
            </w:pPr>
            <w:r w:rsidRPr="0019260C">
              <w:rPr>
                <w:rFonts w:cs="Arial"/>
                <w:b/>
                <w:bCs/>
                <w:color w:val="000000"/>
                <w:sz w:val="22"/>
                <w:szCs w:val="22"/>
              </w:rPr>
              <w:t>455</w:t>
            </w:r>
          </w:p>
        </w:tc>
      </w:tr>
    </w:tbl>
    <w:p w14:paraId="0D8D5DD0" w14:textId="7CB77DA1" w:rsidR="00E60F11" w:rsidRDefault="00E60F11" w:rsidP="006F49E8">
      <w:pPr>
        <w:ind w:left="709" w:hanging="709"/>
        <w:rPr>
          <w:rFonts w:cs="Arial"/>
          <w:highlight w:val="yellow"/>
        </w:rPr>
      </w:pPr>
    </w:p>
    <w:p w14:paraId="265B7CBB" w14:textId="1ECCD380" w:rsidR="00FD0FA2" w:rsidRDefault="00FD0FA2" w:rsidP="006F49E8">
      <w:pPr>
        <w:ind w:left="709" w:hanging="709"/>
        <w:rPr>
          <w:rFonts w:cs="Arial"/>
          <w:highlight w:val="yellow"/>
        </w:rPr>
      </w:pPr>
    </w:p>
    <w:p w14:paraId="32DA8681" w14:textId="0466D4C4" w:rsidR="00FD0FA2" w:rsidRDefault="00FD0FA2" w:rsidP="006F49E8">
      <w:pPr>
        <w:ind w:left="709" w:hanging="709"/>
        <w:rPr>
          <w:rFonts w:cs="Arial"/>
          <w:highlight w:val="yellow"/>
        </w:rPr>
      </w:pPr>
    </w:p>
    <w:p w14:paraId="77FD04C5" w14:textId="40ACE1CB" w:rsidR="00FD0FA2" w:rsidRDefault="00FD0FA2" w:rsidP="006F49E8">
      <w:pPr>
        <w:ind w:left="709" w:hanging="709"/>
        <w:rPr>
          <w:rFonts w:cs="Arial"/>
          <w:highlight w:val="yellow"/>
        </w:rPr>
      </w:pPr>
    </w:p>
    <w:p w14:paraId="435EF5B3" w14:textId="77777777" w:rsidR="00FD0FA2" w:rsidRPr="009C36F9" w:rsidRDefault="00FD0FA2" w:rsidP="006F49E8">
      <w:pPr>
        <w:ind w:left="709" w:hanging="709"/>
        <w:rPr>
          <w:rFonts w:cs="Arial"/>
          <w:highlight w:val="yellow"/>
        </w:rPr>
      </w:pPr>
    </w:p>
    <w:p w14:paraId="0354AC03" w14:textId="77777777" w:rsidR="00E60F11" w:rsidRPr="009C36F9" w:rsidRDefault="00E60F11" w:rsidP="006F49E8">
      <w:pPr>
        <w:ind w:left="709" w:hanging="709"/>
        <w:rPr>
          <w:rFonts w:cs="Arial"/>
          <w:highlight w:val="yellow"/>
        </w:rPr>
      </w:pPr>
    </w:p>
    <w:p w14:paraId="6257B273" w14:textId="2D26B477" w:rsidR="0011747C" w:rsidRPr="003D4EB9" w:rsidRDefault="00294D66" w:rsidP="0011747C">
      <w:pPr>
        <w:rPr>
          <w:rFonts w:cs="Arial"/>
          <w:b/>
        </w:rPr>
      </w:pPr>
      <w:r w:rsidRPr="003D4EB9">
        <w:rPr>
          <w:rFonts w:cs="Arial"/>
          <w:b/>
        </w:rPr>
        <w:t>2.2</w:t>
      </w:r>
      <w:r w:rsidRPr="003D4EB9">
        <w:rPr>
          <w:rFonts w:cs="Arial"/>
          <w:b/>
        </w:rPr>
        <w:tab/>
      </w:r>
      <w:r w:rsidR="0011747C" w:rsidRPr="003D4EB9">
        <w:rPr>
          <w:rFonts w:cs="Arial"/>
          <w:b/>
        </w:rPr>
        <w:t>Early Years Block</w:t>
      </w:r>
      <w:r w:rsidR="0011747C" w:rsidRPr="003D4EB9">
        <w:rPr>
          <w:rFonts w:cs="Arial"/>
          <w:b/>
        </w:rPr>
        <w:tab/>
      </w:r>
      <w:r w:rsidRPr="003D4EB9">
        <w:rPr>
          <w:rFonts w:cs="Arial"/>
          <w:b/>
        </w:rPr>
        <w:t>is reporting a</w:t>
      </w:r>
      <w:r w:rsidR="00E60F11" w:rsidRPr="003D4EB9">
        <w:rPr>
          <w:rFonts w:cs="Arial"/>
          <w:b/>
        </w:rPr>
        <w:t>n underspend of (</w:t>
      </w:r>
      <w:r w:rsidRPr="003D4EB9">
        <w:rPr>
          <w:rFonts w:cs="Arial"/>
          <w:b/>
        </w:rPr>
        <w:t>£</w:t>
      </w:r>
      <w:r w:rsidR="003D4EB9" w:rsidRPr="003D4EB9">
        <w:rPr>
          <w:rFonts w:cs="Arial"/>
          <w:b/>
        </w:rPr>
        <w:t>845</w:t>
      </w:r>
      <w:r w:rsidR="00E60F11" w:rsidRPr="003D4EB9">
        <w:rPr>
          <w:rFonts w:cs="Arial"/>
          <w:b/>
        </w:rPr>
        <w:t>k)</w:t>
      </w:r>
    </w:p>
    <w:p w14:paraId="5965CAEF" w14:textId="77777777" w:rsidR="00294D66" w:rsidRPr="003D4EB9" w:rsidRDefault="00294D66" w:rsidP="0011747C">
      <w:pPr>
        <w:rPr>
          <w:rFonts w:cs="Arial"/>
        </w:rPr>
      </w:pPr>
    </w:p>
    <w:p w14:paraId="3127058C" w14:textId="745C1833" w:rsidR="00FF7D97" w:rsidRPr="003D4EB9" w:rsidRDefault="00294D66" w:rsidP="0011747C">
      <w:pPr>
        <w:ind w:left="709" w:hanging="709"/>
      </w:pPr>
      <w:r w:rsidRPr="003D4EB9">
        <w:t>2.2.1</w:t>
      </w:r>
      <w:r w:rsidRPr="003D4EB9">
        <w:tab/>
      </w:r>
      <w:r w:rsidR="00E60F11" w:rsidRPr="003D4EB9">
        <w:t xml:space="preserve">There is underspend </w:t>
      </w:r>
      <w:r w:rsidR="0011747C" w:rsidRPr="003D4EB9">
        <w:t xml:space="preserve">relating to </w:t>
      </w:r>
      <w:r w:rsidR="00E60F11" w:rsidRPr="003D4EB9">
        <w:t>2 Year</w:t>
      </w:r>
      <w:r w:rsidR="000C1A29" w:rsidRPr="003D4EB9">
        <w:t xml:space="preserve"> </w:t>
      </w:r>
      <w:r w:rsidR="00E60F11" w:rsidRPr="003D4EB9">
        <w:t xml:space="preserve">Old funding of £775k and an underspend of </w:t>
      </w:r>
      <w:r w:rsidR="00457CF5" w:rsidRPr="003D4EB9">
        <w:t xml:space="preserve">£70k from the Early Years centrally retained budget. </w:t>
      </w:r>
      <w:r w:rsidR="00FF7D97" w:rsidRPr="003D4EB9">
        <w:t>There is a projected underspend on the funding for 3 and 4 year olds</w:t>
      </w:r>
      <w:r w:rsidR="003D4EB9" w:rsidRPr="003D4EB9">
        <w:t>, however t</w:t>
      </w:r>
      <w:r w:rsidR="00FF7D97" w:rsidRPr="003D4EB9">
        <w:t xml:space="preserve">his has not been factored into </w:t>
      </w:r>
      <w:r w:rsidR="00280EC4" w:rsidRPr="003D4EB9">
        <w:t xml:space="preserve">the forecast </w:t>
      </w:r>
      <w:r w:rsidR="00FF7D97" w:rsidRPr="003D4EB9">
        <w:t>as this funding will be adjusted in June 2018 by the DfE. The underspend is as a result of the low take up of the additional 15 hours. There have been issues with families registering on the HMRC website. The Early Years team are embarking on a marketing campaign to encourage take up.</w:t>
      </w:r>
    </w:p>
    <w:p w14:paraId="410C93B7" w14:textId="77777777" w:rsidR="00294D66" w:rsidRPr="003D4EB9" w:rsidRDefault="00294D66" w:rsidP="0011747C">
      <w:pPr>
        <w:ind w:left="709" w:hanging="709"/>
      </w:pPr>
    </w:p>
    <w:p w14:paraId="1A8BB4BD" w14:textId="558DB510" w:rsidR="00294D66" w:rsidRPr="003D4EB9" w:rsidRDefault="00294D66" w:rsidP="00294D66">
      <w:pPr>
        <w:rPr>
          <w:rFonts w:cs="Arial"/>
          <w:b/>
        </w:rPr>
      </w:pPr>
      <w:r w:rsidRPr="003D4EB9">
        <w:t>2.3</w:t>
      </w:r>
      <w:r w:rsidRPr="003D4EB9">
        <w:tab/>
      </w:r>
      <w:r w:rsidRPr="003D4EB9">
        <w:rPr>
          <w:rFonts w:cs="Arial"/>
          <w:b/>
        </w:rPr>
        <w:t>High Needs Block is reporting a</w:t>
      </w:r>
      <w:r w:rsidR="0019260C" w:rsidRPr="003D4EB9">
        <w:rPr>
          <w:rFonts w:cs="Arial"/>
          <w:b/>
        </w:rPr>
        <w:t xml:space="preserve">n adverse </w:t>
      </w:r>
      <w:r w:rsidRPr="003D4EB9">
        <w:rPr>
          <w:rFonts w:cs="Arial"/>
          <w:b/>
        </w:rPr>
        <w:t xml:space="preserve"> variance of </w:t>
      </w:r>
      <w:r w:rsidR="0019260C" w:rsidRPr="003D4EB9">
        <w:rPr>
          <w:rFonts w:cs="Arial"/>
          <w:b/>
        </w:rPr>
        <w:t>£1,300K</w:t>
      </w:r>
    </w:p>
    <w:p w14:paraId="7CA187A7" w14:textId="77777777" w:rsidR="00294D66" w:rsidRPr="009C36F9" w:rsidRDefault="00294D66" w:rsidP="0011747C">
      <w:pPr>
        <w:ind w:left="709" w:hanging="709"/>
        <w:rPr>
          <w:rFonts w:cs="Arial"/>
          <w:b/>
          <w:highlight w:val="yellow"/>
        </w:rPr>
      </w:pPr>
    </w:p>
    <w:p w14:paraId="7741E7EF" w14:textId="77777777" w:rsidR="008C101E" w:rsidRDefault="00294D66" w:rsidP="008C101E">
      <w:pPr>
        <w:ind w:left="720" w:hanging="720"/>
      </w:pPr>
      <w:bookmarkStart w:id="1" w:name="_Hlk502750773"/>
      <w:r w:rsidRPr="003D4EB9">
        <w:t>2.3.1</w:t>
      </w:r>
      <w:r w:rsidRPr="003D4EB9">
        <w:tab/>
      </w:r>
      <w:bookmarkEnd w:id="1"/>
      <w:r w:rsidR="008C101E" w:rsidRPr="003D4EB9">
        <w:t>The High Needs Block is currently forecasting an overspend of £1.3m. Reasons for</w:t>
      </w:r>
      <w:r w:rsidR="008C101E">
        <w:t xml:space="preserve"> this variance is due to:</w:t>
      </w:r>
    </w:p>
    <w:p w14:paraId="366BBB6E" w14:textId="77777777" w:rsidR="008C101E" w:rsidRDefault="008C101E" w:rsidP="008C101E">
      <w:pPr>
        <w:ind w:left="720" w:hanging="720"/>
      </w:pPr>
    </w:p>
    <w:p w14:paraId="5E022B53" w14:textId="77777777" w:rsidR="008C101E" w:rsidRDefault="008C101E" w:rsidP="008C101E">
      <w:pPr>
        <w:pStyle w:val="ListParagraph"/>
        <w:numPr>
          <w:ilvl w:val="0"/>
          <w:numId w:val="21"/>
        </w:numPr>
        <w:contextualSpacing/>
      </w:pPr>
      <w:r>
        <w:t>A projected overspend of £318k from on Alternative Provisions largely due to £102k pressure on Home Tuition Service and £190k for Top for Alternative provision pupils;</w:t>
      </w:r>
    </w:p>
    <w:p w14:paraId="1444EA1E" w14:textId="77777777" w:rsidR="008C101E" w:rsidRDefault="008C101E" w:rsidP="008C101E"/>
    <w:p w14:paraId="32D64802" w14:textId="0A676189" w:rsidR="008C101E" w:rsidRDefault="008C101E" w:rsidP="008C101E">
      <w:pPr>
        <w:pStyle w:val="ListParagraph"/>
        <w:numPr>
          <w:ilvl w:val="0"/>
          <w:numId w:val="21"/>
        </w:numPr>
        <w:contextualSpacing/>
      </w:pPr>
      <w:r>
        <w:t>The primary and secondary school ARPs is forecasting an overspend of £384k</w:t>
      </w:r>
      <w:r w:rsidR="009129B6">
        <w:t xml:space="preserve"> as a result of an increase in demand</w:t>
      </w:r>
      <w:r>
        <w:t>;</w:t>
      </w:r>
    </w:p>
    <w:p w14:paraId="619536A9" w14:textId="77777777" w:rsidR="008C101E" w:rsidRDefault="008C101E" w:rsidP="008C101E">
      <w:pPr>
        <w:pStyle w:val="ListParagraph"/>
      </w:pPr>
    </w:p>
    <w:p w14:paraId="345EEB9B" w14:textId="77777777" w:rsidR="008C101E" w:rsidRDefault="008C101E" w:rsidP="008C101E">
      <w:pPr>
        <w:pStyle w:val="ListParagraph"/>
        <w:numPr>
          <w:ilvl w:val="0"/>
          <w:numId w:val="21"/>
        </w:numPr>
        <w:contextualSpacing/>
      </w:pPr>
      <w:r>
        <w:t>The Primary Respite and 6</w:t>
      </w:r>
      <w:r w:rsidRPr="00D12898">
        <w:rPr>
          <w:vertAlign w:val="superscript"/>
        </w:rPr>
        <w:t>th</w:t>
      </w:r>
      <w:r>
        <w:t xml:space="preserve"> day care is forecasting an underspend of £397k, resulting from the delays in the start of the service;</w:t>
      </w:r>
    </w:p>
    <w:p w14:paraId="3881569A" w14:textId="77777777" w:rsidR="008C101E" w:rsidRDefault="008C101E" w:rsidP="008C101E">
      <w:pPr>
        <w:pStyle w:val="ListParagraph"/>
      </w:pPr>
    </w:p>
    <w:p w14:paraId="54E41BC0" w14:textId="77777777" w:rsidR="008C101E" w:rsidRDefault="008C101E" w:rsidP="008C101E">
      <w:pPr>
        <w:pStyle w:val="ListParagraph"/>
        <w:numPr>
          <w:ilvl w:val="0"/>
          <w:numId w:val="21"/>
        </w:numPr>
        <w:contextualSpacing/>
      </w:pPr>
      <w:r>
        <w:t xml:space="preserve">A £301k underspend on Placement and Out of Borough Top Ups; </w:t>
      </w:r>
    </w:p>
    <w:p w14:paraId="4E096B5E" w14:textId="77777777" w:rsidR="008C101E" w:rsidRDefault="008C101E" w:rsidP="008C101E">
      <w:pPr>
        <w:pStyle w:val="ListParagraph"/>
      </w:pPr>
    </w:p>
    <w:p w14:paraId="5A68CE16" w14:textId="3FEDC193" w:rsidR="008C101E" w:rsidRDefault="008C101E" w:rsidP="008C101E">
      <w:pPr>
        <w:pStyle w:val="ListParagraph"/>
        <w:numPr>
          <w:ilvl w:val="0"/>
          <w:numId w:val="21"/>
        </w:numPr>
        <w:contextualSpacing/>
      </w:pPr>
      <w:r>
        <w:t>The special school Post 16 (Trinity and Barking and Dagenham) is forecasting a projected pressure of £333k</w:t>
      </w:r>
      <w:r w:rsidR="009129B6">
        <w:t>;</w:t>
      </w:r>
    </w:p>
    <w:p w14:paraId="01B71323" w14:textId="77777777" w:rsidR="008C101E" w:rsidRDefault="008C101E" w:rsidP="008C101E"/>
    <w:p w14:paraId="6765E3D4" w14:textId="5BAE7BFC" w:rsidR="008C101E" w:rsidRDefault="008C101E" w:rsidP="008C101E">
      <w:pPr>
        <w:pStyle w:val="ListParagraph"/>
        <w:numPr>
          <w:ilvl w:val="0"/>
          <w:numId w:val="21"/>
        </w:numPr>
        <w:contextualSpacing/>
      </w:pPr>
      <w:r>
        <w:t xml:space="preserve">The special school Pre-16 is forecasting a projected pressure of £454k </w:t>
      </w:r>
      <w:r w:rsidR="009129B6">
        <w:t>as a result of increases in demand;</w:t>
      </w:r>
    </w:p>
    <w:p w14:paraId="4AE22C1C" w14:textId="77777777" w:rsidR="008C101E" w:rsidRDefault="008C101E" w:rsidP="008C101E">
      <w:pPr>
        <w:pStyle w:val="ListParagraph"/>
      </w:pPr>
    </w:p>
    <w:p w14:paraId="61C314D2" w14:textId="77777777" w:rsidR="008C101E" w:rsidRDefault="008C101E" w:rsidP="008C101E">
      <w:pPr>
        <w:pStyle w:val="ListParagraph"/>
        <w:numPr>
          <w:ilvl w:val="0"/>
          <w:numId w:val="21"/>
        </w:numPr>
        <w:contextualSpacing/>
      </w:pPr>
      <w:r>
        <w:t>There is a projected £510k overspend on SEN Contingency (In Borough Top-Ups) due to demographic pressures with an increasing number of pupils with SEN requirements.</w:t>
      </w:r>
    </w:p>
    <w:p w14:paraId="7368B246" w14:textId="6A772135" w:rsidR="00294D66" w:rsidRPr="009C36F9" w:rsidRDefault="00294D66" w:rsidP="008C101E">
      <w:pPr>
        <w:ind w:left="720" w:hanging="720"/>
        <w:rPr>
          <w:rFonts w:cs="Arial"/>
          <w:b/>
          <w:highlight w:val="yellow"/>
        </w:rPr>
      </w:pPr>
    </w:p>
    <w:p w14:paraId="128C162D" w14:textId="77777777" w:rsidR="00294D66" w:rsidRPr="0019260C" w:rsidRDefault="00294D66" w:rsidP="005B2344">
      <w:pPr>
        <w:ind w:left="709" w:hanging="709"/>
        <w:rPr>
          <w:rFonts w:cs="Arial"/>
          <w:b/>
        </w:rPr>
      </w:pPr>
      <w:r w:rsidRPr="003D4EB9">
        <w:rPr>
          <w:rFonts w:cs="Arial"/>
          <w:b/>
        </w:rPr>
        <w:t>2.</w:t>
      </w:r>
      <w:r w:rsidR="002C1B17" w:rsidRPr="003D4EB9">
        <w:rPr>
          <w:rFonts w:cs="Arial"/>
          <w:b/>
        </w:rPr>
        <w:t>4</w:t>
      </w:r>
      <w:r w:rsidRPr="003D4EB9">
        <w:rPr>
          <w:rFonts w:cs="Arial"/>
          <w:b/>
        </w:rPr>
        <w:tab/>
        <w:t xml:space="preserve">Schools Block </w:t>
      </w:r>
      <w:r w:rsidR="00E91AB1" w:rsidRPr="003D4EB9">
        <w:rPr>
          <w:rFonts w:cs="Arial"/>
          <w:b/>
        </w:rPr>
        <w:t>is reporting a breakeven position.</w:t>
      </w:r>
    </w:p>
    <w:p w14:paraId="233B81CF" w14:textId="77777777" w:rsidR="005B2344" w:rsidRPr="0019260C" w:rsidRDefault="005B2344" w:rsidP="005B2344">
      <w:pPr>
        <w:ind w:left="709" w:hanging="709"/>
        <w:rPr>
          <w:rFonts w:cs="Arial"/>
        </w:rPr>
      </w:pPr>
    </w:p>
    <w:p w14:paraId="3CEFA449" w14:textId="639B8E1B" w:rsidR="00EE0E1B" w:rsidRPr="00687B28" w:rsidRDefault="00C34139" w:rsidP="00687B28">
      <w:pPr>
        <w:ind w:left="709" w:hanging="709"/>
        <w:rPr>
          <w:rFonts w:cs="Arial"/>
        </w:rPr>
      </w:pPr>
      <w:r w:rsidRPr="0019260C">
        <w:rPr>
          <w:rFonts w:cs="Arial"/>
        </w:rPr>
        <w:t>2.</w:t>
      </w:r>
      <w:r w:rsidR="005B2344" w:rsidRPr="0019260C">
        <w:rPr>
          <w:rFonts w:cs="Arial"/>
        </w:rPr>
        <w:t>4</w:t>
      </w:r>
      <w:r w:rsidRPr="0019260C">
        <w:rPr>
          <w:rFonts w:cs="Arial"/>
        </w:rPr>
        <w:t>.1</w:t>
      </w:r>
      <w:r w:rsidR="00294D66" w:rsidRPr="00687B28">
        <w:rPr>
          <w:rFonts w:cs="Arial"/>
        </w:rPr>
        <w:tab/>
      </w:r>
      <w:r w:rsidRPr="00687B28">
        <w:rPr>
          <w:rFonts w:cs="Arial"/>
        </w:rPr>
        <w:t>T</w:t>
      </w:r>
      <w:r w:rsidR="005B2344" w:rsidRPr="00687B28">
        <w:rPr>
          <w:rFonts w:cs="Arial"/>
        </w:rPr>
        <w:t xml:space="preserve">he Schools Block is reporting </w:t>
      </w:r>
      <w:r w:rsidR="000B16F3" w:rsidRPr="00687B28">
        <w:rPr>
          <w:rFonts w:cs="Arial"/>
        </w:rPr>
        <w:t>a</w:t>
      </w:r>
      <w:r w:rsidR="006A029C" w:rsidRPr="00687B28">
        <w:rPr>
          <w:rFonts w:cs="Arial"/>
        </w:rPr>
        <w:t xml:space="preserve"> </w:t>
      </w:r>
      <w:r w:rsidR="000B16F3" w:rsidRPr="00687B28">
        <w:rPr>
          <w:rFonts w:cs="Arial"/>
        </w:rPr>
        <w:t xml:space="preserve">break-even position. </w:t>
      </w:r>
      <w:r w:rsidR="008E0BD2" w:rsidRPr="00687B28">
        <w:rPr>
          <w:rFonts w:cs="Arial"/>
        </w:rPr>
        <w:t xml:space="preserve"> </w:t>
      </w:r>
      <w:r w:rsidR="00E91AB1" w:rsidRPr="00687B28">
        <w:rPr>
          <w:rFonts w:cs="Arial"/>
        </w:rPr>
        <w:t>This is the net effect of the following movements.</w:t>
      </w:r>
      <w:r w:rsidR="006A029C" w:rsidRPr="00687B28">
        <w:rPr>
          <w:rFonts w:cs="Arial"/>
        </w:rPr>
        <w:t xml:space="preserve"> </w:t>
      </w:r>
      <w:r w:rsidR="00E91AB1" w:rsidRPr="00687B28">
        <w:rPr>
          <w:rFonts w:cs="Arial"/>
        </w:rPr>
        <w:t>The growth fund is reporting an</w:t>
      </w:r>
      <w:r w:rsidR="006A029C" w:rsidRPr="00687B28">
        <w:rPr>
          <w:rFonts w:cs="Arial"/>
        </w:rPr>
        <w:t xml:space="preserve"> </w:t>
      </w:r>
      <w:r w:rsidR="008E0BD2" w:rsidRPr="00687B28">
        <w:rPr>
          <w:rFonts w:cs="Arial"/>
        </w:rPr>
        <w:t xml:space="preserve">underspend of </w:t>
      </w:r>
      <w:r w:rsidR="006A029C" w:rsidRPr="00687B28">
        <w:rPr>
          <w:rFonts w:cs="Arial"/>
        </w:rPr>
        <w:t>£3</w:t>
      </w:r>
      <w:r w:rsidR="00687B28" w:rsidRPr="00687B28">
        <w:rPr>
          <w:rFonts w:cs="Arial"/>
        </w:rPr>
        <w:t>21</w:t>
      </w:r>
      <w:r w:rsidR="006A029C" w:rsidRPr="00687B28">
        <w:rPr>
          <w:rFonts w:cs="Arial"/>
        </w:rPr>
        <w:t>K as a result</w:t>
      </w:r>
      <w:r w:rsidR="00687B28" w:rsidRPr="00687B28">
        <w:rPr>
          <w:rFonts w:cs="Arial"/>
        </w:rPr>
        <w:t xml:space="preserve"> of</w:t>
      </w:r>
      <w:r w:rsidR="006A029C" w:rsidRPr="00687B28">
        <w:rPr>
          <w:rFonts w:cs="Arial"/>
        </w:rPr>
        <w:t xml:space="preserve"> less than anticipated need to fund in-year growth. </w:t>
      </w:r>
      <w:r w:rsidR="00687B28" w:rsidRPr="00687B28">
        <w:t xml:space="preserve"> This takes into account £65K of contribution to support additional growth at Barking Abbey.</w:t>
      </w:r>
      <w:r w:rsidR="006A029C" w:rsidRPr="00687B28">
        <w:rPr>
          <w:rFonts w:cs="Arial"/>
        </w:rPr>
        <w:t xml:space="preserve"> </w:t>
      </w:r>
      <w:r w:rsidR="00687B28" w:rsidRPr="00687B28">
        <w:rPr>
          <w:rFonts w:cs="Arial"/>
        </w:rPr>
        <w:t xml:space="preserve">The underspend on growth fund is being offset by pressures elsewhere.  </w:t>
      </w:r>
      <w:r w:rsidR="00E91AB1" w:rsidRPr="00687B28">
        <w:rPr>
          <w:rFonts w:cs="Arial"/>
        </w:rPr>
        <w:t xml:space="preserve">The </w:t>
      </w:r>
      <w:r w:rsidR="006A029C" w:rsidRPr="00687B28">
        <w:rPr>
          <w:rFonts w:cs="Arial"/>
        </w:rPr>
        <w:t xml:space="preserve">2016/17 </w:t>
      </w:r>
      <w:r w:rsidR="00224ACC" w:rsidRPr="00687B28">
        <w:rPr>
          <w:rFonts w:cs="Arial"/>
        </w:rPr>
        <w:t xml:space="preserve">£173K </w:t>
      </w:r>
      <w:r w:rsidR="006A029C" w:rsidRPr="00687B28">
        <w:rPr>
          <w:rFonts w:cs="Arial"/>
        </w:rPr>
        <w:t>Year</w:t>
      </w:r>
      <w:r w:rsidR="00D560A1" w:rsidRPr="00687B28">
        <w:rPr>
          <w:rFonts w:cs="Arial"/>
        </w:rPr>
        <w:t xml:space="preserve"> </w:t>
      </w:r>
      <w:r w:rsidR="006A029C" w:rsidRPr="00687B28">
        <w:rPr>
          <w:rFonts w:cs="Arial"/>
        </w:rPr>
        <w:t xml:space="preserve">7 Catch Up funding </w:t>
      </w:r>
      <w:r w:rsidR="00224ACC" w:rsidRPr="00687B28">
        <w:rPr>
          <w:rFonts w:cs="Arial"/>
        </w:rPr>
        <w:t>were paid to</w:t>
      </w:r>
      <w:r w:rsidR="006A029C" w:rsidRPr="00687B28">
        <w:rPr>
          <w:rFonts w:cs="Arial"/>
        </w:rPr>
        <w:t xml:space="preserve"> schools in 2017/18 </w:t>
      </w:r>
      <w:r w:rsidR="00224ACC" w:rsidRPr="00687B28">
        <w:rPr>
          <w:rFonts w:cs="Arial"/>
        </w:rPr>
        <w:t xml:space="preserve">but </w:t>
      </w:r>
      <w:r w:rsidR="00687B28" w:rsidRPr="00687B28">
        <w:rPr>
          <w:rFonts w:cs="Arial"/>
        </w:rPr>
        <w:t>the corresponding grant income was</w:t>
      </w:r>
      <w:r w:rsidR="00224ACC" w:rsidRPr="00687B28">
        <w:rPr>
          <w:rFonts w:cs="Arial"/>
        </w:rPr>
        <w:t xml:space="preserve"> </w:t>
      </w:r>
      <w:r w:rsidR="006A029C" w:rsidRPr="00687B28">
        <w:rPr>
          <w:rFonts w:cs="Arial"/>
        </w:rPr>
        <w:t>previously reported as part of the DSG carry forward</w:t>
      </w:r>
      <w:r w:rsidR="00687B28" w:rsidRPr="00687B28">
        <w:rPr>
          <w:rFonts w:cs="Arial"/>
        </w:rPr>
        <w:t xml:space="preserve"> </w:t>
      </w:r>
      <w:r w:rsidR="00E91AB1" w:rsidRPr="00687B28">
        <w:rPr>
          <w:rFonts w:cs="Arial"/>
        </w:rPr>
        <w:t xml:space="preserve">but is now met from in-year resources.  </w:t>
      </w:r>
      <w:r w:rsidR="00224ACC" w:rsidRPr="00687B28">
        <w:rPr>
          <w:rFonts w:cs="Arial"/>
        </w:rPr>
        <w:t xml:space="preserve">There were </w:t>
      </w:r>
      <w:r w:rsidR="00687B28" w:rsidRPr="00687B28">
        <w:rPr>
          <w:rFonts w:cs="Arial"/>
        </w:rPr>
        <w:t xml:space="preserve">also </w:t>
      </w:r>
      <w:r w:rsidR="00224ACC" w:rsidRPr="00687B28">
        <w:rPr>
          <w:rFonts w:cs="Arial"/>
        </w:rPr>
        <w:t xml:space="preserve">other </w:t>
      </w:r>
      <w:r w:rsidR="00687B28" w:rsidRPr="00687B28">
        <w:rPr>
          <w:rFonts w:cs="Arial"/>
        </w:rPr>
        <w:t xml:space="preserve">miscellaneous unbudgeted </w:t>
      </w:r>
      <w:r w:rsidR="00224ACC" w:rsidRPr="00687B28">
        <w:rPr>
          <w:rFonts w:cs="Arial"/>
        </w:rPr>
        <w:t>costs</w:t>
      </w:r>
      <w:r w:rsidR="006A029C" w:rsidRPr="00687B28">
        <w:rPr>
          <w:rFonts w:cs="Arial"/>
        </w:rPr>
        <w:t xml:space="preserve"> </w:t>
      </w:r>
      <w:r w:rsidR="00E91AB1" w:rsidRPr="00687B28">
        <w:rPr>
          <w:rFonts w:cs="Arial"/>
        </w:rPr>
        <w:t xml:space="preserve">including </w:t>
      </w:r>
      <w:r w:rsidR="00687B28" w:rsidRPr="00687B28">
        <w:rPr>
          <w:rFonts w:cs="Arial"/>
        </w:rPr>
        <w:t>in-year rates adjustments</w:t>
      </w:r>
      <w:r w:rsidR="00E91AB1" w:rsidRPr="00687B28">
        <w:rPr>
          <w:rFonts w:cs="Arial"/>
        </w:rPr>
        <w:t>.</w:t>
      </w:r>
    </w:p>
    <w:p w14:paraId="507E664D" w14:textId="77777777" w:rsidR="00C34139" w:rsidRPr="00F7660F" w:rsidRDefault="00C34139" w:rsidP="00C34139">
      <w:pPr>
        <w:ind w:left="709" w:hanging="709"/>
        <w:rPr>
          <w:rFonts w:cs="Arial"/>
          <w:highlight w:val="green"/>
        </w:rPr>
      </w:pPr>
    </w:p>
    <w:p w14:paraId="1C277363" w14:textId="77777777" w:rsidR="00C34139" w:rsidRDefault="00C34139" w:rsidP="00294D66">
      <w:pPr>
        <w:ind w:left="1429" w:hanging="709"/>
        <w:rPr>
          <w:rFonts w:cs="Arial"/>
        </w:rPr>
      </w:pPr>
    </w:p>
    <w:p w14:paraId="30826785" w14:textId="77777777" w:rsidR="002201F0" w:rsidRPr="008D40E0" w:rsidRDefault="009C36F9" w:rsidP="00411851">
      <w:pPr>
        <w:pStyle w:val="ListParagraph"/>
        <w:numPr>
          <w:ilvl w:val="0"/>
          <w:numId w:val="2"/>
        </w:numPr>
        <w:rPr>
          <w:rFonts w:cs="Arial"/>
          <w:b/>
          <w:u w:val="single"/>
        </w:rPr>
      </w:pPr>
      <w:r>
        <w:rPr>
          <w:rFonts w:cs="Arial"/>
          <w:b/>
          <w:u w:val="single"/>
        </w:rPr>
        <w:t>Schools Facing Financial Difficulty Update</w:t>
      </w:r>
      <w:r w:rsidR="00765F1B" w:rsidRPr="008D40E0">
        <w:rPr>
          <w:rFonts w:cs="Arial"/>
          <w:b/>
          <w:u w:val="single"/>
        </w:rPr>
        <w:t xml:space="preserve"> </w:t>
      </w:r>
    </w:p>
    <w:p w14:paraId="15CA28E5" w14:textId="77777777" w:rsidR="00C6714F" w:rsidRDefault="00C6714F" w:rsidP="00C6714F">
      <w:pPr>
        <w:ind w:left="709" w:hanging="709"/>
        <w:rPr>
          <w:rFonts w:cs="Arial"/>
        </w:rPr>
      </w:pPr>
    </w:p>
    <w:p w14:paraId="078F88ED" w14:textId="77777777" w:rsidR="00D47F51" w:rsidRPr="003D4EB9" w:rsidRDefault="00F416AE" w:rsidP="00D47F51">
      <w:pPr>
        <w:ind w:left="709" w:hanging="709"/>
        <w:jc w:val="both"/>
        <w:rPr>
          <w:rFonts w:cs="Arial"/>
        </w:rPr>
      </w:pPr>
      <w:r w:rsidRPr="003D4EB9">
        <w:rPr>
          <w:rFonts w:cs="Arial"/>
        </w:rPr>
        <w:t>3.1</w:t>
      </w:r>
      <w:r w:rsidRPr="003D4EB9">
        <w:rPr>
          <w:rFonts w:cs="Arial"/>
        </w:rPr>
        <w:tab/>
      </w:r>
      <w:r w:rsidR="00D47F51" w:rsidRPr="003D4EB9">
        <w:rPr>
          <w:rFonts w:cs="Arial"/>
        </w:rPr>
        <w:t>No formal requests have been made. Appendix A provides the support provided and repayments made.</w:t>
      </w:r>
    </w:p>
    <w:p w14:paraId="28849443" w14:textId="77777777" w:rsidR="00D47F51" w:rsidRPr="003D4EB9" w:rsidRDefault="00D47F51" w:rsidP="00D47F51">
      <w:pPr>
        <w:ind w:left="709" w:hanging="709"/>
        <w:jc w:val="both"/>
        <w:rPr>
          <w:rFonts w:cs="Arial"/>
        </w:rPr>
      </w:pPr>
    </w:p>
    <w:p w14:paraId="01388F9B" w14:textId="5A96F635" w:rsidR="00067F01" w:rsidRPr="003D4EB9" w:rsidRDefault="00D47F51" w:rsidP="00067F01">
      <w:pPr>
        <w:ind w:left="720" w:hanging="720"/>
      </w:pPr>
      <w:r w:rsidRPr="003D4EB9">
        <w:t>3.2</w:t>
      </w:r>
      <w:r w:rsidRPr="003D4EB9">
        <w:tab/>
      </w:r>
      <w:r w:rsidR="00067F01" w:rsidRPr="003D4EB9">
        <w:t xml:space="preserve">The 2017-18 in-year </w:t>
      </w:r>
      <w:r w:rsidR="00147B39" w:rsidRPr="003D4EB9">
        <w:t>loan repayments of</w:t>
      </w:r>
      <w:r w:rsidR="00067F01" w:rsidRPr="003D4EB9">
        <w:t xml:space="preserve"> </w:t>
      </w:r>
      <w:r w:rsidR="00AB2D4D" w:rsidRPr="003D4EB9">
        <w:t>£443K</w:t>
      </w:r>
      <w:r w:rsidR="00147B39" w:rsidRPr="003D4EB9">
        <w:t xml:space="preserve"> </w:t>
      </w:r>
      <w:r w:rsidR="00067F01" w:rsidRPr="003D4EB9">
        <w:t xml:space="preserve"> – taking into account the 16/17 brought forward balance of £</w:t>
      </w:r>
      <w:r w:rsidR="0077541B">
        <w:t>147</w:t>
      </w:r>
      <w:r w:rsidR="00147B39" w:rsidRPr="003D4EB9">
        <w:t>K. T</w:t>
      </w:r>
      <w:r w:rsidR="00067F01" w:rsidRPr="003D4EB9">
        <w:t>he overall position on the contingency will be a surplus of £</w:t>
      </w:r>
      <w:r w:rsidR="0077541B">
        <w:t>590</w:t>
      </w:r>
      <w:r w:rsidR="00147B39" w:rsidRPr="003D4EB9">
        <w:t>K</w:t>
      </w:r>
      <w:r w:rsidR="00067F01" w:rsidRPr="003D4EB9">
        <w:t>.</w:t>
      </w:r>
      <w:r w:rsidR="00034204" w:rsidRPr="003D4EB9">
        <w:t xml:space="preserve"> There have been delays in payment from Eastbury Primary School.</w:t>
      </w:r>
      <w:r w:rsidR="00122E68" w:rsidRPr="003D4EB9">
        <w:t xml:space="preserve">  Barking Abbey were awarded additional growth fund monies to cover exceptional in year growth and have agreed to use this to make a further repayment against their loan.  </w:t>
      </w:r>
    </w:p>
    <w:p w14:paraId="71E9E8CD" w14:textId="77777777" w:rsidR="00067F01" w:rsidRPr="003D4EB9" w:rsidRDefault="00067F01" w:rsidP="00067F01">
      <w:pPr>
        <w:ind w:left="720" w:hanging="720"/>
      </w:pPr>
    </w:p>
    <w:p w14:paraId="3594E2DB" w14:textId="77777777" w:rsidR="00F416AE" w:rsidRPr="00F416AE" w:rsidRDefault="00F416AE" w:rsidP="00F416AE">
      <w:pPr>
        <w:ind w:left="720" w:hanging="720"/>
        <w:rPr>
          <w:rFonts w:cs="Arial"/>
        </w:rPr>
      </w:pPr>
    </w:p>
    <w:p w14:paraId="2BCFBD9B" w14:textId="77777777" w:rsidR="00F416AE" w:rsidRPr="006B62D5" w:rsidRDefault="0035103D" w:rsidP="0035103D">
      <w:pPr>
        <w:pStyle w:val="ListParagraph"/>
        <w:numPr>
          <w:ilvl w:val="0"/>
          <w:numId w:val="2"/>
        </w:numPr>
        <w:jc w:val="both"/>
        <w:rPr>
          <w:rFonts w:cs="Arial"/>
          <w:b/>
        </w:rPr>
      </w:pPr>
      <w:r w:rsidRPr="006B62D5">
        <w:rPr>
          <w:rFonts w:cs="Arial"/>
          <w:b/>
        </w:rPr>
        <w:t>Falling Rolls</w:t>
      </w:r>
    </w:p>
    <w:p w14:paraId="5BA9B92D" w14:textId="77777777" w:rsidR="0035103D" w:rsidRDefault="0035103D" w:rsidP="0035103D">
      <w:pPr>
        <w:jc w:val="both"/>
        <w:rPr>
          <w:rFonts w:cs="Arial"/>
        </w:rPr>
      </w:pPr>
    </w:p>
    <w:p w14:paraId="4D563E95" w14:textId="64247976" w:rsidR="009129B6" w:rsidRDefault="009129B6" w:rsidP="009129B6">
      <w:pPr>
        <w:ind w:left="720" w:hanging="720"/>
      </w:pPr>
      <w:r>
        <w:t>4.1</w:t>
      </w:r>
      <w:r>
        <w:tab/>
      </w:r>
      <w:r w:rsidR="0068027C" w:rsidRPr="00034204">
        <w:t xml:space="preserve">Schools Forum recommended that a </w:t>
      </w:r>
      <w:r w:rsidR="00357988" w:rsidRPr="00034204">
        <w:t xml:space="preserve">sub group </w:t>
      </w:r>
      <w:r w:rsidR="0068027C" w:rsidRPr="00034204">
        <w:t>meet to consider the issues faced by schools experiencing falling rolls. Meetings of this sub group have taken place since January 2018. Scott Halliwell (chair of this sub group) will pr</w:t>
      </w:r>
      <w:r>
        <w:t xml:space="preserve">ovide a verbal update to </w:t>
      </w:r>
      <w:r w:rsidR="0068027C" w:rsidRPr="00034204">
        <w:t xml:space="preserve">Schools Forum on </w:t>
      </w:r>
      <w:r>
        <w:t xml:space="preserve">areas discussed and issues identified by </w:t>
      </w:r>
      <w:r w:rsidR="0068027C" w:rsidRPr="00034204">
        <w:t xml:space="preserve">schools </w:t>
      </w:r>
      <w:r w:rsidR="00BE608F">
        <w:t>e</w:t>
      </w:r>
      <w:r w:rsidR="0068027C" w:rsidRPr="00034204">
        <w:t xml:space="preserve">ffected </w:t>
      </w:r>
      <w:r>
        <w:t>by falling rolls</w:t>
      </w:r>
      <w:r w:rsidR="00CF072C" w:rsidRPr="00034204">
        <w:t xml:space="preserve">. </w:t>
      </w:r>
    </w:p>
    <w:p w14:paraId="3A06E1D8" w14:textId="6192733A" w:rsidR="009129B6" w:rsidRDefault="009129B6" w:rsidP="009129B6"/>
    <w:p w14:paraId="4A5B67F0" w14:textId="68C50176" w:rsidR="009129B6" w:rsidRDefault="009129B6" w:rsidP="00F55768">
      <w:pPr>
        <w:ind w:left="720" w:hanging="720"/>
      </w:pPr>
      <w:r>
        <w:t>4.2</w:t>
      </w:r>
      <w:r>
        <w:tab/>
      </w:r>
      <w:r w:rsidR="00F55768">
        <w:t>It is proposed that the best approach to dealing with the situation of falling rolls is to prepare a strategic plan of implementing a temporary reduction in PAN. This will inform the admissions for 2019/20 (using October 2018 census). However, it is acknowledged that there is an immediate need for support for 2018/19. It is proposed that limited financial support be provided to schools who have exceptional circumstances, until the strategic plan is developed.</w:t>
      </w:r>
    </w:p>
    <w:p w14:paraId="68D5F477" w14:textId="731068F2" w:rsidR="00F55768" w:rsidRDefault="00F55768" w:rsidP="00F55768">
      <w:pPr>
        <w:ind w:left="720" w:hanging="720"/>
      </w:pPr>
    </w:p>
    <w:p w14:paraId="57970572" w14:textId="1698A32D" w:rsidR="00F55768" w:rsidRDefault="00F55768" w:rsidP="00F55768">
      <w:pPr>
        <w:ind w:left="720" w:hanging="720"/>
      </w:pPr>
      <w:r>
        <w:t>4.3</w:t>
      </w:r>
      <w:r>
        <w:tab/>
        <w:t>It is recommended that a report be presented by the sub-group at Schools Forum in June 2018</w:t>
      </w:r>
      <w:r w:rsidR="002E5490">
        <w:t>. This will establish the criteria to be used when allocating limited funding from the Schools Facing Financial Difficulty Reserve. It is proposed that this would be a one off grant rather than a loan</w:t>
      </w:r>
    </w:p>
    <w:p w14:paraId="04735B7D" w14:textId="77777777" w:rsidR="002E5490" w:rsidRDefault="002E5490" w:rsidP="00F55768">
      <w:pPr>
        <w:ind w:left="720" w:hanging="720"/>
      </w:pPr>
    </w:p>
    <w:p w14:paraId="5CD5C5A1" w14:textId="742AB7BF" w:rsidR="002E5490" w:rsidRPr="006C1C9A" w:rsidRDefault="002E5490" w:rsidP="006C1C9A">
      <w:pPr>
        <w:pBdr>
          <w:top w:val="single" w:sz="4" w:space="1" w:color="auto"/>
          <w:left w:val="single" w:sz="4" w:space="4" w:color="auto"/>
          <w:bottom w:val="single" w:sz="4" w:space="1" w:color="auto"/>
          <w:right w:val="single" w:sz="4" w:space="4" w:color="auto"/>
        </w:pBdr>
        <w:ind w:left="720"/>
        <w:rPr>
          <w:b/>
          <w:i/>
        </w:rPr>
      </w:pPr>
      <w:r w:rsidRPr="006C1C9A">
        <w:rPr>
          <w:b/>
          <w:i/>
        </w:rPr>
        <w:t>Decision</w:t>
      </w:r>
      <w:r w:rsidR="006C1C9A" w:rsidRPr="006C1C9A">
        <w:rPr>
          <w:b/>
          <w:i/>
        </w:rPr>
        <w:t>:</w:t>
      </w:r>
      <w:r w:rsidRPr="006C1C9A">
        <w:rPr>
          <w:b/>
          <w:i/>
        </w:rPr>
        <w:t xml:space="preserve"> </w:t>
      </w:r>
      <w:r w:rsidR="006C1C9A" w:rsidRPr="006C1C9A">
        <w:rPr>
          <w:rFonts w:cs="Arial"/>
          <w:b/>
          <w:i/>
        </w:rPr>
        <w:t xml:space="preserve">Schools Forum are asked to approve limited funding support for falling rolls from the SFFD fund. This would be </w:t>
      </w:r>
      <w:r w:rsidRPr="006C1C9A">
        <w:rPr>
          <w:b/>
          <w:i/>
        </w:rPr>
        <w:t>via a one off grant</w:t>
      </w:r>
      <w:r w:rsidR="006C1C9A" w:rsidRPr="006C1C9A">
        <w:rPr>
          <w:b/>
          <w:i/>
        </w:rPr>
        <w:t>.</w:t>
      </w:r>
    </w:p>
    <w:p w14:paraId="27853182" w14:textId="77777777" w:rsidR="0068027C" w:rsidRPr="0068027C" w:rsidRDefault="0068027C" w:rsidP="0068027C">
      <w:pPr>
        <w:jc w:val="both"/>
        <w:rPr>
          <w:rFonts w:cs="Arial"/>
        </w:rPr>
      </w:pPr>
    </w:p>
    <w:p w14:paraId="3BC90299" w14:textId="1E61C8EC" w:rsidR="0035103D" w:rsidRPr="00034204" w:rsidRDefault="00034204" w:rsidP="00034204">
      <w:pPr>
        <w:ind w:left="720" w:hanging="720"/>
      </w:pPr>
      <w:r>
        <w:t>4.</w:t>
      </w:r>
      <w:r w:rsidR="002E5490">
        <w:t>4</w:t>
      </w:r>
      <w:r>
        <w:tab/>
      </w:r>
      <w:r w:rsidR="002E5490">
        <w:t>For information, t</w:t>
      </w:r>
      <w:r w:rsidR="00CF072C" w:rsidRPr="00034204">
        <w:t>he D</w:t>
      </w:r>
      <w:r w:rsidR="00D560A1" w:rsidRPr="00034204">
        <w:t xml:space="preserve">epartment for Education regulations specify that </w:t>
      </w:r>
      <w:r w:rsidR="006B62D5" w:rsidRPr="00034204">
        <w:t xml:space="preserve">Local Authorities may topslice the DSG in order to create a fund to support good schools with falling rolls where </w:t>
      </w:r>
      <w:r w:rsidR="006B62D5" w:rsidRPr="00AE6678">
        <w:rPr>
          <w:b/>
        </w:rPr>
        <w:t>local planning data show that surplus places will be needed in the near future.</w:t>
      </w:r>
      <w:r w:rsidR="006B62D5" w:rsidRPr="00034204">
        <w:t xml:space="preserve"> </w:t>
      </w:r>
      <w:r w:rsidR="00D560A1" w:rsidRPr="00034204">
        <w:t>They state that c</w:t>
      </w:r>
      <w:r w:rsidR="006B62D5" w:rsidRPr="00034204">
        <w:t>riteria for allocating falling rolls funding should contain clear objective trigger points for qualification and a clear formula for calculating allocations.</w:t>
      </w:r>
    </w:p>
    <w:p w14:paraId="29756E2B" w14:textId="77777777" w:rsidR="006B62D5" w:rsidRDefault="006B62D5" w:rsidP="006B62D5">
      <w:pPr>
        <w:jc w:val="both"/>
        <w:rPr>
          <w:rFonts w:cs="Arial"/>
        </w:rPr>
      </w:pPr>
    </w:p>
    <w:p w14:paraId="19101F25" w14:textId="444648E2" w:rsidR="006B62D5" w:rsidRPr="00B63C58" w:rsidRDefault="00034204" w:rsidP="00B63C58">
      <w:pPr>
        <w:ind w:left="720" w:hanging="720"/>
      </w:pPr>
      <w:r w:rsidRPr="00B63C58">
        <w:t>4.</w:t>
      </w:r>
      <w:r w:rsidR="002E5490">
        <w:t>5</w:t>
      </w:r>
      <w:r w:rsidRPr="00B63C58">
        <w:tab/>
      </w:r>
      <w:r w:rsidR="006B62D5" w:rsidRPr="00B63C58">
        <w:t xml:space="preserve">Compliant criteria </w:t>
      </w:r>
      <w:r w:rsidR="00A63AF4" w:rsidRPr="00B63C58">
        <w:t xml:space="preserve">for a falling rolls fund </w:t>
      </w:r>
      <w:r w:rsidR="006B62D5" w:rsidRPr="00B63C58">
        <w:t>would generally include some of the features below:</w:t>
      </w:r>
    </w:p>
    <w:p w14:paraId="1A8798C6" w14:textId="77777777" w:rsidR="006B62D5" w:rsidRDefault="006B62D5" w:rsidP="006B62D5">
      <w:pPr>
        <w:jc w:val="both"/>
        <w:rPr>
          <w:rFonts w:cs="Arial"/>
        </w:rPr>
      </w:pPr>
    </w:p>
    <w:p w14:paraId="5EFC9E99" w14:textId="4916DBC4" w:rsidR="006B62D5" w:rsidRPr="003D4EB9" w:rsidRDefault="006B62D5" w:rsidP="00A63AF4">
      <w:pPr>
        <w:pStyle w:val="ListParagraph"/>
        <w:numPr>
          <w:ilvl w:val="0"/>
          <w:numId w:val="18"/>
        </w:numPr>
        <w:jc w:val="both"/>
        <w:rPr>
          <w:rFonts w:cs="Arial"/>
        </w:rPr>
      </w:pPr>
      <w:r w:rsidRPr="00A63AF4">
        <w:rPr>
          <w:rFonts w:cs="Arial"/>
        </w:rPr>
        <w:t>Support is available only for schools judged good or outstanding at their last Ofsted inspection (this is a mandatory requirement</w:t>
      </w:r>
      <w:r w:rsidR="00D560A1" w:rsidRPr="00A63AF4">
        <w:rPr>
          <w:rFonts w:cs="Arial"/>
        </w:rPr>
        <w:t xml:space="preserve"> from the DfE</w:t>
      </w:r>
      <w:r w:rsidRPr="00A63AF4">
        <w:rPr>
          <w:rFonts w:cs="Arial"/>
        </w:rPr>
        <w:t>)</w:t>
      </w:r>
      <w:r w:rsidR="00A63AF4">
        <w:rPr>
          <w:rFonts w:cs="Arial"/>
        </w:rPr>
        <w:t>;</w:t>
      </w:r>
      <w:r w:rsidR="00122E68">
        <w:rPr>
          <w:rFonts w:cs="Arial"/>
        </w:rPr>
        <w:t xml:space="preserve">  </w:t>
      </w:r>
      <w:r w:rsidR="006C1C9A">
        <w:rPr>
          <w:rFonts w:cs="Arial"/>
        </w:rPr>
        <w:t xml:space="preserve">The percentage of </w:t>
      </w:r>
      <w:r w:rsidR="00122E68" w:rsidRPr="003D4EB9">
        <w:rPr>
          <w:rFonts w:cs="Arial"/>
        </w:rPr>
        <w:t xml:space="preserve">schools in Barking and Dagenham </w:t>
      </w:r>
      <w:r w:rsidR="006C1C9A">
        <w:rPr>
          <w:rFonts w:cs="Arial"/>
        </w:rPr>
        <w:t xml:space="preserve">that would </w:t>
      </w:r>
      <w:r w:rsidR="00122E68" w:rsidRPr="003D4EB9">
        <w:rPr>
          <w:rFonts w:cs="Arial"/>
        </w:rPr>
        <w:t>meet this requirement currently</w:t>
      </w:r>
      <w:r w:rsidR="006C1C9A">
        <w:rPr>
          <w:rFonts w:cs="Arial"/>
        </w:rPr>
        <w:t xml:space="preserve"> will be included in the minutes.</w:t>
      </w:r>
      <w:r w:rsidR="00122E68" w:rsidRPr="003D4EB9">
        <w:rPr>
          <w:rFonts w:cs="Arial"/>
        </w:rPr>
        <w:t xml:space="preserve">  </w:t>
      </w:r>
    </w:p>
    <w:p w14:paraId="1C5D360A" w14:textId="77777777" w:rsidR="00A63AF4" w:rsidRPr="003D4EB9" w:rsidRDefault="00A63AF4" w:rsidP="00A63AF4">
      <w:pPr>
        <w:jc w:val="both"/>
        <w:rPr>
          <w:rFonts w:cs="Arial"/>
        </w:rPr>
      </w:pPr>
    </w:p>
    <w:p w14:paraId="3EEEEB09" w14:textId="77777777" w:rsidR="00A63AF4" w:rsidRDefault="00A63AF4" w:rsidP="00A63AF4">
      <w:pPr>
        <w:pStyle w:val="ListParagraph"/>
        <w:numPr>
          <w:ilvl w:val="0"/>
          <w:numId w:val="18"/>
        </w:numPr>
        <w:jc w:val="both"/>
        <w:rPr>
          <w:rFonts w:cs="Arial"/>
        </w:rPr>
      </w:pPr>
      <w:r>
        <w:rPr>
          <w:rFonts w:cs="Arial"/>
        </w:rPr>
        <w:t>Surplus capacity exceeds an x number of pupils or x% of the published admission number;</w:t>
      </w:r>
    </w:p>
    <w:p w14:paraId="6EBB8418" w14:textId="77777777" w:rsidR="00A63AF4" w:rsidRPr="00A63AF4" w:rsidRDefault="00A63AF4" w:rsidP="00A63AF4">
      <w:pPr>
        <w:pStyle w:val="ListParagraph"/>
        <w:rPr>
          <w:rFonts w:cs="Arial"/>
        </w:rPr>
      </w:pPr>
    </w:p>
    <w:p w14:paraId="2AC78607" w14:textId="77777777" w:rsidR="002618AB" w:rsidRDefault="002618AB" w:rsidP="002618AB">
      <w:pPr>
        <w:pStyle w:val="ListParagraph"/>
        <w:numPr>
          <w:ilvl w:val="0"/>
          <w:numId w:val="18"/>
        </w:numPr>
        <w:jc w:val="both"/>
        <w:rPr>
          <w:rFonts w:cs="Arial"/>
        </w:rPr>
      </w:pPr>
      <w:r w:rsidRPr="002618AB">
        <w:rPr>
          <w:rFonts w:cs="Arial"/>
        </w:rPr>
        <w:t>Formula funding available to the school will not support provision of an appropriate curriculum for the existing cohort</w:t>
      </w:r>
      <w:r>
        <w:rPr>
          <w:rFonts w:cs="Arial"/>
        </w:rPr>
        <w:t>;</w:t>
      </w:r>
    </w:p>
    <w:p w14:paraId="436D9761" w14:textId="77777777" w:rsidR="002618AB" w:rsidRPr="002618AB" w:rsidRDefault="002618AB" w:rsidP="002618AB">
      <w:pPr>
        <w:pStyle w:val="ListParagraph"/>
        <w:rPr>
          <w:rFonts w:cs="Arial"/>
        </w:rPr>
      </w:pPr>
    </w:p>
    <w:p w14:paraId="5E554019" w14:textId="77777777" w:rsidR="002618AB" w:rsidRDefault="002618AB" w:rsidP="002618AB">
      <w:pPr>
        <w:pStyle w:val="ListParagraph"/>
        <w:numPr>
          <w:ilvl w:val="0"/>
          <w:numId w:val="18"/>
        </w:numPr>
        <w:jc w:val="both"/>
        <w:rPr>
          <w:rFonts w:cs="Arial"/>
        </w:rPr>
      </w:pPr>
      <w:r w:rsidRPr="002618AB">
        <w:rPr>
          <w:rFonts w:cs="Arial"/>
        </w:rPr>
        <w:t>The school will need to make redundancies in order to contain spending within its formula budget</w:t>
      </w:r>
      <w:r>
        <w:rPr>
          <w:rFonts w:cs="Arial"/>
        </w:rPr>
        <w:t xml:space="preserve">, only to have to recruit again once </w:t>
      </w:r>
      <w:r w:rsidR="00E906BB">
        <w:rPr>
          <w:rFonts w:cs="Arial"/>
        </w:rPr>
        <w:t>numbers increase again.</w:t>
      </w:r>
    </w:p>
    <w:p w14:paraId="0788F373" w14:textId="77777777" w:rsidR="00AE6678" w:rsidRPr="00AE6678" w:rsidRDefault="00AE6678" w:rsidP="00AE6678">
      <w:pPr>
        <w:pStyle w:val="ListParagraph"/>
        <w:rPr>
          <w:rFonts w:cs="Arial"/>
        </w:rPr>
      </w:pPr>
    </w:p>
    <w:p w14:paraId="2BF039A0" w14:textId="77777777" w:rsidR="00AE6678" w:rsidRPr="002618AB" w:rsidRDefault="00AE6678" w:rsidP="002618AB">
      <w:pPr>
        <w:pStyle w:val="ListParagraph"/>
        <w:numPr>
          <w:ilvl w:val="0"/>
          <w:numId w:val="18"/>
        </w:numPr>
        <w:jc w:val="both"/>
        <w:rPr>
          <w:rFonts w:cs="Arial"/>
        </w:rPr>
      </w:pPr>
      <w:r>
        <w:rPr>
          <w:rFonts w:cs="Arial"/>
        </w:rPr>
        <w:t xml:space="preserve">Other options may include situation where a school is an exceptional circumstance. </w:t>
      </w:r>
    </w:p>
    <w:p w14:paraId="39DF8777" w14:textId="77777777" w:rsidR="00A63AF4" w:rsidRPr="00E906BB" w:rsidRDefault="00A63AF4" w:rsidP="00E906BB">
      <w:pPr>
        <w:pStyle w:val="ListParagraph"/>
        <w:ind w:left="1080"/>
        <w:jc w:val="both"/>
        <w:rPr>
          <w:rFonts w:cs="Arial"/>
        </w:rPr>
      </w:pPr>
    </w:p>
    <w:p w14:paraId="4F5CBFFD" w14:textId="77777777" w:rsidR="002F7D9D" w:rsidRDefault="002F7D9D" w:rsidP="006B62D5">
      <w:pPr>
        <w:jc w:val="both"/>
        <w:rPr>
          <w:rFonts w:cs="Arial"/>
        </w:rPr>
      </w:pPr>
      <w:r>
        <w:rPr>
          <w:rFonts w:cs="Arial"/>
        </w:rPr>
        <w:t xml:space="preserve">  </w:t>
      </w:r>
    </w:p>
    <w:p w14:paraId="0ECD5BD0" w14:textId="3FE912CF" w:rsidR="00743D8E" w:rsidRPr="00743D8E" w:rsidRDefault="006C1C9A" w:rsidP="001E3036">
      <w:pPr>
        <w:pStyle w:val="Default"/>
        <w:rPr>
          <w:b/>
        </w:rPr>
      </w:pPr>
      <w:r>
        <w:rPr>
          <w:b/>
        </w:rPr>
        <w:t>5</w:t>
      </w:r>
      <w:r w:rsidR="004667B4">
        <w:rPr>
          <w:b/>
        </w:rPr>
        <w:t>.</w:t>
      </w:r>
      <w:r w:rsidR="004667B4">
        <w:rPr>
          <w:b/>
        </w:rPr>
        <w:tab/>
      </w:r>
      <w:r w:rsidR="00B63C58">
        <w:rPr>
          <w:b/>
        </w:rPr>
        <w:t>High Needs</w:t>
      </w:r>
      <w:r w:rsidR="00F14731" w:rsidRPr="00743D8E">
        <w:rPr>
          <w:b/>
        </w:rPr>
        <w:t xml:space="preserve"> Block (HNB) </w:t>
      </w:r>
    </w:p>
    <w:p w14:paraId="7747E3C5" w14:textId="77777777" w:rsidR="008C063C" w:rsidRDefault="008C063C" w:rsidP="004667B4">
      <w:pPr>
        <w:ind w:left="720" w:hanging="720"/>
        <w:jc w:val="both"/>
      </w:pPr>
    </w:p>
    <w:p w14:paraId="1BF9F906" w14:textId="2D611F49" w:rsidR="004D2C7A" w:rsidRPr="00B63C58" w:rsidRDefault="006C1C9A" w:rsidP="00B63C58">
      <w:pPr>
        <w:ind w:left="720" w:hanging="720"/>
      </w:pPr>
      <w:r>
        <w:t>5</w:t>
      </w:r>
      <w:r w:rsidR="00B63C58">
        <w:t>.1</w:t>
      </w:r>
      <w:r w:rsidR="00B63C58">
        <w:tab/>
        <w:t xml:space="preserve">The High Needs Working Group met </w:t>
      </w:r>
      <w:r w:rsidR="004D2C7A" w:rsidRPr="00B63C58">
        <w:t xml:space="preserve">on </w:t>
      </w:r>
      <w:r w:rsidR="00B63C58" w:rsidRPr="00B63C58">
        <w:t xml:space="preserve">the </w:t>
      </w:r>
      <w:r w:rsidR="004D2C7A" w:rsidRPr="00B63C58">
        <w:t>8th March and discussed with representatives</w:t>
      </w:r>
      <w:r w:rsidR="00B63C58" w:rsidRPr="00B63C58">
        <w:t xml:space="preserve"> the following:</w:t>
      </w:r>
    </w:p>
    <w:p w14:paraId="5FD329C7" w14:textId="77777777" w:rsidR="00B63C58" w:rsidRPr="00B63C58" w:rsidRDefault="00B63C58" w:rsidP="00B63C58">
      <w:pPr>
        <w:pStyle w:val="ListParagraph"/>
        <w:ind w:left="360"/>
        <w:rPr>
          <w:rFonts w:cs="Arial"/>
        </w:rPr>
      </w:pPr>
    </w:p>
    <w:p w14:paraId="42F6A5E3" w14:textId="77777777" w:rsidR="004D2C7A" w:rsidRDefault="00B63C58" w:rsidP="004D2C7A">
      <w:pPr>
        <w:pStyle w:val="ListParagraph"/>
        <w:numPr>
          <w:ilvl w:val="0"/>
          <w:numId w:val="19"/>
        </w:numPr>
        <w:spacing w:after="160" w:line="259" w:lineRule="auto"/>
        <w:contextualSpacing/>
        <w:rPr>
          <w:rFonts w:cs="Arial"/>
        </w:rPr>
      </w:pPr>
      <w:r>
        <w:rPr>
          <w:rFonts w:cs="Arial"/>
        </w:rPr>
        <w:t xml:space="preserve">A presentation was made by Ronan Fox from </w:t>
      </w:r>
      <w:r w:rsidR="004D2C7A">
        <w:rPr>
          <w:rFonts w:cs="Arial"/>
        </w:rPr>
        <w:t>Health</w:t>
      </w:r>
      <w:r>
        <w:rPr>
          <w:rFonts w:cs="Arial"/>
        </w:rPr>
        <w:t xml:space="preserve">. The current plan was discussed as well as </w:t>
      </w:r>
      <w:r w:rsidR="004D2C7A">
        <w:rPr>
          <w:rFonts w:cs="Arial"/>
        </w:rPr>
        <w:t>issues</w:t>
      </w:r>
      <w:r>
        <w:rPr>
          <w:rFonts w:cs="Arial"/>
        </w:rPr>
        <w:t xml:space="preserve"> faced by Schools</w:t>
      </w:r>
      <w:r w:rsidR="004D2C7A">
        <w:rPr>
          <w:rFonts w:cs="Arial"/>
        </w:rPr>
        <w:t>;</w:t>
      </w:r>
    </w:p>
    <w:p w14:paraId="0B46D334" w14:textId="77777777" w:rsidR="004D2C7A" w:rsidRDefault="004D2C7A" w:rsidP="004D2C7A">
      <w:pPr>
        <w:pStyle w:val="ListParagraph"/>
        <w:numPr>
          <w:ilvl w:val="0"/>
          <w:numId w:val="19"/>
        </w:numPr>
        <w:spacing w:after="160" w:line="259" w:lineRule="auto"/>
        <w:contextualSpacing/>
        <w:rPr>
          <w:rFonts w:cs="Arial"/>
        </w:rPr>
      </w:pPr>
      <w:r>
        <w:rPr>
          <w:rFonts w:cs="Arial"/>
        </w:rPr>
        <w:t>SEND Capital Fund 2018-2021;</w:t>
      </w:r>
    </w:p>
    <w:p w14:paraId="37212E49" w14:textId="77777777" w:rsidR="004D2C7A" w:rsidRDefault="00B63C58" w:rsidP="004D2C7A">
      <w:pPr>
        <w:pStyle w:val="ListParagraph"/>
        <w:numPr>
          <w:ilvl w:val="0"/>
          <w:numId w:val="19"/>
        </w:numPr>
        <w:spacing w:after="160" w:line="259" w:lineRule="auto"/>
        <w:contextualSpacing/>
        <w:rPr>
          <w:rFonts w:cs="Arial"/>
        </w:rPr>
      </w:pPr>
      <w:r>
        <w:rPr>
          <w:rFonts w:cs="Arial"/>
        </w:rPr>
        <w:t>There was an u</w:t>
      </w:r>
      <w:r w:rsidR="004D2C7A">
        <w:rPr>
          <w:rFonts w:cs="Arial"/>
        </w:rPr>
        <w:t>pdate on high cost placements, including out of borough;</w:t>
      </w:r>
    </w:p>
    <w:p w14:paraId="0EF9696F" w14:textId="77777777" w:rsidR="004D2C7A" w:rsidRDefault="00B63C58" w:rsidP="004D2C7A">
      <w:pPr>
        <w:pStyle w:val="ListParagraph"/>
        <w:numPr>
          <w:ilvl w:val="0"/>
          <w:numId w:val="19"/>
        </w:numPr>
        <w:spacing w:after="160" w:line="259" w:lineRule="auto"/>
        <w:contextualSpacing/>
        <w:rPr>
          <w:rFonts w:cs="Arial"/>
        </w:rPr>
      </w:pPr>
      <w:r>
        <w:rPr>
          <w:rFonts w:cs="Arial"/>
        </w:rPr>
        <w:t xml:space="preserve">The </w:t>
      </w:r>
      <w:r w:rsidR="004D2C7A">
        <w:rPr>
          <w:rFonts w:cs="Arial"/>
        </w:rPr>
        <w:t xml:space="preserve">Zero base budget setting </w:t>
      </w:r>
      <w:r>
        <w:rPr>
          <w:rFonts w:cs="Arial"/>
        </w:rPr>
        <w:t xml:space="preserve">exercise was presented </w:t>
      </w:r>
      <w:r w:rsidR="004D2C7A">
        <w:rPr>
          <w:rFonts w:cs="Arial"/>
        </w:rPr>
        <w:t>for 2018/19, and</w:t>
      </w:r>
    </w:p>
    <w:p w14:paraId="114E82AC" w14:textId="77777777" w:rsidR="004D2C7A" w:rsidRDefault="004D2C7A" w:rsidP="004D2C7A">
      <w:pPr>
        <w:pStyle w:val="ListParagraph"/>
        <w:numPr>
          <w:ilvl w:val="0"/>
          <w:numId w:val="19"/>
        </w:numPr>
        <w:spacing w:after="160" w:line="259" w:lineRule="auto"/>
        <w:contextualSpacing/>
        <w:rPr>
          <w:rFonts w:cs="Arial"/>
        </w:rPr>
      </w:pPr>
      <w:r w:rsidRPr="006C1C9A">
        <w:rPr>
          <w:rFonts w:cs="Arial"/>
          <w:b/>
        </w:rPr>
        <w:t xml:space="preserve">2017/18 </w:t>
      </w:r>
      <w:r w:rsidR="00B63C58" w:rsidRPr="006C1C9A">
        <w:rPr>
          <w:rFonts w:cs="Arial"/>
          <w:b/>
        </w:rPr>
        <w:t xml:space="preserve">indicative </w:t>
      </w:r>
      <w:r w:rsidRPr="006C1C9A">
        <w:rPr>
          <w:rFonts w:cs="Arial"/>
          <w:b/>
        </w:rPr>
        <w:t xml:space="preserve">outturn </w:t>
      </w:r>
      <w:r w:rsidR="00B63C58" w:rsidRPr="006C1C9A">
        <w:rPr>
          <w:rFonts w:cs="Arial"/>
          <w:b/>
        </w:rPr>
        <w:t xml:space="preserve">is </w:t>
      </w:r>
      <w:r w:rsidRPr="006C1C9A">
        <w:rPr>
          <w:rFonts w:cs="Arial"/>
          <w:b/>
        </w:rPr>
        <w:t>£1.3m</w:t>
      </w:r>
      <w:r w:rsidRPr="00485423">
        <w:rPr>
          <w:rFonts w:cs="Arial"/>
        </w:rPr>
        <w:t xml:space="preserve"> </w:t>
      </w:r>
      <w:r>
        <w:rPr>
          <w:rFonts w:cs="Arial"/>
        </w:rPr>
        <w:t xml:space="preserve">forecast </w:t>
      </w:r>
      <w:r w:rsidRPr="00485423">
        <w:rPr>
          <w:rFonts w:cs="Arial"/>
        </w:rPr>
        <w:t>overspend within the high needs DSG block and options available for recovery plans both short term and long term.</w:t>
      </w:r>
    </w:p>
    <w:p w14:paraId="609C807E" w14:textId="77777777" w:rsidR="00322068" w:rsidRDefault="00322068" w:rsidP="004D2C7A">
      <w:pPr>
        <w:rPr>
          <w:rFonts w:cs="Arial"/>
          <w:b/>
        </w:rPr>
      </w:pPr>
    </w:p>
    <w:p w14:paraId="15E10D41" w14:textId="475FB29D" w:rsidR="00322068" w:rsidRPr="006C1C9A" w:rsidRDefault="006C1C9A" w:rsidP="00F94BFF">
      <w:pPr>
        <w:ind w:left="720" w:hanging="720"/>
        <w:rPr>
          <w:rFonts w:cs="Arial"/>
        </w:rPr>
      </w:pPr>
      <w:r w:rsidRPr="006C1C9A">
        <w:rPr>
          <w:rFonts w:cs="Arial"/>
        </w:rPr>
        <w:lastRenderedPageBreak/>
        <w:t>5.2</w:t>
      </w:r>
      <w:r w:rsidRPr="006C1C9A">
        <w:rPr>
          <w:rFonts w:cs="Arial"/>
        </w:rPr>
        <w:tab/>
      </w:r>
      <w:r>
        <w:rPr>
          <w:rFonts w:cs="Arial"/>
        </w:rPr>
        <w:t xml:space="preserve">The longer term solution to manage the indicative pressure of £1.3m is to undertake a review of </w:t>
      </w:r>
      <w:r w:rsidR="00F94BFF">
        <w:rPr>
          <w:rFonts w:cs="Arial"/>
        </w:rPr>
        <w:t xml:space="preserve">ARP places, including vacancies, review of external provision and how this can be managed through new provisions currently in the pipeline. There is also continuing work on bringing Out of Borough Placements back to in borough placements to deliver savings. </w:t>
      </w:r>
      <w:r w:rsidR="00CA619C">
        <w:rPr>
          <w:rFonts w:cs="Arial"/>
        </w:rPr>
        <w:t xml:space="preserve">This will deliver savings, but there is also a need to </w:t>
      </w:r>
      <w:r w:rsidR="001A7B87">
        <w:rPr>
          <w:rFonts w:cs="Arial"/>
        </w:rPr>
        <w:t xml:space="preserve">manage </w:t>
      </w:r>
      <w:r w:rsidR="00CA619C">
        <w:rPr>
          <w:rFonts w:cs="Arial"/>
        </w:rPr>
        <w:t xml:space="preserve">pressures arising from demand. </w:t>
      </w:r>
    </w:p>
    <w:p w14:paraId="50CD690F" w14:textId="77777777" w:rsidR="00322068" w:rsidRDefault="00322068" w:rsidP="004D2C7A">
      <w:pPr>
        <w:rPr>
          <w:rFonts w:cs="Arial"/>
          <w:b/>
        </w:rPr>
      </w:pPr>
    </w:p>
    <w:p w14:paraId="0F1870BE" w14:textId="7B3E3AD0" w:rsidR="00CA619C" w:rsidRPr="00CA619C" w:rsidRDefault="00CA619C" w:rsidP="00CA619C">
      <w:pPr>
        <w:ind w:left="720" w:hanging="720"/>
        <w:jc w:val="both"/>
      </w:pPr>
      <w:r w:rsidRPr="00CA619C">
        <w:rPr>
          <w:rFonts w:cs="Arial"/>
        </w:rPr>
        <w:t>5.3</w:t>
      </w:r>
      <w:r w:rsidRPr="00CA619C">
        <w:rPr>
          <w:rFonts w:cs="Arial"/>
        </w:rPr>
        <w:tab/>
      </w:r>
      <w:r>
        <w:rPr>
          <w:rFonts w:cs="Arial"/>
        </w:rPr>
        <w:t xml:space="preserve">However, there is an immediate need to manage this pressure in 2018/19. The proposal at the HNWG was to </w:t>
      </w:r>
      <w:r w:rsidRPr="00CA619C">
        <w:t>deduct 4% from all SEN top-up payments.</w:t>
      </w:r>
      <w:r>
        <w:t xml:space="preserve"> This would be for a period of one year, in the first instance. This then provides time for recommendations from the reviews listed at 5.2 to be considered and implemented. </w:t>
      </w:r>
    </w:p>
    <w:p w14:paraId="55119E8A" w14:textId="4E4DEB82" w:rsidR="00322068" w:rsidRPr="00CA619C" w:rsidRDefault="00322068" w:rsidP="004D2C7A">
      <w:pPr>
        <w:rPr>
          <w:rFonts w:cs="Arial"/>
        </w:rPr>
      </w:pPr>
    </w:p>
    <w:p w14:paraId="01039406" w14:textId="5916D99F" w:rsidR="00CA619C" w:rsidRPr="00AE6678" w:rsidRDefault="00CA619C" w:rsidP="00CA619C">
      <w:pPr>
        <w:pBdr>
          <w:top w:val="single" w:sz="4" w:space="1" w:color="auto"/>
          <w:left w:val="single" w:sz="4" w:space="4" w:color="auto"/>
          <w:bottom w:val="single" w:sz="4" w:space="1" w:color="auto"/>
          <w:right w:val="single" w:sz="4" w:space="4" w:color="auto"/>
        </w:pBdr>
        <w:ind w:left="720"/>
        <w:jc w:val="both"/>
        <w:rPr>
          <w:b/>
          <w:i/>
        </w:rPr>
      </w:pPr>
      <w:r w:rsidRPr="00AE6678">
        <w:rPr>
          <w:b/>
          <w:i/>
        </w:rPr>
        <w:t xml:space="preserve">Decision: Schools Forum are asked to agree to deduct 4% from all SEN </w:t>
      </w:r>
      <w:r>
        <w:rPr>
          <w:b/>
          <w:i/>
        </w:rPr>
        <w:t xml:space="preserve">top-up </w:t>
      </w:r>
      <w:r w:rsidRPr="00AE6678">
        <w:rPr>
          <w:b/>
          <w:i/>
        </w:rPr>
        <w:t>payments</w:t>
      </w:r>
      <w:r>
        <w:rPr>
          <w:b/>
          <w:i/>
        </w:rPr>
        <w:t xml:space="preserve"> for one year only</w:t>
      </w:r>
      <w:r w:rsidRPr="00AE6678">
        <w:rPr>
          <w:b/>
          <w:i/>
        </w:rPr>
        <w:t>.</w:t>
      </w:r>
    </w:p>
    <w:p w14:paraId="21E79879" w14:textId="77777777" w:rsidR="00322068" w:rsidRDefault="00322068" w:rsidP="004D2C7A">
      <w:pPr>
        <w:rPr>
          <w:rFonts w:cs="Arial"/>
          <w:b/>
        </w:rPr>
      </w:pPr>
    </w:p>
    <w:p w14:paraId="0C225FCF" w14:textId="77777777" w:rsidR="00322068" w:rsidRDefault="00322068" w:rsidP="004D2C7A">
      <w:pPr>
        <w:rPr>
          <w:rFonts w:cs="Arial"/>
          <w:b/>
        </w:rPr>
      </w:pPr>
    </w:p>
    <w:p w14:paraId="7D2BD88E" w14:textId="2360C791" w:rsidR="00317452" w:rsidRPr="00456C9A" w:rsidRDefault="00CA619C" w:rsidP="00317452">
      <w:pPr>
        <w:autoSpaceDE w:val="0"/>
        <w:autoSpaceDN w:val="0"/>
        <w:adjustRightInd w:val="0"/>
        <w:rPr>
          <w:rFonts w:cs="Arial"/>
          <w:b/>
          <w:color w:val="000000"/>
        </w:rPr>
      </w:pPr>
      <w:r>
        <w:rPr>
          <w:rFonts w:cs="Arial"/>
          <w:b/>
        </w:rPr>
        <w:t>6</w:t>
      </w:r>
      <w:r w:rsidR="00317452" w:rsidRPr="004667B4">
        <w:rPr>
          <w:rFonts w:cs="Arial"/>
          <w:b/>
        </w:rPr>
        <w:t>.</w:t>
      </w:r>
      <w:r w:rsidR="00317452" w:rsidRPr="004667B4">
        <w:rPr>
          <w:rFonts w:cs="Arial"/>
          <w:b/>
        </w:rPr>
        <w:tab/>
      </w:r>
      <w:r w:rsidR="00B63C58">
        <w:rPr>
          <w:rFonts w:cs="Arial"/>
          <w:b/>
        </w:rPr>
        <w:t xml:space="preserve">Update on </w:t>
      </w:r>
      <w:r w:rsidR="00317452" w:rsidRPr="00456C9A">
        <w:rPr>
          <w:rFonts w:cs="Arial"/>
          <w:b/>
          <w:color w:val="000000"/>
        </w:rPr>
        <w:t>Early Closure of Accounts</w:t>
      </w:r>
    </w:p>
    <w:p w14:paraId="161FB0A8" w14:textId="77777777" w:rsidR="006D786D" w:rsidRPr="00456C9A" w:rsidRDefault="006D786D" w:rsidP="00317452">
      <w:pPr>
        <w:autoSpaceDE w:val="0"/>
        <w:autoSpaceDN w:val="0"/>
        <w:adjustRightInd w:val="0"/>
        <w:rPr>
          <w:rFonts w:cs="Arial"/>
          <w:b/>
        </w:rPr>
      </w:pPr>
    </w:p>
    <w:p w14:paraId="58C8D441" w14:textId="45DB5E53" w:rsidR="006D786D" w:rsidRPr="00456C9A" w:rsidRDefault="00CA619C" w:rsidP="001B7D7D">
      <w:pPr>
        <w:ind w:left="720" w:hanging="720"/>
        <w:rPr>
          <w:rFonts w:cs="Arial"/>
          <w:color w:val="000000"/>
        </w:rPr>
      </w:pPr>
      <w:r>
        <w:rPr>
          <w:rFonts w:cs="Arial"/>
          <w:color w:val="000000"/>
        </w:rPr>
        <w:t>6</w:t>
      </w:r>
      <w:r w:rsidR="00197808">
        <w:rPr>
          <w:rFonts w:cs="Arial"/>
          <w:color w:val="000000"/>
        </w:rPr>
        <w:t>.1</w:t>
      </w:r>
      <w:r w:rsidR="001B7D7D" w:rsidRPr="001B7D7D">
        <w:rPr>
          <w:rFonts w:cs="Arial"/>
          <w:color w:val="000000"/>
        </w:rPr>
        <w:tab/>
      </w:r>
      <w:r w:rsidR="00456C9A" w:rsidRPr="001B7D7D">
        <w:rPr>
          <w:rFonts w:cs="Arial"/>
          <w:color w:val="000000"/>
        </w:rPr>
        <w:t>The</w:t>
      </w:r>
      <w:r w:rsidR="006D786D" w:rsidRPr="00456C9A">
        <w:rPr>
          <w:rFonts w:cs="Arial"/>
          <w:color w:val="000000"/>
        </w:rPr>
        <w:t xml:space="preserve"> Local Authority </w:t>
      </w:r>
      <w:r w:rsidR="00905491">
        <w:rPr>
          <w:rFonts w:cs="Arial"/>
          <w:color w:val="000000"/>
        </w:rPr>
        <w:t xml:space="preserve">has to meet the </w:t>
      </w:r>
      <w:r w:rsidR="00391199">
        <w:rPr>
          <w:rFonts w:cs="Arial"/>
          <w:color w:val="000000"/>
        </w:rPr>
        <w:t xml:space="preserve">early </w:t>
      </w:r>
      <w:r w:rsidR="00905491">
        <w:rPr>
          <w:rFonts w:cs="Arial"/>
          <w:color w:val="000000"/>
        </w:rPr>
        <w:t>statutory deadline for the closure of m</w:t>
      </w:r>
      <w:r w:rsidR="006D786D" w:rsidRPr="00456C9A">
        <w:rPr>
          <w:rFonts w:cs="Arial"/>
          <w:color w:val="000000"/>
        </w:rPr>
        <w:t>aintained schools accounts for 201</w:t>
      </w:r>
      <w:r w:rsidR="00905491">
        <w:rPr>
          <w:rFonts w:cs="Arial"/>
          <w:color w:val="000000"/>
        </w:rPr>
        <w:t>7</w:t>
      </w:r>
      <w:r w:rsidR="006D786D" w:rsidRPr="00456C9A">
        <w:rPr>
          <w:rFonts w:cs="Arial"/>
          <w:color w:val="000000"/>
        </w:rPr>
        <w:t>-1</w:t>
      </w:r>
      <w:r w:rsidR="00905491">
        <w:rPr>
          <w:rFonts w:cs="Arial"/>
          <w:color w:val="000000"/>
        </w:rPr>
        <w:t>8</w:t>
      </w:r>
      <w:r w:rsidR="006D786D" w:rsidRPr="00456C9A">
        <w:rPr>
          <w:rFonts w:cs="Arial"/>
          <w:color w:val="000000"/>
        </w:rPr>
        <w:t xml:space="preserve">. The change is included within The </w:t>
      </w:r>
      <w:r w:rsidR="006D786D" w:rsidRPr="0020083A">
        <w:rPr>
          <w:rFonts w:cs="Arial"/>
          <w:color w:val="000000"/>
        </w:rPr>
        <w:t>Accounts and Audit Regulations 2015</w:t>
      </w:r>
      <w:r w:rsidR="006D786D" w:rsidRPr="00456C9A">
        <w:rPr>
          <w:rFonts w:cs="Arial"/>
          <w:color w:val="000000"/>
        </w:rPr>
        <w:t>, paragraph 10 (1) requiring  authorities and Chief Finance Officers to sign off the accounts by 31 May (</w:t>
      </w:r>
      <w:r w:rsidR="00391199">
        <w:rPr>
          <w:rFonts w:cs="Arial"/>
          <w:color w:val="000000"/>
        </w:rPr>
        <w:t>previously</w:t>
      </w:r>
      <w:r w:rsidR="006D786D" w:rsidRPr="00456C9A">
        <w:rPr>
          <w:rFonts w:cs="Arial"/>
          <w:color w:val="000000"/>
        </w:rPr>
        <w:t xml:space="preserve"> 30 June), subject to Audit. </w:t>
      </w:r>
    </w:p>
    <w:p w14:paraId="2B83966F" w14:textId="77777777" w:rsidR="006D786D" w:rsidRPr="00456C9A" w:rsidRDefault="006D786D" w:rsidP="006D786D">
      <w:pPr>
        <w:rPr>
          <w:rFonts w:cs="Arial"/>
          <w:color w:val="000000"/>
        </w:rPr>
      </w:pPr>
    </w:p>
    <w:p w14:paraId="722EEB79" w14:textId="2151922D" w:rsidR="00B63C58" w:rsidRDefault="00CA619C" w:rsidP="001B7D7D">
      <w:pPr>
        <w:ind w:left="720" w:hanging="720"/>
        <w:rPr>
          <w:rFonts w:cs="Arial"/>
          <w:color w:val="000000"/>
        </w:rPr>
      </w:pPr>
      <w:r>
        <w:rPr>
          <w:rFonts w:cs="Arial"/>
          <w:color w:val="000000"/>
        </w:rPr>
        <w:t>6</w:t>
      </w:r>
      <w:r w:rsidR="00197808">
        <w:rPr>
          <w:rFonts w:cs="Arial"/>
          <w:color w:val="000000"/>
        </w:rPr>
        <w:t>.</w:t>
      </w:r>
      <w:r w:rsidR="00D347A7" w:rsidRPr="00456C9A">
        <w:rPr>
          <w:rFonts w:cs="Arial"/>
          <w:color w:val="000000"/>
        </w:rPr>
        <w:t xml:space="preserve">2 </w:t>
      </w:r>
      <w:r w:rsidR="001B7D7D">
        <w:rPr>
          <w:rFonts w:cs="Arial"/>
          <w:color w:val="000000"/>
        </w:rPr>
        <w:tab/>
      </w:r>
      <w:r w:rsidR="00B63C58">
        <w:rPr>
          <w:rFonts w:cs="Arial"/>
          <w:color w:val="000000"/>
        </w:rPr>
        <w:t>The Schools Finance Team have received all the Quarter 3 returns from all the Non Oracle Schools and are in the process of collating the draft outturn position based on these returns.</w:t>
      </w:r>
    </w:p>
    <w:p w14:paraId="0D0C8848" w14:textId="77777777" w:rsidR="0038769D" w:rsidRDefault="0038769D" w:rsidP="0038769D">
      <w:pPr>
        <w:rPr>
          <w:sz w:val="23"/>
          <w:szCs w:val="23"/>
        </w:rPr>
      </w:pPr>
    </w:p>
    <w:p w14:paraId="34D4E76E" w14:textId="255F0DBD" w:rsidR="00C52505" w:rsidRPr="006D60D1" w:rsidRDefault="00CA619C" w:rsidP="006D60D1">
      <w:pPr>
        <w:autoSpaceDE w:val="0"/>
        <w:autoSpaceDN w:val="0"/>
        <w:adjustRightInd w:val="0"/>
        <w:rPr>
          <w:rFonts w:cs="Arial"/>
          <w:b/>
        </w:rPr>
      </w:pPr>
      <w:r>
        <w:rPr>
          <w:rFonts w:cs="Arial"/>
          <w:b/>
        </w:rPr>
        <w:t>7</w:t>
      </w:r>
      <w:r w:rsidR="006D60D1">
        <w:rPr>
          <w:rFonts w:cs="Arial"/>
          <w:b/>
        </w:rPr>
        <w:t>.</w:t>
      </w:r>
      <w:r w:rsidR="006D60D1">
        <w:rPr>
          <w:rFonts w:cs="Arial"/>
          <w:b/>
        </w:rPr>
        <w:tab/>
      </w:r>
      <w:r w:rsidR="00C52505" w:rsidRPr="006D60D1">
        <w:rPr>
          <w:rFonts w:cs="Arial"/>
          <w:b/>
        </w:rPr>
        <w:t xml:space="preserve">Options Appraisal </w:t>
      </w:r>
    </w:p>
    <w:p w14:paraId="66BF466B" w14:textId="77777777" w:rsidR="00C52505" w:rsidRDefault="00C52505" w:rsidP="001370FE">
      <w:pPr>
        <w:ind w:left="709" w:hanging="709"/>
      </w:pPr>
    </w:p>
    <w:p w14:paraId="52FD6072" w14:textId="49451A4C" w:rsidR="00C52505" w:rsidRPr="00F7237E" w:rsidRDefault="00CA619C" w:rsidP="001370FE">
      <w:pPr>
        <w:ind w:left="709" w:hanging="709"/>
      </w:pPr>
      <w:r>
        <w:t>7</w:t>
      </w:r>
      <w:r w:rsidR="00C52505">
        <w:t>.1</w:t>
      </w:r>
      <w:r w:rsidR="00C43EE1">
        <w:tab/>
      </w:r>
      <w:r w:rsidR="00EA0195">
        <w:t xml:space="preserve">Not applicable.  </w:t>
      </w:r>
    </w:p>
    <w:p w14:paraId="5D69CCA1" w14:textId="77777777" w:rsidR="006B0B04" w:rsidRDefault="006B0B04" w:rsidP="001370FE">
      <w:pPr>
        <w:ind w:left="709" w:hanging="709"/>
        <w:rPr>
          <w:rFonts w:cs="Arial"/>
        </w:rPr>
      </w:pPr>
    </w:p>
    <w:p w14:paraId="3EDC26D0" w14:textId="77777777" w:rsidR="000404CF" w:rsidRDefault="000404CF" w:rsidP="001370FE">
      <w:pPr>
        <w:ind w:left="709" w:hanging="709"/>
        <w:rPr>
          <w:rFonts w:cs="Arial"/>
        </w:rPr>
      </w:pPr>
    </w:p>
    <w:p w14:paraId="1EC9C9BD" w14:textId="7E48169E" w:rsidR="006E145D" w:rsidRPr="002815B1" w:rsidRDefault="00CA619C" w:rsidP="002815B1">
      <w:pPr>
        <w:autoSpaceDE w:val="0"/>
        <w:autoSpaceDN w:val="0"/>
        <w:adjustRightInd w:val="0"/>
        <w:rPr>
          <w:rFonts w:cs="Arial"/>
          <w:b/>
          <w:u w:val="single"/>
        </w:rPr>
      </w:pPr>
      <w:r>
        <w:rPr>
          <w:rFonts w:cs="Arial"/>
          <w:b/>
        </w:rPr>
        <w:t>8</w:t>
      </w:r>
      <w:r w:rsidR="002815B1" w:rsidRPr="002815B1">
        <w:rPr>
          <w:rFonts w:cs="Arial"/>
          <w:b/>
        </w:rPr>
        <w:t>.</w:t>
      </w:r>
      <w:r w:rsidR="002815B1" w:rsidRPr="002815B1">
        <w:rPr>
          <w:rFonts w:cs="Arial"/>
          <w:b/>
        </w:rPr>
        <w:tab/>
      </w:r>
      <w:r w:rsidR="006E145D" w:rsidRPr="002815B1">
        <w:rPr>
          <w:rFonts w:cs="Arial"/>
          <w:b/>
          <w:u w:val="single"/>
        </w:rPr>
        <w:t xml:space="preserve">Consultation </w:t>
      </w:r>
    </w:p>
    <w:p w14:paraId="3E4D18C6" w14:textId="77777777" w:rsidR="00391199" w:rsidRDefault="00391199" w:rsidP="00391199">
      <w:pPr>
        <w:ind w:firstLine="720"/>
        <w:rPr>
          <w:rFonts w:cs="Arial"/>
          <w:b/>
        </w:rPr>
      </w:pPr>
    </w:p>
    <w:p w14:paraId="2EBC37DA" w14:textId="77777777" w:rsidR="006E145D" w:rsidRPr="00391199" w:rsidRDefault="00735987" w:rsidP="00391199">
      <w:pPr>
        <w:ind w:firstLine="720"/>
        <w:rPr>
          <w:rFonts w:cs="Arial"/>
        </w:rPr>
      </w:pPr>
      <w:r w:rsidRPr="00391199">
        <w:rPr>
          <w:rFonts w:cs="Arial"/>
        </w:rPr>
        <w:t>Not applicable.</w:t>
      </w:r>
    </w:p>
    <w:p w14:paraId="05B76A75" w14:textId="77777777" w:rsidR="006E145D" w:rsidRDefault="006E145D" w:rsidP="001370FE">
      <w:pPr>
        <w:autoSpaceDE w:val="0"/>
        <w:autoSpaceDN w:val="0"/>
        <w:adjustRightInd w:val="0"/>
        <w:ind w:left="709" w:hanging="709"/>
        <w:rPr>
          <w:rFonts w:cs="Arial"/>
        </w:rPr>
      </w:pPr>
    </w:p>
    <w:p w14:paraId="687BD02F" w14:textId="30FF1013" w:rsidR="00627CCF" w:rsidRPr="00D347A7" w:rsidRDefault="00CA619C" w:rsidP="000B3C9B">
      <w:pPr>
        <w:autoSpaceDE w:val="0"/>
        <w:autoSpaceDN w:val="0"/>
        <w:adjustRightInd w:val="0"/>
        <w:rPr>
          <w:rFonts w:cs="Arial"/>
          <w:b/>
        </w:rPr>
      </w:pPr>
      <w:r>
        <w:rPr>
          <w:rFonts w:cs="Arial"/>
          <w:b/>
        </w:rPr>
        <w:t>9</w:t>
      </w:r>
      <w:r w:rsidR="000B3C9B" w:rsidRPr="00D347A7">
        <w:rPr>
          <w:rFonts w:cs="Arial"/>
          <w:b/>
        </w:rPr>
        <w:t>.</w:t>
      </w:r>
      <w:r w:rsidR="000B3C9B" w:rsidRPr="00D347A7">
        <w:rPr>
          <w:rFonts w:cs="Arial"/>
          <w:b/>
        </w:rPr>
        <w:tab/>
      </w:r>
      <w:r w:rsidR="00B448CA" w:rsidRPr="00D347A7">
        <w:rPr>
          <w:rFonts w:cs="Arial"/>
          <w:b/>
          <w:u w:val="single"/>
        </w:rPr>
        <w:t>Financial I</w:t>
      </w:r>
      <w:r w:rsidR="006E145D" w:rsidRPr="00D347A7">
        <w:rPr>
          <w:rFonts w:cs="Arial"/>
          <w:b/>
          <w:u w:val="single"/>
        </w:rPr>
        <w:t>mplications</w:t>
      </w:r>
      <w:r w:rsidR="00627CCF" w:rsidRPr="00D347A7">
        <w:rPr>
          <w:rFonts w:cs="Arial"/>
          <w:b/>
        </w:rPr>
        <w:t xml:space="preserve"> </w:t>
      </w:r>
    </w:p>
    <w:p w14:paraId="70EE986D" w14:textId="77777777" w:rsidR="00B448CA" w:rsidRPr="00B448CA" w:rsidRDefault="00B448CA" w:rsidP="001370FE">
      <w:pPr>
        <w:autoSpaceDE w:val="0"/>
        <w:autoSpaceDN w:val="0"/>
        <w:adjustRightInd w:val="0"/>
        <w:ind w:left="709" w:hanging="709"/>
        <w:rPr>
          <w:rFonts w:cs="Arial"/>
        </w:rPr>
      </w:pPr>
    </w:p>
    <w:p w14:paraId="0C5A8962" w14:textId="77777777" w:rsidR="00B448CA" w:rsidRPr="00AE6678" w:rsidRDefault="00A14F53" w:rsidP="00AE6678">
      <w:pPr>
        <w:pStyle w:val="ListParagraph"/>
        <w:rPr>
          <w:rFonts w:cs="Arial"/>
          <w:color w:val="0000FF"/>
        </w:rPr>
      </w:pPr>
      <w:r w:rsidRPr="00AE6678">
        <w:rPr>
          <w:rFonts w:cs="Arial"/>
        </w:rPr>
        <w:t>The School Funding Formula is contained within the Dedicated Schools Grant</w:t>
      </w:r>
    </w:p>
    <w:p w14:paraId="08552AC7" w14:textId="77777777" w:rsidR="00B448CA" w:rsidRDefault="00B448CA" w:rsidP="001370FE">
      <w:pPr>
        <w:autoSpaceDE w:val="0"/>
        <w:autoSpaceDN w:val="0"/>
        <w:adjustRightInd w:val="0"/>
        <w:ind w:left="709" w:hanging="709"/>
        <w:rPr>
          <w:rFonts w:cs="Arial"/>
        </w:rPr>
      </w:pPr>
    </w:p>
    <w:p w14:paraId="4656D448" w14:textId="77777777" w:rsidR="000404CF" w:rsidRDefault="000404CF" w:rsidP="001370FE">
      <w:pPr>
        <w:autoSpaceDE w:val="0"/>
        <w:autoSpaceDN w:val="0"/>
        <w:adjustRightInd w:val="0"/>
        <w:ind w:left="709" w:hanging="709"/>
        <w:rPr>
          <w:rFonts w:cs="Arial"/>
        </w:rPr>
      </w:pPr>
    </w:p>
    <w:p w14:paraId="0C1AACA5" w14:textId="0445A529" w:rsidR="00627CCF" w:rsidRPr="00D347A7" w:rsidRDefault="00CA619C" w:rsidP="000B3C9B">
      <w:pPr>
        <w:autoSpaceDE w:val="0"/>
        <w:autoSpaceDN w:val="0"/>
        <w:adjustRightInd w:val="0"/>
        <w:rPr>
          <w:rFonts w:cs="Arial"/>
          <w:b/>
        </w:rPr>
      </w:pPr>
      <w:r>
        <w:rPr>
          <w:rFonts w:cs="Arial"/>
          <w:b/>
        </w:rPr>
        <w:t>10</w:t>
      </w:r>
      <w:r w:rsidR="000B3C9B" w:rsidRPr="00D347A7">
        <w:rPr>
          <w:rFonts w:cs="Arial"/>
          <w:b/>
        </w:rPr>
        <w:tab/>
      </w:r>
      <w:r w:rsidR="00B448CA" w:rsidRPr="00D347A7">
        <w:rPr>
          <w:rFonts w:cs="Arial"/>
          <w:b/>
          <w:u w:val="single"/>
        </w:rPr>
        <w:t xml:space="preserve">Legal </w:t>
      </w:r>
      <w:r w:rsidR="006E145D" w:rsidRPr="00D347A7">
        <w:rPr>
          <w:rFonts w:cs="Arial"/>
          <w:b/>
          <w:u w:val="single"/>
        </w:rPr>
        <w:t>Implications</w:t>
      </w:r>
      <w:r w:rsidR="006E145D" w:rsidRPr="00D347A7">
        <w:rPr>
          <w:rFonts w:cs="Arial"/>
          <w:b/>
        </w:rPr>
        <w:t xml:space="preserve"> </w:t>
      </w:r>
    </w:p>
    <w:p w14:paraId="765DEB4A" w14:textId="77777777" w:rsidR="007C1C4A" w:rsidRDefault="007C1C4A" w:rsidP="001370FE">
      <w:pPr>
        <w:autoSpaceDE w:val="0"/>
        <w:autoSpaceDN w:val="0"/>
        <w:adjustRightInd w:val="0"/>
        <w:ind w:left="709" w:hanging="709"/>
        <w:rPr>
          <w:rFonts w:cs="Arial"/>
          <w:b/>
        </w:rPr>
      </w:pPr>
    </w:p>
    <w:p w14:paraId="0C185C50" w14:textId="1306FEC4" w:rsidR="00B42641" w:rsidRDefault="00CA619C" w:rsidP="001370FE">
      <w:pPr>
        <w:ind w:left="709" w:hanging="709"/>
        <w:rPr>
          <w:rFonts w:cs="Arial"/>
        </w:rPr>
      </w:pPr>
      <w:r>
        <w:rPr>
          <w:rFonts w:cs="Arial"/>
        </w:rPr>
        <w:t>10.</w:t>
      </w:r>
      <w:r w:rsidR="00197808">
        <w:rPr>
          <w:rFonts w:cs="Arial"/>
        </w:rPr>
        <w:t>1</w:t>
      </w:r>
      <w:r w:rsidR="007C1C4A" w:rsidRPr="00945AC3">
        <w:rPr>
          <w:rFonts w:cs="Arial"/>
        </w:rPr>
        <w:tab/>
      </w:r>
      <w:r w:rsidR="00B42641">
        <w:rPr>
          <w:rFonts w:cs="Arial"/>
        </w:rPr>
        <w:t>The Schools Forums (England) Regulations 2012 govern the</w:t>
      </w:r>
      <w:r w:rsidR="00D804FB">
        <w:rPr>
          <w:rFonts w:cs="Arial"/>
        </w:rPr>
        <w:t xml:space="preserve"> constitution and conduct of meetings of the Forum.  The Schools Finance (England) Regulations 2012 determine those matters on which the Local Authority must or may consult the Schools Forum and those in respect of which the Schools Forum can make decisions.  These Regulations make provision for the financial arrangements of local authorities in relation to the funding of maintained schools and providers of prescribed early years provision in England</w:t>
      </w:r>
      <w:r w:rsidR="00FF0EFC">
        <w:rPr>
          <w:rFonts w:cs="Arial"/>
        </w:rPr>
        <w:t>, for</w:t>
      </w:r>
      <w:r w:rsidR="00D804FB">
        <w:rPr>
          <w:rFonts w:cs="Arial"/>
        </w:rPr>
        <w:t xml:space="preserve"> the financial year 2013/14.  </w:t>
      </w:r>
    </w:p>
    <w:p w14:paraId="1D9A283B" w14:textId="77777777" w:rsidR="0083710B" w:rsidRDefault="0083710B" w:rsidP="001370FE">
      <w:pPr>
        <w:ind w:left="709" w:hanging="709"/>
        <w:rPr>
          <w:rFonts w:cs="Arial"/>
          <w:color w:val="1F497D"/>
        </w:rPr>
      </w:pPr>
    </w:p>
    <w:p w14:paraId="3E0617A1" w14:textId="77777777" w:rsidR="00944FB8" w:rsidRDefault="00944FB8" w:rsidP="001370FE">
      <w:pPr>
        <w:autoSpaceDE w:val="0"/>
        <w:autoSpaceDN w:val="0"/>
        <w:adjustRightInd w:val="0"/>
        <w:ind w:left="709" w:hanging="709"/>
        <w:rPr>
          <w:rFonts w:cs="Arial"/>
          <w:color w:val="000000"/>
        </w:rPr>
      </w:pPr>
    </w:p>
    <w:p w14:paraId="0AC55E2C" w14:textId="3D0A93A0" w:rsidR="003B6610" w:rsidRPr="00FF0EFC" w:rsidRDefault="00CA619C" w:rsidP="000B3C9B">
      <w:pPr>
        <w:autoSpaceDE w:val="0"/>
        <w:autoSpaceDN w:val="0"/>
        <w:adjustRightInd w:val="0"/>
        <w:rPr>
          <w:rFonts w:cs="Arial"/>
          <w:color w:val="000000"/>
          <w:u w:val="single"/>
        </w:rPr>
      </w:pPr>
      <w:r>
        <w:rPr>
          <w:rFonts w:cs="Arial"/>
          <w:b/>
        </w:rPr>
        <w:lastRenderedPageBreak/>
        <w:t>11</w:t>
      </w:r>
      <w:r w:rsidR="000B3C9B">
        <w:rPr>
          <w:rFonts w:cs="Arial"/>
          <w:b/>
        </w:rPr>
        <w:t>.</w:t>
      </w:r>
      <w:r w:rsidR="00B448CA">
        <w:rPr>
          <w:rFonts w:cs="Arial"/>
          <w:b/>
        </w:rPr>
        <w:tab/>
      </w:r>
      <w:r w:rsidR="003B6610" w:rsidRPr="00FF0EFC">
        <w:rPr>
          <w:rFonts w:cs="Arial"/>
          <w:b/>
          <w:u w:val="single"/>
        </w:rPr>
        <w:t>Other Implications</w:t>
      </w:r>
    </w:p>
    <w:p w14:paraId="50BA79ED" w14:textId="77777777" w:rsidR="003B6610" w:rsidRDefault="003B6610" w:rsidP="001370FE">
      <w:pPr>
        <w:autoSpaceDE w:val="0"/>
        <w:autoSpaceDN w:val="0"/>
        <w:adjustRightInd w:val="0"/>
        <w:ind w:left="709" w:hanging="709"/>
        <w:rPr>
          <w:rFonts w:cs="Arial"/>
          <w:color w:val="0000FF"/>
        </w:rPr>
      </w:pPr>
    </w:p>
    <w:p w14:paraId="1CE45EED" w14:textId="77777777" w:rsidR="00B448CA" w:rsidRPr="001102BC" w:rsidRDefault="00B448CA" w:rsidP="00295280">
      <w:pPr>
        <w:numPr>
          <w:ilvl w:val="1"/>
          <w:numId w:val="6"/>
        </w:numPr>
        <w:autoSpaceDE w:val="0"/>
        <w:autoSpaceDN w:val="0"/>
        <w:adjustRightInd w:val="0"/>
        <w:ind w:left="709" w:hanging="709"/>
        <w:rPr>
          <w:rFonts w:cs="Arial"/>
        </w:rPr>
      </w:pPr>
      <w:r>
        <w:rPr>
          <w:rFonts w:cs="Arial"/>
          <w:b/>
        </w:rPr>
        <w:t xml:space="preserve">Risk Management </w:t>
      </w:r>
      <w:r w:rsidR="001102BC">
        <w:rPr>
          <w:rFonts w:cs="Arial"/>
          <w:b/>
        </w:rPr>
        <w:t xml:space="preserve">- </w:t>
      </w:r>
      <w:r w:rsidR="001102BC">
        <w:rPr>
          <w:rFonts w:cs="Arial"/>
        </w:rPr>
        <w:t>None</w:t>
      </w:r>
    </w:p>
    <w:p w14:paraId="001A7E2C" w14:textId="77777777" w:rsidR="000D030E" w:rsidRDefault="000D030E" w:rsidP="001370FE">
      <w:pPr>
        <w:autoSpaceDE w:val="0"/>
        <w:autoSpaceDN w:val="0"/>
        <w:adjustRightInd w:val="0"/>
        <w:ind w:left="709" w:hanging="709"/>
        <w:rPr>
          <w:rFonts w:cs="Arial"/>
        </w:rPr>
      </w:pPr>
    </w:p>
    <w:p w14:paraId="136709D2" w14:textId="77777777" w:rsidR="0046701F" w:rsidRDefault="00B448CA" w:rsidP="00295280">
      <w:pPr>
        <w:numPr>
          <w:ilvl w:val="1"/>
          <w:numId w:val="6"/>
        </w:numPr>
        <w:autoSpaceDE w:val="0"/>
        <w:autoSpaceDN w:val="0"/>
        <w:adjustRightInd w:val="0"/>
        <w:ind w:left="709" w:hanging="709"/>
        <w:rPr>
          <w:rFonts w:cs="Arial"/>
          <w:color w:val="000000" w:themeColor="text1"/>
        </w:rPr>
      </w:pPr>
      <w:r w:rsidRPr="0046701F">
        <w:rPr>
          <w:rFonts w:cs="Arial"/>
          <w:b/>
        </w:rPr>
        <w:t>Contr</w:t>
      </w:r>
      <w:r w:rsidRPr="0046701F">
        <w:rPr>
          <w:rFonts w:cs="Arial"/>
          <w:b/>
          <w:color w:val="000000" w:themeColor="text1"/>
        </w:rPr>
        <w:t>actual Issues</w:t>
      </w:r>
      <w:r w:rsidR="001102BC" w:rsidRPr="0046701F">
        <w:rPr>
          <w:rFonts w:cs="Arial"/>
          <w:color w:val="000000" w:themeColor="text1"/>
        </w:rPr>
        <w:t xml:space="preserve"> - None</w:t>
      </w:r>
      <w:r w:rsidR="002F3F9A" w:rsidRPr="0046701F">
        <w:rPr>
          <w:rFonts w:cs="Arial"/>
          <w:color w:val="000000" w:themeColor="text1"/>
        </w:rPr>
        <w:t xml:space="preserve"> </w:t>
      </w:r>
    </w:p>
    <w:p w14:paraId="72F07ABB" w14:textId="77777777" w:rsidR="0046701F" w:rsidRDefault="0046701F" w:rsidP="0046701F">
      <w:pPr>
        <w:pStyle w:val="ListParagraph"/>
        <w:rPr>
          <w:rFonts w:cs="Arial"/>
        </w:rPr>
      </w:pPr>
    </w:p>
    <w:p w14:paraId="0EA13E0C" w14:textId="77777777" w:rsidR="00B448CA" w:rsidRPr="0046701F" w:rsidRDefault="00B448CA" w:rsidP="00295280">
      <w:pPr>
        <w:numPr>
          <w:ilvl w:val="1"/>
          <w:numId w:val="6"/>
        </w:numPr>
        <w:autoSpaceDE w:val="0"/>
        <w:autoSpaceDN w:val="0"/>
        <w:adjustRightInd w:val="0"/>
        <w:ind w:left="709" w:hanging="709"/>
        <w:rPr>
          <w:rFonts w:cs="Arial"/>
          <w:color w:val="000000" w:themeColor="text1"/>
        </w:rPr>
      </w:pPr>
      <w:r w:rsidRPr="0046701F">
        <w:rPr>
          <w:rFonts w:cs="Arial"/>
          <w:b/>
        </w:rPr>
        <w:t>Staffing Issues</w:t>
      </w:r>
      <w:r w:rsidR="00583A52" w:rsidRPr="0046701F">
        <w:rPr>
          <w:rFonts w:cs="Arial"/>
        </w:rPr>
        <w:t xml:space="preserve"> </w:t>
      </w:r>
      <w:r w:rsidR="007D1D4F" w:rsidRPr="0046701F">
        <w:rPr>
          <w:rFonts w:cs="Arial"/>
        </w:rPr>
        <w:t>– No</w:t>
      </w:r>
      <w:r w:rsidR="001102BC" w:rsidRPr="0046701F">
        <w:rPr>
          <w:rFonts w:cs="Arial"/>
        </w:rPr>
        <w:t>ne</w:t>
      </w:r>
      <w:r w:rsidR="00583A52" w:rsidRPr="0046701F">
        <w:rPr>
          <w:rFonts w:cs="Arial"/>
          <w:color w:val="0000FF"/>
        </w:rPr>
        <w:t xml:space="preserve"> </w:t>
      </w:r>
    </w:p>
    <w:p w14:paraId="5AD5FD71" w14:textId="77777777" w:rsidR="00E86584" w:rsidRDefault="00E86584" w:rsidP="001370FE">
      <w:pPr>
        <w:pStyle w:val="ListParagraph"/>
        <w:ind w:left="709" w:hanging="709"/>
        <w:rPr>
          <w:rFonts w:cs="Arial"/>
        </w:rPr>
      </w:pPr>
    </w:p>
    <w:p w14:paraId="5E68C2E6" w14:textId="77777777" w:rsidR="00B448CA" w:rsidRDefault="00B448CA" w:rsidP="00295280">
      <w:pPr>
        <w:numPr>
          <w:ilvl w:val="1"/>
          <w:numId w:val="6"/>
        </w:numPr>
        <w:autoSpaceDE w:val="0"/>
        <w:autoSpaceDN w:val="0"/>
        <w:adjustRightInd w:val="0"/>
        <w:ind w:left="709" w:hanging="709"/>
        <w:rPr>
          <w:rFonts w:cs="Arial"/>
        </w:rPr>
      </w:pPr>
      <w:r w:rsidRPr="00E86584">
        <w:rPr>
          <w:rFonts w:cs="Arial"/>
          <w:b/>
        </w:rPr>
        <w:t>Customer Impact</w:t>
      </w:r>
      <w:r w:rsidR="001102BC" w:rsidRPr="00E86584">
        <w:rPr>
          <w:rFonts w:cs="Arial"/>
        </w:rPr>
        <w:t xml:space="preserve"> </w:t>
      </w:r>
      <w:r w:rsidR="00E86584">
        <w:rPr>
          <w:rFonts w:cs="Arial"/>
        </w:rPr>
        <w:t>–</w:t>
      </w:r>
      <w:r w:rsidR="001102BC" w:rsidRPr="00E86584">
        <w:rPr>
          <w:rFonts w:cs="Arial"/>
        </w:rPr>
        <w:t xml:space="preserve"> None</w:t>
      </w:r>
    </w:p>
    <w:p w14:paraId="7409CC24" w14:textId="77777777" w:rsidR="00E86584" w:rsidRDefault="00E86584" w:rsidP="001370FE">
      <w:pPr>
        <w:pStyle w:val="ListParagraph"/>
        <w:ind w:left="709" w:hanging="709"/>
        <w:rPr>
          <w:rFonts w:cs="Arial"/>
        </w:rPr>
      </w:pPr>
    </w:p>
    <w:p w14:paraId="36E97212" w14:textId="77777777" w:rsidR="00E86584" w:rsidRDefault="00E86584" w:rsidP="00295280">
      <w:pPr>
        <w:numPr>
          <w:ilvl w:val="1"/>
          <w:numId w:val="6"/>
        </w:numPr>
        <w:autoSpaceDE w:val="0"/>
        <w:autoSpaceDN w:val="0"/>
        <w:adjustRightInd w:val="0"/>
        <w:ind w:left="709" w:hanging="709"/>
        <w:rPr>
          <w:rFonts w:cs="Arial"/>
        </w:rPr>
      </w:pPr>
      <w:r w:rsidRPr="00E86584">
        <w:rPr>
          <w:rFonts w:cs="Arial"/>
          <w:b/>
        </w:rPr>
        <w:t>Safeguarding Children-</w:t>
      </w:r>
      <w:r>
        <w:rPr>
          <w:rFonts w:cs="Arial"/>
        </w:rPr>
        <w:t xml:space="preserve"> None</w:t>
      </w:r>
    </w:p>
    <w:p w14:paraId="34C9F315" w14:textId="77777777" w:rsidR="00E86584" w:rsidRDefault="00E86584" w:rsidP="001370FE">
      <w:pPr>
        <w:pStyle w:val="ListParagraph"/>
        <w:ind w:left="709" w:hanging="709"/>
        <w:rPr>
          <w:rFonts w:cs="Arial"/>
        </w:rPr>
      </w:pPr>
    </w:p>
    <w:p w14:paraId="427F3E9A" w14:textId="77777777" w:rsidR="00E86584" w:rsidRPr="00E86584" w:rsidRDefault="00E86584" w:rsidP="00295280">
      <w:pPr>
        <w:numPr>
          <w:ilvl w:val="1"/>
          <w:numId w:val="6"/>
        </w:numPr>
        <w:autoSpaceDE w:val="0"/>
        <w:autoSpaceDN w:val="0"/>
        <w:adjustRightInd w:val="0"/>
        <w:ind w:left="709" w:hanging="709"/>
        <w:rPr>
          <w:rFonts w:cs="Arial"/>
        </w:rPr>
      </w:pPr>
      <w:r>
        <w:rPr>
          <w:rFonts w:cs="Arial"/>
          <w:b/>
        </w:rPr>
        <w:t>Health Issues</w:t>
      </w:r>
      <w:r>
        <w:rPr>
          <w:rFonts w:cs="Arial"/>
        </w:rPr>
        <w:t xml:space="preserve"> - None</w:t>
      </w:r>
      <w:r>
        <w:rPr>
          <w:rFonts w:cs="Arial"/>
          <w:color w:val="0000FF"/>
        </w:rPr>
        <w:t xml:space="preserve">  </w:t>
      </w:r>
    </w:p>
    <w:p w14:paraId="269168D9" w14:textId="77777777" w:rsidR="00E86584" w:rsidRDefault="00E86584" w:rsidP="001370FE">
      <w:pPr>
        <w:pStyle w:val="ListParagraph"/>
        <w:ind w:left="709" w:hanging="709"/>
        <w:rPr>
          <w:rFonts w:cs="Arial"/>
        </w:rPr>
      </w:pPr>
    </w:p>
    <w:p w14:paraId="33700A93" w14:textId="77777777" w:rsidR="00E86584" w:rsidRPr="00E86584" w:rsidRDefault="00E86584" w:rsidP="00295280">
      <w:pPr>
        <w:numPr>
          <w:ilvl w:val="1"/>
          <w:numId w:val="6"/>
        </w:numPr>
        <w:autoSpaceDE w:val="0"/>
        <w:autoSpaceDN w:val="0"/>
        <w:adjustRightInd w:val="0"/>
        <w:ind w:left="709" w:hanging="709"/>
        <w:rPr>
          <w:rFonts w:cs="Arial"/>
        </w:rPr>
      </w:pPr>
      <w:r>
        <w:rPr>
          <w:rFonts w:cs="Arial"/>
          <w:b/>
        </w:rPr>
        <w:t>Crime and Disorder Issues</w:t>
      </w:r>
      <w:r>
        <w:rPr>
          <w:rFonts w:cs="Arial"/>
        </w:rPr>
        <w:t xml:space="preserve"> – None </w:t>
      </w:r>
      <w:r>
        <w:rPr>
          <w:rFonts w:cs="Arial"/>
          <w:color w:val="0000FF"/>
        </w:rPr>
        <w:t xml:space="preserve">  </w:t>
      </w:r>
    </w:p>
    <w:p w14:paraId="6C5276A7" w14:textId="77777777" w:rsidR="00E86584" w:rsidRDefault="00E86584" w:rsidP="001370FE">
      <w:pPr>
        <w:pStyle w:val="ListParagraph"/>
        <w:ind w:left="709" w:hanging="709"/>
        <w:rPr>
          <w:rFonts w:cs="Arial"/>
        </w:rPr>
      </w:pPr>
    </w:p>
    <w:p w14:paraId="329EC8EC" w14:textId="77777777" w:rsidR="00E86584" w:rsidRDefault="001601D1" w:rsidP="00295280">
      <w:pPr>
        <w:numPr>
          <w:ilvl w:val="1"/>
          <w:numId w:val="6"/>
        </w:numPr>
        <w:autoSpaceDE w:val="0"/>
        <w:autoSpaceDN w:val="0"/>
        <w:adjustRightInd w:val="0"/>
        <w:ind w:left="709" w:hanging="709"/>
        <w:rPr>
          <w:rFonts w:cs="Arial"/>
        </w:rPr>
      </w:pPr>
      <w:r>
        <w:rPr>
          <w:rFonts w:cs="Arial"/>
          <w:b/>
        </w:rPr>
        <w:t>Property / Asset Issues</w:t>
      </w:r>
      <w:r>
        <w:rPr>
          <w:rFonts w:cs="Arial"/>
        </w:rPr>
        <w:t xml:space="preserve"> – None</w:t>
      </w:r>
    </w:p>
    <w:p w14:paraId="108EE113" w14:textId="77777777" w:rsidR="000404CF" w:rsidRDefault="000404CF" w:rsidP="001370FE">
      <w:pPr>
        <w:autoSpaceDE w:val="0"/>
        <w:autoSpaceDN w:val="0"/>
        <w:adjustRightInd w:val="0"/>
        <w:ind w:left="709" w:hanging="709"/>
        <w:rPr>
          <w:rFonts w:cs="Arial"/>
          <w:b/>
        </w:rPr>
      </w:pPr>
    </w:p>
    <w:p w14:paraId="545D597D" w14:textId="77777777" w:rsidR="009D2E10" w:rsidRDefault="009D2E10" w:rsidP="001370FE">
      <w:pPr>
        <w:autoSpaceDE w:val="0"/>
        <w:autoSpaceDN w:val="0"/>
        <w:adjustRightInd w:val="0"/>
        <w:ind w:left="709" w:hanging="709"/>
        <w:rPr>
          <w:b/>
        </w:rPr>
      </w:pPr>
    </w:p>
    <w:p w14:paraId="1C3EE41C" w14:textId="77777777" w:rsidR="006B0B04" w:rsidRDefault="006B0B04" w:rsidP="001370FE">
      <w:pPr>
        <w:autoSpaceDE w:val="0"/>
        <w:autoSpaceDN w:val="0"/>
        <w:adjustRightInd w:val="0"/>
        <w:ind w:left="709" w:hanging="709"/>
        <w:rPr>
          <w:b/>
        </w:rPr>
      </w:pPr>
      <w:r w:rsidRPr="007432B9">
        <w:rPr>
          <w:rFonts w:cs="Arial"/>
          <w:b/>
        </w:rPr>
        <w:t>Background Papers</w:t>
      </w:r>
      <w:r w:rsidR="007432B9" w:rsidRPr="007432B9">
        <w:rPr>
          <w:rFonts w:cs="Arial"/>
          <w:b/>
        </w:rPr>
        <w:t xml:space="preserve"> </w:t>
      </w:r>
      <w:r w:rsidR="007432B9" w:rsidRPr="007432B9">
        <w:rPr>
          <w:b/>
        </w:rPr>
        <w:t>Used in the Preparation of the Report</w:t>
      </w:r>
      <w:r w:rsidR="007432B9">
        <w:rPr>
          <w:b/>
        </w:rPr>
        <w:t>:</w:t>
      </w:r>
    </w:p>
    <w:p w14:paraId="33C1B587" w14:textId="77777777" w:rsidR="00EA0621" w:rsidRPr="007432B9" w:rsidRDefault="00EA0621" w:rsidP="001370FE">
      <w:pPr>
        <w:autoSpaceDE w:val="0"/>
        <w:autoSpaceDN w:val="0"/>
        <w:adjustRightInd w:val="0"/>
        <w:ind w:left="709" w:hanging="709"/>
        <w:rPr>
          <w:rFonts w:cs="Arial"/>
          <w:b/>
        </w:rPr>
      </w:pPr>
    </w:p>
    <w:p w14:paraId="295DCE17" w14:textId="77777777" w:rsidR="00237113" w:rsidRPr="00C673B3" w:rsidRDefault="00612CCC" w:rsidP="001370FE">
      <w:pPr>
        <w:ind w:left="709" w:hanging="709"/>
        <w:rPr>
          <w:rFonts w:cs="Arial"/>
          <w:color w:val="0000FF"/>
        </w:rPr>
      </w:pPr>
      <w:r>
        <w:rPr>
          <w:rFonts w:cs="Arial"/>
          <w:color w:val="000000"/>
        </w:rPr>
        <w:t xml:space="preserve">None. </w:t>
      </w:r>
    </w:p>
    <w:p w14:paraId="0EB81E3A" w14:textId="77777777" w:rsidR="000F14B0" w:rsidRDefault="000F14B0" w:rsidP="001370FE">
      <w:pPr>
        <w:autoSpaceDE w:val="0"/>
        <w:autoSpaceDN w:val="0"/>
        <w:adjustRightInd w:val="0"/>
        <w:ind w:left="709" w:hanging="709"/>
        <w:rPr>
          <w:rFonts w:cs="Arial"/>
          <w:b/>
        </w:rPr>
      </w:pPr>
    </w:p>
    <w:p w14:paraId="486C50B1" w14:textId="77777777" w:rsidR="00E22338" w:rsidRDefault="000F14B0" w:rsidP="003413C8">
      <w:pPr>
        <w:autoSpaceDE w:val="0"/>
        <w:autoSpaceDN w:val="0"/>
        <w:adjustRightInd w:val="0"/>
        <w:rPr>
          <w:b/>
        </w:rPr>
      </w:pPr>
      <w:r>
        <w:rPr>
          <w:rFonts w:cs="Arial"/>
          <w:b/>
        </w:rPr>
        <w:t>List of appendices</w:t>
      </w:r>
      <w:r>
        <w:rPr>
          <w:b/>
        </w:rPr>
        <w:t>:</w:t>
      </w:r>
    </w:p>
    <w:p w14:paraId="7E6063EC" w14:textId="77777777" w:rsidR="002815B1" w:rsidRDefault="002815B1" w:rsidP="003413C8">
      <w:pPr>
        <w:autoSpaceDE w:val="0"/>
        <w:autoSpaceDN w:val="0"/>
        <w:adjustRightInd w:val="0"/>
        <w:rPr>
          <w:b/>
        </w:rPr>
      </w:pPr>
    </w:p>
    <w:p w14:paraId="52E65BD4" w14:textId="2A1A0686" w:rsidR="00677070" w:rsidRDefault="00677070" w:rsidP="00677070">
      <w:pPr>
        <w:autoSpaceDE w:val="0"/>
        <w:autoSpaceDN w:val="0"/>
        <w:adjustRightInd w:val="0"/>
        <w:rPr>
          <w:rFonts w:cs="Arial"/>
        </w:rPr>
      </w:pPr>
      <w:r>
        <w:rPr>
          <w:rFonts w:cs="Arial"/>
        </w:rPr>
        <w:t xml:space="preserve">Appendix A – </w:t>
      </w:r>
      <w:r w:rsidR="00391199">
        <w:rPr>
          <w:rFonts w:cs="Arial"/>
        </w:rPr>
        <w:t>S</w:t>
      </w:r>
      <w:r w:rsidR="00AE6678">
        <w:rPr>
          <w:rFonts w:cs="Arial"/>
        </w:rPr>
        <w:t>FFD</w:t>
      </w:r>
      <w:r w:rsidR="005C276A">
        <w:rPr>
          <w:rFonts w:cs="Arial"/>
        </w:rPr>
        <w:t xml:space="preserve"> update</w:t>
      </w:r>
    </w:p>
    <w:p w14:paraId="6A5DC109" w14:textId="77777777" w:rsidR="002815B1" w:rsidRDefault="002815B1" w:rsidP="002815B1">
      <w:pPr>
        <w:jc w:val="both"/>
        <w:rPr>
          <w:b/>
        </w:rPr>
      </w:pPr>
    </w:p>
    <w:p w14:paraId="29C35B20" w14:textId="77777777" w:rsidR="00A31D5E" w:rsidRDefault="00A31D5E" w:rsidP="002815B1">
      <w:pPr>
        <w:jc w:val="both"/>
      </w:pPr>
    </w:p>
    <w:p w14:paraId="468BA0D5" w14:textId="77777777" w:rsidR="00EB4B0F" w:rsidRDefault="00EB4B0F" w:rsidP="00EB4B0F">
      <w:pPr>
        <w:jc w:val="both"/>
      </w:pPr>
    </w:p>
    <w:p w14:paraId="75A5ECC8" w14:textId="77777777" w:rsidR="00191E9D" w:rsidRDefault="00191E9D" w:rsidP="00C432D9">
      <w:pPr>
        <w:jc w:val="both"/>
      </w:pPr>
    </w:p>
    <w:p w14:paraId="7979B9F3" w14:textId="77777777" w:rsidR="009A2052" w:rsidRDefault="009A2052" w:rsidP="00191E9D"/>
    <w:p w14:paraId="4DDFA4E0" w14:textId="77777777" w:rsidR="009A2052" w:rsidRDefault="009A2052" w:rsidP="00191E9D"/>
    <w:p w14:paraId="17C4FA1F" w14:textId="77777777" w:rsidR="007100A3" w:rsidRDefault="007100A3" w:rsidP="00191E9D"/>
    <w:p w14:paraId="7ABC3B71" w14:textId="77777777" w:rsidR="00FF6CC0" w:rsidRDefault="00FF6CC0" w:rsidP="00191E9D">
      <w:pPr>
        <w:rPr>
          <w:rFonts w:cs="Arial"/>
        </w:rPr>
      </w:pPr>
    </w:p>
    <w:sectPr w:rsidR="00FF6CC0" w:rsidSect="003617A5">
      <w:footerReference w:type="default" r:id="rId8"/>
      <w:pgSz w:w="11909" w:h="16834" w:code="9"/>
      <w:pgMar w:top="851"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C605" w14:textId="77777777" w:rsidR="006D5360" w:rsidRDefault="006D5360">
      <w:r>
        <w:separator/>
      </w:r>
    </w:p>
  </w:endnote>
  <w:endnote w:type="continuationSeparator" w:id="0">
    <w:p w14:paraId="0713AE61" w14:textId="77777777" w:rsidR="006D5360" w:rsidRDefault="006D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C636" w14:textId="77777777" w:rsidR="00E25F94" w:rsidRDefault="00E25F94">
    <w:pPr>
      <w:pStyle w:val="Footer"/>
      <w:jc w:val="center"/>
    </w:pPr>
    <w:r>
      <w:fldChar w:fldCharType="begin"/>
    </w:r>
    <w:r>
      <w:instrText xml:space="preserve"> PAGE   \* MERGEFORMAT </w:instrText>
    </w:r>
    <w:r>
      <w:fldChar w:fldCharType="separate"/>
    </w:r>
    <w:r w:rsidR="001C0B69">
      <w:rPr>
        <w:noProof/>
      </w:rPr>
      <w:t>5</w:t>
    </w:r>
    <w:r>
      <w:rPr>
        <w:noProof/>
      </w:rPr>
      <w:fldChar w:fldCharType="end"/>
    </w:r>
  </w:p>
  <w:p w14:paraId="7D05EDEA" w14:textId="77777777" w:rsidR="00E25F94" w:rsidRDefault="00E2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99E4" w14:textId="77777777" w:rsidR="006D5360" w:rsidRDefault="006D5360">
      <w:r>
        <w:separator/>
      </w:r>
    </w:p>
  </w:footnote>
  <w:footnote w:type="continuationSeparator" w:id="0">
    <w:p w14:paraId="485358D4" w14:textId="77777777" w:rsidR="006D5360" w:rsidRDefault="006D5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A29"/>
    <w:multiLevelType w:val="multilevel"/>
    <w:tmpl w:val="BE600BC8"/>
    <w:lvl w:ilvl="0">
      <w:start w:val="1"/>
      <w:numFmt w:val="decimal"/>
      <w:pStyle w:val="Level1"/>
      <w:lvlText w:val="%1."/>
      <w:lvlJc w:val="left"/>
      <w:pPr>
        <w:tabs>
          <w:tab w:val="num" w:pos="1626"/>
        </w:tabs>
        <w:ind w:left="1626" w:hanging="1200"/>
      </w:pPr>
      <w:rPr>
        <w:rFonts w:hint="default"/>
        <w:b w:val="0"/>
        <w:i w:val="0"/>
        <w:caps w:val="0"/>
        <w:strike w:val="0"/>
        <w:dstrike w:val="0"/>
        <w:vanish w:val="0"/>
        <w:color w:val="0070C0"/>
        <w:sz w:val="30"/>
        <w:szCs w:val="30"/>
        <w:u w:val="none"/>
        <w:vertAlign w:val="baseline"/>
      </w:rPr>
    </w:lvl>
    <w:lvl w:ilvl="1">
      <w:start w:val="1"/>
      <w:numFmt w:val="decimal"/>
      <w:pStyle w:val="Level2"/>
      <w:lvlText w:val="%1.%2."/>
      <w:lvlJc w:val="left"/>
      <w:pPr>
        <w:tabs>
          <w:tab w:val="num" w:pos="1342"/>
        </w:tabs>
        <w:ind w:left="1342" w:hanging="1200"/>
      </w:pPr>
      <w:rPr>
        <w:rFonts w:cs="Times New Roman"/>
        <w:b w:val="0"/>
        <w:bCs w:val="0"/>
        <w:i w:val="0"/>
        <w:iCs w:val="0"/>
        <w:caps w:val="0"/>
        <w:smallCaps w:val="0"/>
        <w:strike w:val="0"/>
        <w:dstrike w:val="0"/>
        <w:noProof w:val="0"/>
        <w:vanish w:val="0"/>
        <w:color w:val="262626"/>
        <w:spacing w:val="0"/>
        <w:kern w:val="0"/>
        <w:position w:val="0"/>
        <w:u w:val="none"/>
        <w:vertAlign w:val="baseline"/>
        <w:em w:val="none"/>
      </w:rPr>
    </w:lvl>
    <w:lvl w:ilvl="2">
      <w:start w:val="1"/>
      <w:numFmt w:val="decimal"/>
      <w:lvlText w:val="%1.%2.%3."/>
      <w:lvlJc w:val="left"/>
      <w:pPr>
        <w:tabs>
          <w:tab w:val="num" w:pos="1626"/>
        </w:tabs>
        <w:ind w:left="1626"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1226"/>
        </w:tabs>
        <w:ind w:left="1226" w:hanging="400"/>
      </w:pPr>
      <w:rPr>
        <w:rFonts w:ascii="Symbol" w:hAnsi="Symbol" w:hint="default"/>
        <w:color w:val="auto"/>
      </w:rPr>
    </w:lvl>
    <w:lvl w:ilvl="4">
      <w:start w:val="1"/>
      <w:numFmt w:val="decimal"/>
      <w:lvlText w:val="%1.%2.%3.%4.%5."/>
      <w:lvlJc w:val="left"/>
      <w:pPr>
        <w:tabs>
          <w:tab w:val="num" w:pos="3306"/>
        </w:tabs>
        <w:ind w:left="2658" w:hanging="792"/>
      </w:pPr>
      <w:rPr>
        <w:rFonts w:hint="default"/>
      </w:rPr>
    </w:lvl>
    <w:lvl w:ilvl="5">
      <w:start w:val="1"/>
      <w:numFmt w:val="decimal"/>
      <w:lvlText w:val="%1.%2.%3.%4.%5.%6."/>
      <w:lvlJc w:val="left"/>
      <w:pPr>
        <w:tabs>
          <w:tab w:val="num" w:pos="4026"/>
        </w:tabs>
        <w:ind w:left="3162" w:hanging="936"/>
      </w:pPr>
      <w:rPr>
        <w:rFonts w:hint="default"/>
      </w:rPr>
    </w:lvl>
    <w:lvl w:ilvl="6">
      <w:start w:val="1"/>
      <w:numFmt w:val="decimal"/>
      <w:lvlText w:val="%1.%2.%3.%4.%5.%6.%7."/>
      <w:lvlJc w:val="left"/>
      <w:pPr>
        <w:tabs>
          <w:tab w:val="num" w:pos="4746"/>
        </w:tabs>
        <w:ind w:left="3666" w:hanging="1080"/>
      </w:pPr>
      <w:rPr>
        <w:rFonts w:hint="default"/>
      </w:rPr>
    </w:lvl>
    <w:lvl w:ilvl="7">
      <w:start w:val="1"/>
      <w:numFmt w:val="decimal"/>
      <w:lvlText w:val="%1.%2.%3.%4.%5.%6.%7.%8."/>
      <w:lvlJc w:val="left"/>
      <w:pPr>
        <w:tabs>
          <w:tab w:val="num" w:pos="5466"/>
        </w:tabs>
        <w:ind w:left="4170" w:hanging="1224"/>
      </w:pPr>
      <w:rPr>
        <w:rFonts w:hint="default"/>
      </w:rPr>
    </w:lvl>
    <w:lvl w:ilvl="8">
      <w:start w:val="1"/>
      <w:numFmt w:val="decimal"/>
      <w:lvlText w:val="%1.%2.%3.%4.%5.%6.%7.%8.%9."/>
      <w:lvlJc w:val="left"/>
      <w:pPr>
        <w:tabs>
          <w:tab w:val="num" w:pos="6186"/>
        </w:tabs>
        <w:ind w:left="4746" w:hanging="1440"/>
      </w:pPr>
      <w:rPr>
        <w:rFonts w:hint="default"/>
      </w:rPr>
    </w:lvl>
  </w:abstractNum>
  <w:abstractNum w:abstractNumId="1" w15:restartNumberingAfterBreak="0">
    <w:nsid w:val="043B7E1E"/>
    <w:multiLevelType w:val="hybridMultilevel"/>
    <w:tmpl w:val="807A254C"/>
    <w:lvl w:ilvl="0" w:tplc="0809001B">
      <w:start w:val="1"/>
      <w:numFmt w:val="lowerRoman"/>
      <w:lvlText w:val="%1."/>
      <w:lvlJc w:val="righ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8D0415"/>
    <w:multiLevelType w:val="hybridMultilevel"/>
    <w:tmpl w:val="EBC68F64"/>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B4535B"/>
    <w:multiLevelType w:val="hybridMultilevel"/>
    <w:tmpl w:val="12D00E06"/>
    <w:lvl w:ilvl="0" w:tplc="ED50A05A">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46262"/>
    <w:multiLevelType w:val="hybridMultilevel"/>
    <w:tmpl w:val="38B24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318E2"/>
    <w:multiLevelType w:val="multilevel"/>
    <w:tmpl w:val="A13E5E20"/>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F215986"/>
    <w:multiLevelType w:val="multilevel"/>
    <w:tmpl w:val="423A1A44"/>
    <w:lvl w:ilvl="0">
      <w:start w:val="11"/>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5DF5B50"/>
    <w:multiLevelType w:val="multilevel"/>
    <w:tmpl w:val="62BA1742"/>
    <w:lvl w:ilvl="0">
      <w:start w:val="1"/>
      <w:numFmt w:val="decimal"/>
      <w:lvlText w:val="%1."/>
      <w:lvlJc w:val="left"/>
      <w:pPr>
        <w:ind w:left="1713"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15:restartNumberingAfterBreak="0">
    <w:nsid w:val="366E54EB"/>
    <w:multiLevelType w:val="hybridMultilevel"/>
    <w:tmpl w:val="EC0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71CBA"/>
    <w:multiLevelType w:val="hybridMultilevel"/>
    <w:tmpl w:val="3CD8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72436"/>
    <w:multiLevelType w:val="hybridMultilevel"/>
    <w:tmpl w:val="93DE2144"/>
    <w:lvl w:ilvl="0" w:tplc="F8B27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54033C6A"/>
    <w:multiLevelType w:val="hybridMultilevel"/>
    <w:tmpl w:val="D4C4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B21C8"/>
    <w:multiLevelType w:val="hybridMultilevel"/>
    <w:tmpl w:val="B51A53F4"/>
    <w:lvl w:ilvl="0" w:tplc="A2C621D0">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EF36A3"/>
    <w:multiLevelType w:val="multilevel"/>
    <w:tmpl w:val="F1B07ED8"/>
    <w:lvl w:ilvl="0">
      <w:start w:val="2"/>
      <w:numFmt w:val="decimal"/>
      <w:lvlText w:val="%1."/>
      <w:lvlJc w:val="left"/>
      <w:pPr>
        <w:ind w:left="1430" w:hanging="720"/>
      </w:pPr>
      <w:rPr>
        <w:rFonts w:ascii="Arial" w:eastAsia="Times New Roman" w:hAnsi="Arial" w:cs="Arial"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616118B3"/>
    <w:multiLevelType w:val="multilevel"/>
    <w:tmpl w:val="7726681C"/>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CE3AC9"/>
    <w:multiLevelType w:val="multilevel"/>
    <w:tmpl w:val="FAAE93F4"/>
    <w:lvl w:ilvl="0">
      <w:start w:val="10"/>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75950F8"/>
    <w:multiLevelType w:val="hybridMultilevel"/>
    <w:tmpl w:val="152CBE9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D727D"/>
    <w:multiLevelType w:val="hybridMultilevel"/>
    <w:tmpl w:val="F9B65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490FEE"/>
    <w:multiLevelType w:val="multilevel"/>
    <w:tmpl w:val="89E47D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19"/>
  </w:num>
  <w:num w:numId="4">
    <w:abstractNumId w:val="7"/>
  </w:num>
  <w:num w:numId="5">
    <w:abstractNumId w:val="0"/>
  </w:num>
  <w:num w:numId="6">
    <w:abstractNumId w:val="3"/>
  </w:num>
  <w:num w:numId="7">
    <w:abstractNumId w:val="9"/>
  </w:num>
  <w:num w:numId="8">
    <w:abstractNumId w:val="13"/>
  </w:num>
  <w:num w:numId="9">
    <w:abstractNumId w:val="14"/>
  </w:num>
  <w:num w:numId="10">
    <w:abstractNumId w:val="20"/>
  </w:num>
  <w:num w:numId="11">
    <w:abstractNumId w:val="16"/>
  </w:num>
  <w:num w:numId="12">
    <w:abstractNumId w:val="6"/>
  </w:num>
  <w:num w:numId="13">
    <w:abstractNumId w:val="1"/>
  </w:num>
  <w:num w:numId="14">
    <w:abstractNumId w:val="2"/>
  </w:num>
  <w:num w:numId="15">
    <w:abstractNumId w:val="21"/>
  </w:num>
  <w:num w:numId="16">
    <w:abstractNumId w:val="17"/>
  </w:num>
  <w:num w:numId="17">
    <w:abstractNumId w:val="15"/>
  </w:num>
  <w:num w:numId="18">
    <w:abstractNumId w:val="10"/>
  </w:num>
  <w:num w:numId="19">
    <w:abstractNumId w:val="18"/>
  </w:num>
  <w:num w:numId="20">
    <w:abstractNumId w:val="5"/>
  </w:num>
  <w:num w:numId="21">
    <w:abstractNumId w:val="8"/>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FF"/>
    <w:rsid w:val="00002AF8"/>
    <w:rsid w:val="00005B71"/>
    <w:rsid w:val="00006DA9"/>
    <w:rsid w:val="00007D7B"/>
    <w:rsid w:val="00010185"/>
    <w:rsid w:val="000123DC"/>
    <w:rsid w:val="0001592B"/>
    <w:rsid w:val="00017940"/>
    <w:rsid w:val="00021BBF"/>
    <w:rsid w:val="00021BED"/>
    <w:rsid w:val="000249EC"/>
    <w:rsid w:val="0002531C"/>
    <w:rsid w:val="00025EA0"/>
    <w:rsid w:val="00026914"/>
    <w:rsid w:val="000310B7"/>
    <w:rsid w:val="000318AC"/>
    <w:rsid w:val="00034204"/>
    <w:rsid w:val="0003456B"/>
    <w:rsid w:val="00034678"/>
    <w:rsid w:val="00034AAA"/>
    <w:rsid w:val="00036181"/>
    <w:rsid w:val="000365CD"/>
    <w:rsid w:val="000404CF"/>
    <w:rsid w:val="000413B1"/>
    <w:rsid w:val="00042094"/>
    <w:rsid w:val="00043B61"/>
    <w:rsid w:val="00043C82"/>
    <w:rsid w:val="00047C2C"/>
    <w:rsid w:val="00051382"/>
    <w:rsid w:val="00051F08"/>
    <w:rsid w:val="0005699A"/>
    <w:rsid w:val="00063181"/>
    <w:rsid w:val="00064AE1"/>
    <w:rsid w:val="00067C42"/>
    <w:rsid w:val="00067F01"/>
    <w:rsid w:val="00072940"/>
    <w:rsid w:val="00072AF4"/>
    <w:rsid w:val="00075390"/>
    <w:rsid w:val="00076174"/>
    <w:rsid w:val="000816B4"/>
    <w:rsid w:val="000820BD"/>
    <w:rsid w:val="000839E0"/>
    <w:rsid w:val="000842DC"/>
    <w:rsid w:val="00094439"/>
    <w:rsid w:val="00094667"/>
    <w:rsid w:val="00097034"/>
    <w:rsid w:val="000973FA"/>
    <w:rsid w:val="0009760F"/>
    <w:rsid w:val="000A0018"/>
    <w:rsid w:val="000A4E4C"/>
    <w:rsid w:val="000A5CEC"/>
    <w:rsid w:val="000A66D7"/>
    <w:rsid w:val="000B0001"/>
    <w:rsid w:val="000B16F3"/>
    <w:rsid w:val="000B3C9B"/>
    <w:rsid w:val="000B4DC8"/>
    <w:rsid w:val="000B7DB1"/>
    <w:rsid w:val="000C0C31"/>
    <w:rsid w:val="000C1A29"/>
    <w:rsid w:val="000C1D38"/>
    <w:rsid w:val="000C2344"/>
    <w:rsid w:val="000C5C0F"/>
    <w:rsid w:val="000C62C5"/>
    <w:rsid w:val="000D030E"/>
    <w:rsid w:val="000D05CB"/>
    <w:rsid w:val="000D2F6E"/>
    <w:rsid w:val="000D55A6"/>
    <w:rsid w:val="000D5779"/>
    <w:rsid w:val="000D5787"/>
    <w:rsid w:val="000D7DC8"/>
    <w:rsid w:val="000E20BD"/>
    <w:rsid w:val="000E2EA0"/>
    <w:rsid w:val="000E3D31"/>
    <w:rsid w:val="000E5DAE"/>
    <w:rsid w:val="000E7B9F"/>
    <w:rsid w:val="000F14B0"/>
    <w:rsid w:val="000F281E"/>
    <w:rsid w:val="000F291D"/>
    <w:rsid w:val="001015A7"/>
    <w:rsid w:val="001017C9"/>
    <w:rsid w:val="00102BB7"/>
    <w:rsid w:val="00103630"/>
    <w:rsid w:val="001059DE"/>
    <w:rsid w:val="001060BA"/>
    <w:rsid w:val="001102BC"/>
    <w:rsid w:val="00115B41"/>
    <w:rsid w:val="00116B4F"/>
    <w:rsid w:val="00117262"/>
    <w:rsid w:val="0011747C"/>
    <w:rsid w:val="0012128A"/>
    <w:rsid w:val="00121534"/>
    <w:rsid w:val="0012179E"/>
    <w:rsid w:val="00122E68"/>
    <w:rsid w:val="00123C9C"/>
    <w:rsid w:val="00124287"/>
    <w:rsid w:val="00127C01"/>
    <w:rsid w:val="0013009A"/>
    <w:rsid w:val="00130919"/>
    <w:rsid w:val="0013164F"/>
    <w:rsid w:val="00133834"/>
    <w:rsid w:val="0013439C"/>
    <w:rsid w:val="00136D34"/>
    <w:rsid w:val="001370FE"/>
    <w:rsid w:val="00137D48"/>
    <w:rsid w:val="00140325"/>
    <w:rsid w:val="001408AF"/>
    <w:rsid w:val="00141508"/>
    <w:rsid w:val="00141BCF"/>
    <w:rsid w:val="00142E26"/>
    <w:rsid w:val="00145BDB"/>
    <w:rsid w:val="00146296"/>
    <w:rsid w:val="00147B39"/>
    <w:rsid w:val="00150277"/>
    <w:rsid w:val="00154EB3"/>
    <w:rsid w:val="001556CA"/>
    <w:rsid w:val="00155F07"/>
    <w:rsid w:val="001601D1"/>
    <w:rsid w:val="00161DD3"/>
    <w:rsid w:val="001620F2"/>
    <w:rsid w:val="001623F6"/>
    <w:rsid w:val="00165486"/>
    <w:rsid w:val="00165B3C"/>
    <w:rsid w:val="00166E5E"/>
    <w:rsid w:val="001710FA"/>
    <w:rsid w:val="00176AB6"/>
    <w:rsid w:val="00176C17"/>
    <w:rsid w:val="0018172B"/>
    <w:rsid w:val="0018490C"/>
    <w:rsid w:val="001874DF"/>
    <w:rsid w:val="00191E7E"/>
    <w:rsid w:val="00191E9D"/>
    <w:rsid w:val="0019228B"/>
    <w:rsid w:val="001924BF"/>
    <w:rsid w:val="0019260C"/>
    <w:rsid w:val="00193BDC"/>
    <w:rsid w:val="00196460"/>
    <w:rsid w:val="00197808"/>
    <w:rsid w:val="001978A2"/>
    <w:rsid w:val="001A2041"/>
    <w:rsid w:val="001A2280"/>
    <w:rsid w:val="001A26C2"/>
    <w:rsid w:val="001A3C41"/>
    <w:rsid w:val="001A7B87"/>
    <w:rsid w:val="001B2632"/>
    <w:rsid w:val="001B2F12"/>
    <w:rsid w:val="001B47A6"/>
    <w:rsid w:val="001B56CC"/>
    <w:rsid w:val="001B6318"/>
    <w:rsid w:val="001B7D7D"/>
    <w:rsid w:val="001C0B0D"/>
    <w:rsid w:val="001C0B69"/>
    <w:rsid w:val="001C72A2"/>
    <w:rsid w:val="001D2EF5"/>
    <w:rsid w:val="001D530B"/>
    <w:rsid w:val="001D5F19"/>
    <w:rsid w:val="001D622F"/>
    <w:rsid w:val="001E0514"/>
    <w:rsid w:val="001E0ED9"/>
    <w:rsid w:val="001E3036"/>
    <w:rsid w:val="001E37C2"/>
    <w:rsid w:val="001E3CC4"/>
    <w:rsid w:val="001E436C"/>
    <w:rsid w:val="001E5AFB"/>
    <w:rsid w:val="001E6232"/>
    <w:rsid w:val="001E7623"/>
    <w:rsid w:val="001F065B"/>
    <w:rsid w:val="001F0959"/>
    <w:rsid w:val="001F1E59"/>
    <w:rsid w:val="001F208A"/>
    <w:rsid w:val="001F2368"/>
    <w:rsid w:val="0020083A"/>
    <w:rsid w:val="00200F1B"/>
    <w:rsid w:val="00204510"/>
    <w:rsid w:val="00205671"/>
    <w:rsid w:val="00206B8C"/>
    <w:rsid w:val="0021058F"/>
    <w:rsid w:val="00210E9A"/>
    <w:rsid w:val="00211F72"/>
    <w:rsid w:val="00215C52"/>
    <w:rsid w:val="00216EBD"/>
    <w:rsid w:val="0021756D"/>
    <w:rsid w:val="002201F0"/>
    <w:rsid w:val="00220FCF"/>
    <w:rsid w:val="0022335E"/>
    <w:rsid w:val="002245EE"/>
    <w:rsid w:val="00224ACC"/>
    <w:rsid w:val="00225E0C"/>
    <w:rsid w:val="00226594"/>
    <w:rsid w:val="0022706D"/>
    <w:rsid w:val="00230EA1"/>
    <w:rsid w:val="002329C6"/>
    <w:rsid w:val="00234E6C"/>
    <w:rsid w:val="00237113"/>
    <w:rsid w:val="00240ECA"/>
    <w:rsid w:val="0024162A"/>
    <w:rsid w:val="00242390"/>
    <w:rsid w:val="00242399"/>
    <w:rsid w:val="00243460"/>
    <w:rsid w:val="002434F6"/>
    <w:rsid w:val="00243E12"/>
    <w:rsid w:val="002473FC"/>
    <w:rsid w:val="00247A48"/>
    <w:rsid w:val="00250D54"/>
    <w:rsid w:val="00251787"/>
    <w:rsid w:val="002522E2"/>
    <w:rsid w:val="00252416"/>
    <w:rsid w:val="00254A98"/>
    <w:rsid w:val="00261196"/>
    <w:rsid w:val="002618AB"/>
    <w:rsid w:val="00264A9B"/>
    <w:rsid w:val="00264E80"/>
    <w:rsid w:val="002669D3"/>
    <w:rsid w:val="00271B83"/>
    <w:rsid w:val="00273F31"/>
    <w:rsid w:val="00274EC3"/>
    <w:rsid w:val="00275541"/>
    <w:rsid w:val="00276076"/>
    <w:rsid w:val="00276251"/>
    <w:rsid w:val="0027680C"/>
    <w:rsid w:val="002804CF"/>
    <w:rsid w:val="00280EC4"/>
    <w:rsid w:val="002815B1"/>
    <w:rsid w:val="00281849"/>
    <w:rsid w:val="002846E7"/>
    <w:rsid w:val="002855A5"/>
    <w:rsid w:val="0028601B"/>
    <w:rsid w:val="002929E3"/>
    <w:rsid w:val="00292AD7"/>
    <w:rsid w:val="00293137"/>
    <w:rsid w:val="00294D66"/>
    <w:rsid w:val="00295067"/>
    <w:rsid w:val="00295280"/>
    <w:rsid w:val="002A0748"/>
    <w:rsid w:val="002A1ECE"/>
    <w:rsid w:val="002A2FA5"/>
    <w:rsid w:val="002A3699"/>
    <w:rsid w:val="002A4F18"/>
    <w:rsid w:val="002B11B5"/>
    <w:rsid w:val="002B1A9D"/>
    <w:rsid w:val="002B1E30"/>
    <w:rsid w:val="002B1F79"/>
    <w:rsid w:val="002B30DE"/>
    <w:rsid w:val="002B402B"/>
    <w:rsid w:val="002C02D2"/>
    <w:rsid w:val="002C161D"/>
    <w:rsid w:val="002C1B17"/>
    <w:rsid w:val="002C20C7"/>
    <w:rsid w:val="002C32ED"/>
    <w:rsid w:val="002D01CD"/>
    <w:rsid w:val="002D4818"/>
    <w:rsid w:val="002D49EE"/>
    <w:rsid w:val="002D5B3F"/>
    <w:rsid w:val="002D5ECC"/>
    <w:rsid w:val="002D6FBC"/>
    <w:rsid w:val="002D7809"/>
    <w:rsid w:val="002E1B29"/>
    <w:rsid w:val="002E3116"/>
    <w:rsid w:val="002E4908"/>
    <w:rsid w:val="002E5490"/>
    <w:rsid w:val="002E7EC2"/>
    <w:rsid w:val="002F090F"/>
    <w:rsid w:val="002F0963"/>
    <w:rsid w:val="002F1DAF"/>
    <w:rsid w:val="002F3DC6"/>
    <w:rsid w:val="002F3F9A"/>
    <w:rsid w:val="002F61B6"/>
    <w:rsid w:val="002F756C"/>
    <w:rsid w:val="002F76FB"/>
    <w:rsid w:val="002F7D9D"/>
    <w:rsid w:val="002F7DBC"/>
    <w:rsid w:val="0030133F"/>
    <w:rsid w:val="003019D7"/>
    <w:rsid w:val="00301D4F"/>
    <w:rsid w:val="00303B06"/>
    <w:rsid w:val="00304EE1"/>
    <w:rsid w:val="00304F5B"/>
    <w:rsid w:val="00307168"/>
    <w:rsid w:val="00310E2C"/>
    <w:rsid w:val="003121E6"/>
    <w:rsid w:val="003128DF"/>
    <w:rsid w:val="00313462"/>
    <w:rsid w:val="00314DE9"/>
    <w:rsid w:val="003150DD"/>
    <w:rsid w:val="003161E4"/>
    <w:rsid w:val="00316BAA"/>
    <w:rsid w:val="00317452"/>
    <w:rsid w:val="00317B0D"/>
    <w:rsid w:val="00320183"/>
    <w:rsid w:val="00320E9A"/>
    <w:rsid w:val="00322068"/>
    <w:rsid w:val="00324560"/>
    <w:rsid w:val="00325B4D"/>
    <w:rsid w:val="003264B9"/>
    <w:rsid w:val="00326A4D"/>
    <w:rsid w:val="00331B0A"/>
    <w:rsid w:val="003333C3"/>
    <w:rsid w:val="00334B9F"/>
    <w:rsid w:val="00336997"/>
    <w:rsid w:val="003369B4"/>
    <w:rsid w:val="003413C8"/>
    <w:rsid w:val="003462DC"/>
    <w:rsid w:val="00346BB9"/>
    <w:rsid w:val="00350D3D"/>
    <w:rsid w:val="0035103D"/>
    <w:rsid w:val="00351CE3"/>
    <w:rsid w:val="00352659"/>
    <w:rsid w:val="00356655"/>
    <w:rsid w:val="003568BF"/>
    <w:rsid w:val="00356AE5"/>
    <w:rsid w:val="00357988"/>
    <w:rsid w:val="003617A5"/>
    <w:rsid w:val="003632EF"/>
    <w:rsid w:val="00371F4D"/>
    <w:rsid w:val="00375509"/>
    <w:rsid w:val="003776E0"/>
    <w:rsid w:val="0038132C"/>
    <w:rsid w:val="00381481"/>
    <w:rsid w:val="00381F2E"/>
    <w:rsid w:val="00382AB6"/>
    <w:rsid w:val="00382D58"/>
    <w:rsid w:val="00383EA6"/>
    <w:rsid w:val="003849C5"/>
    <w:rsid w:val="00385B4A"/>
    <w:rsid w:val="00385DAE"/>
    <w:rsid w:val="00385FC8"/>
    <w:rsid w:val="00386093"/>
    <w:rsid w:val="0038769D"/>
    <w:rsid w:val="00391199"/>
    <w:rsid w:val="00394FC1"/>
    <w:rsid w:val="00395640"/>
    <w:rsid w:val="003959C8"/>
    <w:rsid w:val="003965D7"/>
    <w:rsid w:val="003A2322"/>
    <w:rsid w:val="003A44FA"/>
    <w:rsid w:val="003A5C3F"/>
    <w:rsid w:val="003B09E2"/>
    <w:rsid w:val="003B18E3"/>
    <w:rsid w:val="003B2ED6"/>
    <w:rsid w:val="003B6610"/>
    <w:rsid w:val="003C0695"/>
    <w:rsid w:val="003C0B67"/>
    <w:rsid w:val="003C16AB"/>
    <w:rsid w:val="003C3C1E"/>
    <w:rsid w:val="003C5F14"/>
    <w:rsid w:val="003C7A27"/>
    <w:rsid w:val="003D0435"/>
    <w:rsid w:val="003D07B7"/>
    <w:rsid w:val="003D10E0"/>
    <w:rsid w:val="003D1295"/>
    <w:rsid w:val="003D1E77"/>
    <w:rsid w:val="003D2040"/>
    <w:rsid w:val="003D4384"/>
    <w:rsid w:val="003D4495"/>
    <w:rsid w:val="003D4EB9"/>
    <w:rsid w:val="003D5FC7"/>
    <w:rsid w:val="003D6D4B"/>
    <w:rsid w:val="003E2EDE"/>
    <w:rsid w:val="003E4848"/>
    <w:rsid w:val="003E4E2F"/>
    <w:rsid w:val="003E5069"/>
    <w:rsid w:val="003E6631"/>
    <w:rsid w:val="003E71A4"/>
    <w:rsid w:val="003F016C"/>
    <w:rsid w:val="003F2A45"/>
    <w:rsid w:val="003F5680"/>
    <w:rsid w:val="003F6B28"/>
    <w:rsid w:val="003F7012"/>
    <w:rsid w:val="00401DEB"/>
    <w:rsid w:val="00402C6B"/>
    <w:rsid w:val="00403751"/>
    <w:rsid w:val="00405AD1"/>
    <w:rsid w:val="0040697B"/>
    <w:rsid w:val="00407E26"/>
    <w:rsid w:val="00411851"/>
    <w:rsid w:val="0041533E"/>
    <w:rsid w:val="00416034"/>
    <w:rsid w:val="00416CD5"/>
    <w:rsid w:val="00417FE5"/>
    <w:rsid w:val="00422023"/>
    <w:rsid w:val="0042253F"/>
    <w:rsid w:val="00423313"/>
    <w:rsid w:val="00424A8E"/>
    <w:rsid w:val="00426024"/>
    <w:rsid w:val="00431891"/>
    <w:rsid w:val="00432DCB"/>
    <w:rsid w:val="0043366B"/>
    <w:rsid w:val="00433B2F"/>
    <w:rsid w:val="00435B81"/>
    <w:rsid w:val="00435B99"/>
    <w:rsid w:val="0044005E"/>
    <w:rsid w:val="00443BBE"/>
    <w:rsid w:val="00446A1D"/>
    <w:rsid w:val="00447DB7"/>
    <w:rsid w:val="0045048E"/>
    <w:rsid w:val="00450580"/>
    <w:rsid w:val="00452879"/>
    <w:rsid w:val="00452DE4"/>
    <w:rsid w:val="00454E9F"/>
    <w:rsid w:val="00456C9A"/>
    <w:rsid w:val="00457CF5"/>
    <w:rsid w:val="00460710"/>
    <w:rsid w:val="004616F0"/>
    <w:rsid w:val="00461800"/>
    <w:rsid w:val="00461EAD"/>
    <w:rsid w:val="00462371"/>
    <w:rsid w:val="00465DD5"/>
    <w:rsid w:val="004667B4"/>
    <w:rsid w:val="0046701F"/>
    <w:rsid w:val="004755AB"/>
    <w:rsid w:val="004760F2"/>
    <w:rsid w:val="0047630A"/>
    <w:rsid w:val="00476508"/>
    <w:rsid w:val="004779AE"/>
    <w:rsid w:val="00480750"/>
    <w:rsid w:val="00481B43"/>
    <w:rsid w:val="0048238A"/>
    <w:rsid w:val="004825B1"/>
    <w:rsid w:val="00482983"/>
    <w:rsid w:val="0048497C"/>
    <w:rsid w:val="00485CE3"/>
    <w:rsid w:val="00486F3B"/>
    <w:rsid w:val="004912CD"/>
    <w:rsid w:val="0049174F"/>
    <w:rsid w:val="0049210C"/>
    <w:rsid w:val="0049251A"/>
    <w:rsid w:val="00495974"/>
    <w:rsid w:val="00496936"/>
    <w:rsid w:val="00496CE0"/>
    <w:rsid w:val="00497391"/>
    <w:rsid w:val="00497A3A"/>
    <w:rsid w:val="004A0E44"/>
    <w:rsid w:val="004A56E6"/>
    <w:rsid w:val="004A6E84"/>
    <w:rsid w:val="004B4294"/>
    <w:rsid w:val="004B58A3"/>
    <w:rsid w:val="004B6611"/>
    <w:rsid w:val="004B72E4"/>
    <w:rsid w:val="004B7734"/>
    <w:rsid w:val="004C12EF"/>
    <w:rsid w:val="004C175A"/>
    <w:rsid w:val="004C5BB6"/>
    <w:rsid w:val="004C6549"/>
    <w:rsid w:val="004C6C24"/>
    <w:rsid w:val="004C6CD0"/>
    <w:rsid w:val="004C71D4"/>
    <w:rsid w:val="004C7355"/>
    <w:rsid w:val="004D1483"/>
    <w:rsid w:val="004D2C7A"/>
    <w:rsid w:val="004D4124"/>
    <w:rsid w:val="004D5CC1"/>
    <w:rsid w:val="004D675F"/>
    <w:rsid w:val="004E1DC9"/>
    <w:rsid w:val="004E1F59"/>
    <w:rsid w:val="004E522A"/>
    <w:rsid w:val="004E76F0"/>
    <w:rsid w:val="004F046F"/>
    <w:rsid w:val="004F0A81"/>
    <w:rsid w:val="004F1D44"/>
    <w:rsid w:val="004F4568"/>
    <w:rsid w:val="004F478F"/>
    <w:rsid w:val="004F6231"/>
    <w:rsid w:val="004F787C"/>
    <w:rsid w:val="0050034D"/>
    <w:rsid w:val="00500455"/>
    <w:rsid w:val="00500654"/>
    <w:rsid w:val="00502F62"/>
    <w:rsid w:val="00507D0E"/>
    <w:rsid w:val="005106A1"/>
    <w:rsid w:val="005118CD"/>
    <w:rsid w:val="005161F7"/>
    <w:rsid w:val="00516A35"/>
    <w:rsid w:val="00520A46"/>
    <w:rsid w:val="00527BC9"/>
    <w:rsid w:val="00531D72"/>
    <w:rsid w:val="005332A4"/>
    <w:rsid w:val="00533C1B"/>
    <w:rsid w:val="00535111"/>
    <w:rsid w:val="00536079"/>
    <w:rsid w:val="0054042B"/>
    <w:rsid w:val="0054527D"/>
    <w:rsid w:val="00545FF9"/>
    <w:rsid w:val="00546E2E"/>
    <w:rsid w:val="00552D3A"/>
    <w:rsid w:val="00553269"/>
    <w:rsid w:val="00553490"/>
    <w:rsid w:val="005537FC"/>
    <w:rsid w:val="005550B8"/>
    <w:rsid w:val="005552C1"/>
    <w:rsid w:val="00556AF1"/>
    <w:rsid w:val="00557FE3"/>
    <w:rsid w:val="00560DAC"/>
    <w:rsid w:val="005632E9"/>
    <w:rsid w:val="005654EF"/>
    <w:rsid w:val="00567732"/>
    <w:rsid w:val="00572B2D"/>
    <w:rsid w:val="00574B59"/>
    <w:rsid w:val="00575B31"/>
    <w:rsid w:val="00575C96"/>
    <w:rsid w:val="005762A4"/>
    <w:rsid w:val="00581C3A"/>
    <w:rsid w:val="00583A52"/>
    <w:rsid w:val="00586015"/>
    <w:rsid w:val="005866D8"/>
    <w:rsid w:val="00590394"/>
    <w:rsid w:val="005907EA"/>
    <w:rsid w:val="00592E78"/>
    <w:rsid w:val="00597503"/>
    <w:rsid w:val="005977AD"/>
    <w:rsid w:val="005A06A8"/>
    <w:rsid w:val="005A2015"/>
    <w:rsid w:val="005A28A2"/>
    <w:rsid w:val="005A3742"/>
    <w:rsid w:val="005A4067"/>
    <w:rsid w:val="005A6563"/>
    <w:rsid w:val="005B2190"/>
    <w:rsid w:val="005B2344"/>
    <w:rsid w:val="005B26C6"/>
    <w:rsid w:val="005B4ABA"/>
    <w:rsid w:val="005B5B4A"/>
    <w:rsid w:val="005B7BE4"/>
    <w:rsid w:val="005C0823"/>
    <w:rsid w:val="005C2590"/>
    <w:rsid w:val="005C276A"/>
    <w:rsid w:val="005C3D1C"/>
    <w:rsid w:val="005C5086"/>
    <w:rsid w:val="005C5657"/>
    <w:rsid w:val="005C6A45"/>
    <w:rsid w:val="005D01FA"/>
    <w:rsid w:val="005D0FDD"/>
    <w:rsid w:val="005D114F"/>
    <w:rsid w:val="005D1951"/>
    <w:rsid w:val="005D260F"/>
    <w:rsid w:val="005D2682"/>
    <w:rsid w:val="005D2B98"/>
    <w:rsid w:val="005D4D3E"/>
    <w:rsid w:val="005D5894"/>
    <w:rsid w:val="005D6B38"/>
    <w:rsid w:val="005E0CE6"/>
    <w:rsid w:val="005E31C1"/>
    <w:rsid w:val="005E3416"/>
    <w:rsid w:val="005E3600"/>
    <w:rsid w:val="005E44F0"/>
    <w:rsid w:val="005E678B"/>
    <w:rsid w:val="005E6E42"/>
    <w:rsid w:val="005E7931"/>
    <w:rsid w:val="005E7996"/>
    <w:rsid w:val="005F10DC"/>
    <w:rsid w:val="005F32C6"/>
    <w:rsid w:val="005F3A5D"/>
    <w:rsid w:val="005F3FCA"/>
    <w:rsid w:val="005F78F6"/>
    <w:rsid w:val="006029FE"/>
    <w:rsid w:val="00603788"/>
    <w:rsid w:val="00606FF1"/>
    <w:rsid w:val="006103DD"/>
    <w:rsid w:val="0061275E"/>
    <w:rsid w:val="00612CCC"/>
    <w:rsid w:val="00613D34"/>
    <w:rsid w:val="00615157"/>
    <w:rsid w:val="00615266"/>
    <w:rsid w:val="00615657"/>
    <w:rsid w:val="00615E74"/>
    <w:rsid w:val="006160BE"/>
    <w:rsid w:val="006214BE"/>
    <w:rsid w:val="00621839"/>
    <w:rsid w:val="006262A7"/>
    <w:rsid w:val="00627CCF"/>
    <w:rsid w:val="00627FDA"/>
    <w:rsid w:val="00632A37"/>
    <w:rsid w:val="0063396F"/>
    <w:rsid w:val="006379BD"/>
    <w:rsid w:val="00640782"/>
    <w:rsid w:val="00640AD2"/>
    <w:rsid w:val="00643185"/>
    <w:rsid w:val="006451FF"/>
    <w:rsid w:val="0064692D"/>
    <w:rsid w:val="00655A81"/>
    <w:rsid w:val="00657B37"/>
    <w:rsid w:val="00665700"/>
    <w:rsid w:val="006700DE"/>
    <w:rsid w:val="00670318"/>
    <w:rsid w:val="0067097F"/>
    <w:rsid w:val="00670C75"/>
    <w:rsid w:val="006711CF"/>
    <w:rsid w:val="0067198E"/>
    <w:rsid w:val="006748E1"/>
    <w:rsid w:val="0067513C"/>
    <w:rsid w:val="00676049"/>
    <w:rsid w:val="00677070"/>
    <w:rsid w:val="0068024D"/>
    <w:rsid w:val="0068027C"/>
    <w:rsid w:val="006820DE"/>
    <w:rsid w:val="00684803"/>
    <w:rsid w:val="00687B28"/>
    <w:rsid w:val="006948FB"/>
    <w:rsid w:val="00696E24"/>
    <w:rsid w:val="006A029C"/>
    <w:rsid w:val="006A0305"/>
    <w:rsid w:val="006A0665"/>
    <w:rsid w:val="006A0794"/>
    <w:rsid w:val="006A0B13"/>
    <w:rsid w:val="006A64D0"/>
    <w:rsid w:val="006A6570"/>
    <w:rsid w:val="006A69F3"/>
    <w:rsid w:val="006A7794"/>
    <w:rsid w:val="006B05B0"/>
    <w:rsid w:val="006B061A"/>
    <w:rsid w:val="006B0B04"/>
    <w:rsid w:val="006B37BA"/>
    <w:rsid w:val="006B3C35"/>
    <w:rsid w:val="006B6299"/>
    <w:rsid w:val="006B62D5"/>
    <w:rsid w:val="006B6C4C"/>
    <w:rsid w:val="006B71BB"/>
    <w:rsid w:val="006B72BD"/>
    <w:rsid w:val="006B740F"/>
    <w:rsid w:val="006C0A36"/>
    <w:rsid w:val="006C1374"/>
    <w:rsid w:val="006C1C9A"/>
    <w:rsid w:val="006C4EC0"/>
    <w:rsid w:val="006D2D69"/>
    <w:rsid w:val="006D5360"/>
    <w:rsid w:val="006D54F2"/>
    <w:rsid w:val="006D60D1"/>
    <w:rsid w:val="006D786D"/>
    <w:rsid w:val="006E145D"/>
    <w:rsid w:val="006E417A"/>
    <w:rsid w:val="006E461C"/>
    <w:rsid w:val="006E572A"/>
    <w:rsid w:val="006E6BCA"/>
    <w:rsid w:val="006E7F49"/>
    <w:rsid w:val="006F01B7"/>
    <w:rsid w:val="006F41F0"/>
    <w:rsid w:val="006F49E8"/>
    <w:rsid w:val="006F5B47"/>
    <w:rsid w:val="006F76FC"/>
    <w:rsid w:val="00706238"/>
    <w:rsid w:val="00706C8C"/>
    <w:rsid w:val="00707E16"/>
    <w:rsid w:val="007100A3"/>
    <w:rsid w:val="00711800"/>
    <w:rsid w:val="00711A8C"/>
    <w:rsid w:val="00712AC9"/>
    <w:rsid w:val="00712D1D"/>
    <w:rsid w:val="007135DB"/>
    <w:rsid w:val="00716AAD"/>
    <w:rsid w:val="00721B34"/>
    <w:rsid w:val="00724ACC"/>
    <w:rsid w:val="00726F3F"/>
    <w:rsid w:val="00730431"/>
    <w:rsid w:val="00730E90"/>
    <w:rsid w:val="00730FF6"/>
    <w:rsid w:val="007322F8"/>
    <w:rsid w:val="00733172"/>
    <w:rsid w:val="00734A6B"/>
    <w:rsid w:val="00735987"/>
    <w:rsid w:val="00736115"/>
    <w:rsid w:val="00736D1C"/>
    <w:rsid w:val="007406AE"/>
    <w:rsid w:val="00742BC2"/>
    <w:rsid w:val="007432B9"/>
    <w:rsid w:val="00743D8E"/>
    <w:rsid w:val="00750203"/>
    <w:rsid w:val="007543A6"/>
    <w:rsid w:val="00754505"/>
    <w:rsid w:val="00755239"/>
    <w:rsid w:val="00761B82"/>
    <w:rsid w:val="007649FA"/>
    <w:rsid w:val="00765B07"/>
    <w:rsid w:val="00765F1B"/>
    <w:rsid w:val="0076630E"/>
    <w:rsid w:val="00774521"/>
    <w:rsid w:val="0077541B"/>
    <w:rsid w:val="00775AC8"/>
    <w:rsid w:val="0078397E"/>
    <w:rsid w:val="00787F66"/>
    <w:rsid w:val="007937A0"/>
    <w:rsid w:val="0079403B"/>
    <w:rsid w:val="00797789"/>
    <w:rsid w:val="007A01A7"/>
    <w:rsid w:val="007A7362"/>
    <w:rsid w:val="007B2DAA"/>
    <w:rsid w:val="007B6696"/>
    <w:rsid w:val="007C1C4A"/>
    <w:rsid w:val="007C4716"/>
    <w:rsid w:val="007C4EBD"/>
    <w:rsid w:val="007C522B"/>
    <w:rsid w:val="007C52DB"/>
    <w:rsid w:val="007C6E2A"/>
    <w:rsid w:val="007D191D"/>
    <w:rsid w:val="007D1D4F"/>
    <w:rsid w:val="007D3142"/>
    <w:rsid w:val="007D3E8D"/>
    <w:rsid w:val="007E0FC3"/>
    <w:rsid w:val="007E1199"/>
    <w:rsid w:val="007E5FCF"/>
    <w:rsid w:val="007E792C"/>
    <w:rsid w:val="007E7CB3"/>
    <w:rsid w:val="007F2F01"/>
    <w:rsid w:val="007F5C00"/>
    <w:rsid w:val="007F5D65"/>
    <w:rsid w:val="0080018B"/>
    <w:rsid w:val="0080182B"/>
    <w:rsid w:val="0080182E"/>
    <w:rsid w:val="00801BD3"/>
    <w:rsid w:val="00803C87"/>
    <w:rsid w:val="0081076B"/>
    <w:rsid w:val="00811392"/>
    <w:rsid w:val="00811BF7"/>
    <w:rsid w:val="008131AC"/>
    <w:rsid w:val="008145BE"/>
    <w:rsid w:val="00816B1E"/>
    <w:rsid w:val="008229CA"/>
    <w:rsid w:val="00822E9C"/>
    <w:rsid w:val="00823F57"/>
    <w:rsid w:val="0083084D"/>
    <w:rsid w:val="0083246D"/>
    <w:rsid w:val="0083323F"/>
    <w:rsid w:val="0083339D"/>
    <w:rsid w:val="00833455"/>
    <w:rsid w:val="00835248"/>
    <w:rsid w:val="008355FB"/>
    <w:rsid w:val="0083710B"/>
    <w:rsid w:val="00841BEF"/>
    <w:rsid w:val="008438AB"/>
    <w:rsid w:val="00844AF4"/>
    <w:rsid w:val="00846887"/>
    <w:rsid w:val="00847C71"/>
    <w:rsid w:val="0085006E"/>
    <w:rsid w:val="00850FD7"/>
    <w:rsid w:val="0085109D"/>
    <w:rsid w:val="00854A71"/>
    <w:rsid w:val="008554D8"/>
    <w:rsid w:val="008560FD"/>
    <w:rsid w:val="00860AB4"/>
    <w:rsid w:val="00863E46"/>
    <w:rsid w:val="00864EB4"/>
    <w:rsid w:val="00867DA3"/>
    <w:rsid w:val="00867DFD"/>
    <w:rsid w:val="008722FD"/>
    <w:rsid w:val="008726BA"/>
    <w:rsid w:val="00872934"/>
    <w:rsid w:val="008760A1"/>
    <w:rsid w:val="00877B3F"/>
    <w:rsid w:val="00880F1C"/>
    <w:rsid w:val="00882FCF"/>
    <w:rsid w:val="008875A7"/>
    <w:rsid w:val="00890E3B"/>
    <w:rsid w:val="008929A7"/>
    <w:rsid w:val="00893AE9"/>
    <w:rsid w:val="008A01E9"/>
    <w:rsid w:val="008A0261"/>
    <w:rsid w:val="008A240B"/>
    <w:rsid w:val="008A3A14"/>
    <w:rsid w:val="008A506E"/>
    <w:rsid w:val="008B27BC"/>
    <w:rsid w:val="008B5369"/>
    <w:rsid w:val="008B5A26"/>
    <w:rsid w:val="008B685D"/>
    <w:rsid w:val="008B6EAA"/>
    <w:rsid w:val="008C063C"/>
    <w:rsid w:val="008C101E"/>
    <w:rsid w:val="008C6330"/>
    <w:rsid w:val="008C6A23"/>
    <w:rsid w:val="008C72B2"/>
    <w:rsid w:val="008D116F"/>
    <w:rsid w:val="008D399C"/>
    <w:rsid w:val="008D40E0"/>
    <w:rsid w:val="008E0BD2"/>
    <w:rsid w:val="008E1815"/>
    <w:rsid w:val="008E469C"/>
    <w:rsid w:val="008E4A86"/>
    <w:rsid w:val="008E5E22"/>
    <w:rsid w:val="008E6410"/>
    <w:rsid w:val="008E6916"/>
    <w:rsid w:val="008E74DE"/>
    <w:rsid w:val="008F3692"/>
    <w:rsid w:val="008F4408"/>
    <w:rsid w:val="008F74B9"/>
    <w:rsid w:val="008F7BAD"/>
    <w:rsid w:val="00902A8B"/>
    <w:rsid w:val="009039BE"/>
    <w:rsid w:val="00905491"/>
    <w:rsid w:val="00907FB1"/>
    <w:rsid w:val="00911490"/>
    <w:rsid w:val="00911C31"/>
    <w:rsid w:val="009125ED"/>
    <w:rsid w:val="009129B6"/>
    <w:rsid w:val="00913AA2"/>
    <w:rsid w:val="009175E9"/>
    <w:rsid w:val="009178A6"/>
    <w:rsid w:val="0092336E"/>
    <w:rsid w:val="00931397"/>
    <w:rsid w:val="009343E4"/>
    <w:rsid w:val="00936986"/>
    <w:rsid w:val="00944FB8"/>
    <w:rsid w:val="00945AA9"/>
    <w:rsid w:val="0094757B"/>
    <w:rsid w:val="00950140"/>
    <w:rsid w:val="00950A09"/>
    <w:rsid w:val="009533B2"/>
    <w:rsid w:val="00954DF3"/>
    <w:rsid w:val="00955426"/>
    <w:rsid w:val="00956785"/>
    <w:rsid w:val="009578D4"/>
    <w:rsid w:val="00957FDD"/>
    <w:rsid w:val="009602D4"/>
    <w:rsid w:val="00962475"/>
    <w:rsid w:val="00964810"/>
    <w:rsid w:val="00964C81"/>
    <w:rsid w:val="00967976"/>
    <w:rsid w:val="0097205D"/>
    <w:rsid w:val="00974B67"/>
    <w:rsid w:val="009771A2"/>
    <w:rsid w:val="00977CAA"/>
    <w:rsid w:val="00980ACF"/>
    <w:rsid w:val="00981154"/>
    <w:rsid w:val="00981AAB"/>
    <w:rsid w:val="0098270F"/>
    <w:rsid w:val="00983684"/>
    <w:rsid w:val="00984242"/>
    <w:rsid w:val="00985B31"/>
    <w:rsid w:val="00986934"/>
    <w:rsid w:val="0099116C"/>
    <w:rsid w:val="00991CBA"/>
    <w:rsid w:val="00992036"/>
    <w:rsid w:val="0099281E"/>
    <w:rsid w:val="00995538"/>
    <w:rsid w:val="009A0F2F"/>
    <w:rsid w:val="009A2052"/>
    <w:rsid w:val="009A29EA"/>
    <w:rsid w:val="009A2C15"/>
    <w:rsid w:val="009A2F9D"/>
    <w:rsid w:val="009A45FF"/>
    <w:rsid w:val="009A6844"/>
    <w:rsid w:val="009A6F59"/>
    <w:rsid w:val="009A7CA3"/>
    <w:rsid w:val="009A7ED8"/>
    <w:rsid w:val="009B049B"/>
    <w:rsid w:val="009B7DF4"/>
    <w:rsid w:val="009C2768"/>
    <w:rsid w:val="009C2912"/>
    <w:rsid w:val="009C36F9"/>
    <w:rsid w:val="009C63B9"/>
    <w:rsid w:val="009C7411"/>
    <w:rsid w:val="009D01E7"/>
    <w:rsid w:val="009D2E10"/>
    <w:rsid w:val="009D32F1"/>
    <w:rsid w:val="009D35F0"/>
    <w:rsid w:val="009D3F68"/>
    <w:rsid w:val="009D6F85"/>
    <w:rsid w:val="009D7234"/>
    <w:rsid w:val="009E3B9A"/>
    <w:rsid w:val="009F690B"/>
    <w:rsid w:val="00A03FD8"/>
    <w:rsid w:val="00A05866"/>
    <w:rsid w:val="00A061AB"/>
    <w:rsid w:val="00A07079"/>
    <w:rsid w:val="00A128D9"/>
    <w:rsid w:val="00A1491B"/>
    <w:rsid w:val="00A14EFE"/>
    <w:rsid w:val="00A14F53"/>
    <w:rsid w:val="00A150EB"/>
    <w:rsid w:val="00A1553E"/>
    <w:rsid w:val="00A15ED8"/>
    <w:rsid w:val="00A17A36"/>
    <w:rsid w:val="00A20A0F"/>
    <w:rsid w:val="00A20CCE"/>
    <w:rsid w:val="00A20E98"/>
    <w:rsid w:val="00A21020"/>
    <w:rsid w:val="00A2210A"/>
    <w:rsid w:val="00A23A2E"/>
    <w:rsid w:val="00A257AD"/>
    <w:rsid w:val="00A316BA"/>
    <w:rsid w:val="00A31D5E"/>
    <w:rsid w:val="00A32625"/>
    <w:rsid w:val="00A330D1"/>
    <w:rsid w:val="00A366C1"/>
    <w:rsid w:val="00A41659"/>
    <w:rsid w:val="00A4199E"/>
    <w:rsid w:val="00A448F8"/>
    <w:rsid w:val="00A44C74"/>
    <w:rsid w:val="00A45DB2"/>
    <w:rsid w:val="00A5018D"/>
    <w:rsid w:val="00A504AC"/>
    <w:rsid w:val="00A50A03"/>
    <w:rsid w:val="00A523D4"/>
    <w:rsid w:val="00A524F3"/>
    <w:rsid w:val="00A5403B"/>
    <w:rsid w:val="00A5542E"/>
    <w:rsid w:val="00A56993"/>
    <w:rsid w:val="00A63AF4"/>
    <w:rsid w:val="00A63E92"/>
    <w:rsid w:val="00A666D6"/>
    <w:rsid w:val="00A7029D"/>
    <w:rsid w:val="00A710A1"/>
    <w:rsid w:val="00A74786"/>
    <w:rsid w:val="00A7611C"/>
    <w:rsid w:val="00A77AB0"/>
    <w:rsid w:val="00A77E50"/>
    <w:rsid w:val="00A83921"/>
    <w:rsid w:val="00A90662"/>
    <w:rsid w:val="00A906BD"/>
    <w:rsid w:val="00A90CAF"/>
    <w:rsid w:val="00A911CD"/>
    <w:rsid w:val="00A9465D"/>
    <w:rsid w:val="00A94B75"/>
    <w:rsid w:val="00A960E5"/>
    <w:rsid w:val="00A96780"/>
    <w:rsid w:val="00AA2073"/>
    <w:rsid w:val="00AA22A0"/>
    <w:rsid w:val="00AA635B"/>
    <w:rsid w:val="00AA64AA"/>
    <w:rsid w:val="00AB0CE4"/>
    <w:rsid w:val="00AB2D4D"/>
    <w:rsid w:val="00AB2EBD"/>
    <w:rsid w:val="00AB2F45"/>
    <w:rsid w:val="00AB3DC1"/>
    <w:rsid w:val="00AB618A"/>
    <w:rsid w:val="00AB65E9"/>
    <w:rsid w:val="00AC1248"/>
    <w:rsid w:val="00AC184C"/>
    <w:rsid w:val="00AC1F91"/>
    <w:rsid w:val="00AC2D7F"/>
    <w:rsid w:val="00AC3488"/>
    <w:rsid w:val="00AC3BCF"/>
    <w:rsid w:val="00AC424D"/>
    <w:rsid w:val="00AC4C81"/>
    <w:rsid w:val="00AC69C8"/>
    <w:rsid w:val="00AC6E3C"/>
    <w:rsid w:val="00AC7779"/>
    <w:rsid w:val="00AD22A5"/>
    <w:rsid w:val="00AD3F57"/>
    <w:rsid w:val="00AD5249"/>
    <w:rsid w:val="00AD5CE7"/>
    <w:rsid w:val="00AD68DE"/>
    <w:rsid w:val="00AD6F9F"/>
    <w:rsid w:val="00AE00D4"/>
    <w:rsid w:val="00AE0253"/>
    <w:rsid w:val="00AE0304"/>
    <w:rsid w:val="00AE0D16"/>
    <w:rsid w:val="00AE2BE1"/>
    <w:rsid w:val="00AE3209"/>
    <w:rsid w:val="00AE6678"/>
    <w:rsid w:val="00AF1805"/>
    <w:rsid w:val="00AF2C45"/>
    <w:rsid w:val="00AF4B25"/>
    <w:rsid w:val="00AF4E72"/>
    <w:rsid w:val="00AF5AD9"/>
    <w:rsid w:val="00AF6019"/>
    <w:rsid w:val="00B013DC"/>
    <w:rsid w:val="00B02B68"/>
    <w:rsid w:val="00B04A31"/>
    <w:rsid w:val="00B0627A"/>
    <w:rsid w:val="00B07B18"/>
    <w:rsid w:val="00B10579"/>
    <w:rsid w:val="00B11463"/>
    <w:rsid w:val="00B1148A"/>
    <w:rsid w:val="00B12106"/>
    <w:rsid w:val="00B158AC"/>
    <w:rsid w:val="00B163A3"/>
    <w:rsid w:val="00B17838"/>
    <w:rsid w:val="00B22292"/>
    <w:rsid w:val="00B23147"/>
    <w:rsid w:val="00B23EB0"/>
    <w:rsid w:val="00B24942"/>
    <w:rsid w:val="00B254E4"/>
    <w:rsid w:val="00B25538"/>
    <w:rsid w:val="00B25D78"/>
    <w:rsid w:val="00B26504"/>
    <w:rsid w:val="00B27F13"/>
    <w:rsid w:val="00B30890"/>
    <w:rsid w:val="00B3242A"/>
    <w:rsid w:val="00B33B45"/>
    <w:rsid w:val="00B3489F"/>
    <w:rsid w:val="00B34DD2"/>
    <w:rsid w:val="00B350AE"/>
    <w:rsid w:val="00B3521D"/>
    <w:rsid w:val="00B37669"/>
    <w:rsid w:val="00B40DEC"/>
    <w:rsid w:val="00B42543"/>
    <w:rsid w:val="00B425F1"/>
    <w:rsid w:val="00B42641"/>
    <w:rsid w:val="00B42DC7"/>
    <w:rsid w:val="00B43E9D"/>
    <w:rsid w:val="00B4402A"/>
    <w:rsid w:val="00B448CA"/>
    <w:rsid w:val="00B478F1"/>
    <w:rsid w:val="00B52BD3"/>
    <w:rsid w:val="00B53989"/>
    <w:rsid w:val="00B557DE"/>
    <w:rsid w:val="00B604CA"/>
    <w:rsid w:val="00B6305D"/>
    <w:rsid w:val="00B63C58"/>
    <w:rsid w:val="00B67C49"/>
    <w:rsid w:val="00B741D4"/>
    <w:rsid w:val="00B82696"/>
    <w:rsid w:val="00B82BD2"/>
    <w:rsid w:val="00B83005"/>
    <w:rsid w:val="00B8345C"/>
    <w:rsid w:val="00B83A84"/>
    <w:rsid w:val="00B83BA2"/>
    <w:rsid w:val="00B83C37"/>
    <w:rsid w:val="00B83CCF"/>
    <w:rsid w:val="00B86559"/>
    <w:rsid w:val="00B86D9D"/>
    <w:rsid w:val="00B9210F"/>
    <w:rsid w:val="00B92BD1"/>
    <w:rsid w:val="00B973CF"/>
    <w:rsid w:val="00BA7275"/>
    <w:rsid w:val="00BB410B"/>
    <w:rsid w:val="00BB58E6"/>
    <w:rsid w:val="00BB5D58"/>
    <w:rsid w:val="00BB7BD9"/>
    <w:rsid w:val="00BC15B0"/>
    <w:rsid w:val="00BC2B55"/>
    <w:rsid w:val="00BC2EF2"/>
    <w:rsid w:val="00BC30E7"/>
    <w:rsid w:val="00BC4CA5"/>
    <w:rsid w:val="00BC67A5"/>
    <w:rsid w:val="00BC7CF0"/>
    <w:rsid w:val="00BD0696"/>
    <w:rsid w:val="00BD2675"/>
    <w:rsid w:val="00BD3004"/>
    <w:rsid w:val="00BD5290"/>
    <w:rsid w:val="00BD693E"/>
    <w:rsid w:val="00BD76F6"/>
    <w:rsid w:val="00BD7F43"/>
    <w:rsid w:val="00BE05A7"/>
    <w:rsid w:val="00BE1B7B"/>
    <w:rsid w:val="00BE2183"/>
    <w:rsid w:val="00BE28BF"/>
    <w:rsid w:val="00BE3C41"/>
    <w:rsid w:val="00BE4EB4"/>
    <w:rsid w:val="00BE608F"/>
    <w:rsid w:val="00BF026D"/>
    <w:rsid w:val="00BF04FB"/>
    <w:rsid w:val="00BF13E7"/>
    <w:rsid w:val="00BF4322"/>
    <w:rsid w:val="00BF5772"/>
    <w:rsid w:val="00BF7AB3"/>
    <w:rsid w:val="00C0069D"/>
    <w:rsid w:val="00C00BBC"/>
    <w:rsid w:val="00C00E05"/>
    <w:rsid w:val="00C022F4"/>
    <w:rsid w:val="00C02CDC"/>
    <w:rsid w:val="00C03615"/>
    <w:rsid w:val="00C070E8"/>
    <w:rsid w:val="00C07D48"/>
    <w:rsid w:val="00C144F9"/>
    <w:rsid w:val="00C1546B"/>
    <w:rsid w:val="00C20E90"/>
    <w:rsid w:val="00C211E1"/>
    <w:rsid w:val="00C21DB7"/>
    <w:rsid w:val="00C2299E"/>
    <w:rsid w:val="00C25031"/>
    <w:rsid w:val="00C25226"/>
    <w:rsid w:val="00C260F4"/>
    <w:rsid w:val="00C2743B"/>
    <w:rsid w:val="00C303BB"/>
    <w:rsid w:val="00C34139"/>
    <w:rsid w:val="00C34597"/>
    <w:rsid w:val="00C34630"/>
    <w:rsid w:val="00C42B40"/>
    <w:rsid w:val="00C432D9"/>
    <w:rsid w:val="00C439B7"/>
    <w:rsid w:val="00C43EE1"/>
    <w:rsid w:val="00C46377"/>
    <w:rsid w:val="00C479D3"/>
    <w:rsid w:val="00C52505"/>
    <w:rsid w:val="00C53450"/>
    <w:rsid w:val="00C56F8D"/>
    <w:rsid w:val="00C62423"/>
    <w:rsid w:val="00C6365F"/>
    <w:rsid w:val="00C63665"/>
    <w:rsid w:val="00C64697"/>
    <w:rsid w:val="00C653D6"/>
    <w:rsid w:val="00C659F7"/>
    <w:rsid w:val="00C66218"/>
    <w:rsid w:val="00C66B96"/>
    <w:rsid w:val="00C6714F"/>
    <w:rsid w:val="00C67203"/>
    <w:rsid w:val="00C673B3"/>
    <w:rsid w:val="00C74D6E"/>
    <w:rsid w:val="00C767ED"/>
    <w:rsid w:val="00C77F04"/>
    <w:rsid w:val="00C81E82"/>
    <w:rsid w:val="00C853D6"/>
    <w:rsid w:val="00C86D98"/>
    <w:rsid w:val="00C86F27"/>
    <w:rsid w:val="00C9020A"/>
    <w:rsid w:val="00C90ED8"/>
    <w:rsid w:val="00C912D9"/>
    <w:rsid w:val="00C96A66"/>
    <w:rsid w:val="00C975BA"/>
    <w:rsid w:val="00CA01AA"/>
    <w:rsid w:val="00CA1B17"/>
    <w:rsid w:val="00CA1D1B"/>
    <w:rsid w:val="00CA22C4"/>
    <w:rsid w:val="00CA503A"/>
    <w:rsid w:val="00CA5AA0"/>
    <w:rsid w:val="00CA5E3F"/>
    <w:rsid w:val="00CA5F06"/>
    <w:rsid w:val="00CA619C"/>
    <w:rsid w:val="00CA6EE9"/>
    <w:rsid w:val="00CB089C"/>
    <w:rsid w:val="00CB1EE6"/>
    <w:rsid w:val="00CB2F93"/>
    <w:rsid w:val="00CB59C6"/>
    <w:rsid w:val="00CC0876"/>
    <w:rsid w:val="00CC318C"/>
    <w:rsid w:val="00CC3FB0"/>
    <w:rsid w:val="00CC54B1"/>
    <w:rsid w:val="00CC6C1E"/>
    <w:rsid w:val="00CC6FB1"/>
    <w:rsid w:val="00CC72EC"/>
    <w:rsid w:val="00CD02C8"/>
    <w:rsid w:val="00CD317C"/>
    <w:rsid w:val="00CD4712"/>
    <w:rsid w:val="00CD4A58"/>
    <w:rsid w:val="00CD5128"/>
    <w:rsid w:val="00CE138C"/>
    <w:rsid w:val="00CE2496"/>
    <w:rsid w:val="00CE2E77"/>
    <w:rsid w:val="00CE409B"/>
    <w:rsid w:val="00CE5060"/>
    <w:rsid w:val="00CE731E"/>
    <w:rsid w:val="00CF0343"/>
    <w:rsid w:val="00CF072C"/>
    <w:rsid w:val="00CF0B70"/>
    <w:rsid w:val="00CF3B20"/>
    <w:rsid w:val="00CF5FC4"/>
    <w:rsid w:val="00CF61B3"/>
    <w:rsid w:val="00CF62B0"/>
    <w:rsid w:val="00D0225F"/>
    <w:rsid w:val="00D02486"/>
    <w:rsid w:val="00D02A1A"/>
    <w:rsid w:val="00D0307C"/>
    <w:rsid w:val="00D04223"/>
    <w:rsid w:val="00D070E4"/>
    <w:rsid w:val="00D120ED"/>
    <w:rsid w:val="00D130AA"/>
    <w:rsid w:val="00D17978"/>
    <w:rsid w:val="00D2084E"/>
    <w:rsid w:val="00D22DF4"/>
    <w:rsid w:val="00D23614"/>
    <w:rsid w:val="00D23CCB"/>
    <w:rsid w:val="00D23F25"/>
    <w:rsid w:val="00D24D98"/>
    <w:rsid w:val="00D26499"/>
    <w:rsid w:val="00D2737F"/>
    <w:rsid w:val="00D2746C"/>
    <w:rsid w:val="00D27ADF"/>
    <w:rsid w:val="00D27CBB"/>
    <w:rsid w:val="00D30F41"/>
    <w:rsid w:val="00D333F3"/>
    <w:rsid w:val="00D33534"/>
    <w:rsid w:val="00D347A7"/>
    <w:rsid w:val="00D3687F"/>
    <w:rsid w:val="00D3696F"/>
    <w:rsid w:val="00D40F86"/>
    <w:rsid w:val="00D41E33"/>
    <w:rsid w:val="00D4273F"/>
    <w:rsid w:val="00D4533F"/>
    <w:rsid w:val="00D45691"/>
    <w:rsid w:val="00D45F92"/>
    <w:rsid w:val="00D47F51"/>
    <w:rsid w:val="00D52447"/>
    <w:rsid w:val="00D5481B"/>
    <w:rsid w:val="00D560A1"/>
    <w:rsid w:val="00D577A8"/>
    <w:rsid w:val="00D57B59"/>
    <w:rsid w:val="00D621B0"/>
    <w:rsid w:val="00D63287"/>
    <w:rsid w:val="00D634B8"/>
    <w:rsid w:val="00D63AA5"/>
    <w:rsid w:val="00D65826"/>
    <w:rsid w:val="00D66133"/>
    <w:rsid w:val="00D71297"/>
    <w:rsid w:val="00D72988"/>
    <w:rsid w:val="00D73E09"/>
    <w:rsid w:val="00D74532"/>
    <w:rsid w:val="00D7773D"/>
    <w:rsid w:val="00D800B2"/>
    <w:rsid w:val="00D804FB"/>
    <w:rsid w:val="00D8149D"/>
    <w:rsid w:val="00D8677A"/>
    <w:rsid w:val="00D86826"/>
    <w:rsid w:val="00D9077C"/>
    <w:rsid w:val="00D90EBD"/>
    <w:rsid w:val="00D9414B"/>
    <w:rsid w:val="00D957B3"/>
    <w:rsid w:val="00D97E7E"/>
    <w:rsid w:val="00DA20EA"/>
    <w:rsid w:val="00DA5023"/>
    <w:rsid w:val="00DA5761"/>
    <w:rsid w:val="00DA58D5"/>
    <w:rsid w:val="00DA6AB7"/>
    <w:rsid w:val="00DB1F5F"/>
    <w:rsid w:val="00DB3B61"/>
    <w:rsid w:val="00DB4608"/>
    <w:rsid w:val="00DC116F"/>
    <w:rsid w:val="00DC2429"/>
    <w:rsid w:val="00DD077C"/>
    <w:rsid w:val="00DD0F2D"/>
    <w:rsid w:val="00DD34BC"/>
    <w:rsid w:val="00DD58EA"/>
    <w:rsid w:val="00DE2848"/>
    <w:rsid w:val="00DE3F9B"/>
    <w:rsid w:val="00DE5F13"/>
    <w:rsid w:val="00DE7936"/>
    <w:rsid w:val="00DF4902"/>
    <w:rsid w:val="00DF5559"/>
    <w:rsid w:val="00E04F1C"/>
    <w:rsid w:val="00E05BAD"/>
    <w:rsid w:val="00E14417"/>
    <w:rsid w:val="00E15AB5"/>
    <w:rsid w:val="00E15F5B"/>
    <w:rsid w:val="00E1637E"/>
    <w:rsid w:val="00E17639"/>
    <w:rsid w:val="00E208D9"/>
    <w:rsid w:val="00E2150D"/>
    <w:rsid w:val="00E22338"/>
    <w:rsid w:val="00E24661"/>
    <w:rsid w:val="00E24839"/>
    <w:rsid w:val="00E25F94"/>
    <w:rsid w:val="00E26D36"/>
    <w:rsid w:val="00E311AF"/>
    <w:rsid w:val="00E3136A"/>
    <w:rsid w:val="00E32BCB"/>
    <w:rsid w:val="00E35BC8"/>
    <w:rsid w:val="00E42523"/>
    <w:rsid w:val="00E43F41"/>
    <w:rsid w:val="00E45801"/>
    <w:rsid w:val="00E458C7"/>
    <w:rsid w:val="00E4664F"/>
    <w:rsid w:val="00E52A95"/>
    <w:rsid w:val="00E52CCC"/>
    <w:rsid w:val="00E5435C"/>
    <w:rsid w:val="00E55398"/>
    <w:rsid w:val="00E55CFB"/>
    <w:rsid w:val="00E5754C"/>
    <w:rsid w:val="00E60F11"/>
    <w:rsid w:val="00E652D9"/>
    <w:rsid w:val="00E6570C"/>
    <w:rsid w:val="00E65C51"/>
    <w:rsid w:val="00E6709C"/>
    <w:rsid w:val="00E73BFF"/>
    <w:rsid w:val="00E75338"/>
    <w:rsid w:val="00E762FD"/>
    <w:rsid w:val="00E76737"/>
    <w:rsid w:val="00E7688F"/>
    <w:rsid w:val="00E80913"/>
    <w:rsid w:val="00E81802"/>
    <w:rsid w:val="00E82BD7"/>
    <w:rsid w:val="00E861DA"/>
    <w:rsid w:val="00E86584"/>
    <w:rsid w:val="00E869BB"/>
    <w:rsid w:val="00E8717D"/>
    <w:rsid w:val="00E87D19"/>
    <w:rsid w:val="00E906BB"/>
    <w:rsid w:val="00E908FC"/>
    <w:rsid w:val="00E912C9"/>
    <w:rsid w:val="00E91AB1"/>
    <w:rsid w:val="00E92859"/>
    <w:rsid w:val="00E92C0E"/>
    <w:rsid w:val="00E94070"/>
    <w:rsid w:val="00E9544E"/>
    <w:rsid w:val="00E96F96"/>
    <w:rsid w:val="00EA0195"/>
    <w:rsid w:val="00EA0621"/>
    <w:rsid w:val="00EA14CE"/>
    <w:rsid w:val="00EA24F0"/>
    <w:rsid w:val="00EA4559"/>
    <w:rsid w:val="00EA6CFF"/>
    <w:rsid w:val="00EB0D73"/>
    <w:rsid w:val="00EB18AD"/>
    <w:rsid w:val="00EB357B"/>
    <w:rsid w:val="00EB3B6E"/>
    <w:rsid w:val="00EB4B0F"/>
    <w:rsid w:val="00EB4E87"/>
    <w:rsid w:val="00EB4EF5"/>
    <w:rsid w:val="00EB5D04"/>
    <w:rsid w:val="00EB60D5"/>
    <w:rsid w:val="00EB7082"/>
    <w:rsid w:val="00EC0989"/>
    <w:rsid w:val="00EC1F7C"/>
    <w:rsid w:val="00EC2A42"/>
    <w:rsid w:val="00EC485C"/>
    <w:rsid w:val="00EC50E0"/>
    <w:rsid w:val="00EC52B3"/>
    <w:rsid w:val="00EC54D6"/>
    <w:rsid w:val="00ED4FFA"/>
    <w:rsid w:val="00ED5E18"/>
    <w:rsid w:val="00ED644E"/>
    <w:rsid w:val="00ED66ED"/>
    <w:rsid w:val="00ED6C78"/>
    <w:rsid w:val="00EE0058"/>
    <w:rsid w:val="00EE0E1B"/>
    <w:rsid w:val="00EE4AE7"/>
    <w:rsid w:val="00EE4B2C"/>
    <w:rsid w:val="00EF02FE"/>
    <w:rsid w:val="00EF1F23"/>
    <w:rsid w:val="00EF4E9F"/>
    <w:rsid w:val="00F012FD"/>
    <w:rsid w:val="00F049EC"/>
    <w:rsid w:val="00F05D0B"/>
    <w:rsid w:val="00F06952"/>
    <w:rsid w:val="00F1410D"/>
    <w:rsid w:val="00F145C3"/>
    <w:rsid w:val="00F14731"/>
    <w:rsid w:val="00F14AB1"/>
    <w:rsid w:val="00F1507A"/>
    <w:rsid w:val="00F20C2F"/>
    <w:rsid w:val="00F21CCF"/>
    <w:rsid w:val="00F2432A"/>
    <w:rsid w:val="00F2521E"/>
    <w:rsid w:val="00F25A93"/>
    <w:rsid w:val="00F27D45"/>
    <w:rsid w:val="00F3125F"/>
    <w:rsid w:val="00F31B31"/>
    <w:rsid w:val="00F32AB7"/>
    <w:rsid w:val="00F32C98"/>
    <w:rsid w:val="00F343CF"/>
    <w:rsid w:val="00F34AC6"/>
    <w:rsid w:val="00F3665D"/>
    <w:rsid w:val="00F4037F"/>
    <w:rsid w:val="00F410AC"/>
    <w:rsid w:val="00F416AE"/>
    <w:rsid w:val="00F41B2D"/>
    <w:rsid w:val="00F4531E"/>
    <w:rsid w:val="00F45D66"/>
    <w:rsid w:val="00F55768"/>
    <w:rsid w:val="00F62747"/>
    <w:rsid w:val="00F6667E"/>
    <w:rsid w:val="00F66686"/>
    <w:rsid w:val="00F6668D"/>
    <w:rsid w:val="00F71800"/>
    <w:rsid w:val="00F71926"/>
    <w:rsid w:val="00F7237E"/>
    <w:rsid w:val="00F7272A"/>
    <w:rsid w:val="00F750AC"/>
    <w:rsid w:val="00F7660F"/>
    <w:rsid w:val="00F77774"/>
    <w:rsid w:val="00F80A68"/>
    <w:rsid w:val="00F818EA"/>
    <w:rsid w:val="00F84721"/>
    <w:rsid w:val="00F84D80"/>
    <w:rsid w:val="00F94BFF"/>
    <w:rsid w:val="00F958A5"/>
    <w:rsid w:val="00F95F52"/>
    <w:rsid w:val="00FA49FD"/>
    <w:rsid w:val="00FA4D76"/>
    <w:rsid w:val="00FA4FDB"/>
    <w:rsid w:val="00FA7DAA"/>
    <w:rsid w:val="00FB132A"/>
    <w:rsid w:val="00FB2D5E"/>
    <w:rsid w:val="00FB511F"/>
    <w:rsid w:val="00FB58F5"/>
    <w:rsid w:val="00FB5DE6"/>
    <w:rsid w:val="00FC20CF"/>
    <w:rsid w:val="00FC42DE"/>
    <w:rsid w:val="00FD0FA2"/>
    <w:rsid w:val="00FD363D"/>
    <w:rsid w:val="00FD477C"/>
    <w:rsid w:val="00FD582E"/>
    <w:rsid w:val="00FD7A6E"/>
    <w:rsid w:val="00FE0FD8"/>
    <w:rsid w:val="00FE647A"/>
    <w:rsid w:val="00FF0C12"/>
    <w:rsid w:val="00FF0EFC"/>
    <w:rsid w:val="00FF23E5"/>
    <w:rsid w:val="00FF2F44"/>
    <w:rsid w:val="00FF3882"/>
    <w:rsid w:val="00FF5337"/>
    <w:rsid w:val="00FF5830"/>
    <w:rsid w:val="00FF6B9C"/>
    <w:rsid w:val="00FF6CC0"/>
    <w:rsid w:val="00FF72D9"/>
    <w:rsid w:val="00FF76DF"/>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B0987A"/>
  <w15:docId w15:val="{C8BA26CF-50AD-4F13-9449-76E0C35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customStyle="1" w:styleId="Level2">
    <w:name w:val="Level 2"/>
    <w:basedOn w:val="Heading2"/>
    <w:rsid w:val="00743D8E"/>
    <w:pPr>
      <w:numPr>
        <w:ilvl w:val="1"/>
        <w:numId w:val="5"/>
      </w:numPr>
      <w:spacing w:before="200" w:after="200" w:line="300" w:lineRule="exact"/>
      <w:jc w:val="left"/>
    </w:pPr>
    <w:rPr>
      <w:b w:val="0"/>
      <w:color w:val="323232"/>
      <w:sz w:val="22"/>
      <w:szCs w:val="28"/>
      <w:u w:val="none"/>
      <w:lang w:eastAsia="en-US"/>
    </w:rPr>
  </w:style>
  <w:style w:type="paragraph" w:customStyle="1" w:styleId="Level1">
    <w:name w:val="Level 1"/>
    <w:basedOn w:val="Heading1"/>
    <w:next w:val="Level2"/>
    <w:rsid w:val="00743D8E"/>
    <w:pPr>
      <w:numPr>
        <w:numId w:val="5"/>
      </w:numPr>
      <w:tabs>
        <w:tab w:val="left" w:pos="1425"/>
      </w:tabs>
      <w:suppressAutoHyphens/>
      <w:spacing w:before="400" w:line="300" w:lineRule="exact"/>
      <w:jc w:val="left"/>
    </w:pPr>
    <w:rPr>
      <w:b w:val="0"/>
      <w:color w:val="0074E1"/>
      <w:kern w:val="32"/>
      <w:sz w:val="30"/>
      <w:szCs w:val="32"/>
      <w:lang w:eastAsia="en-US"/>
    </w:rPr>
  </w:style>
  <w:style w:type="paragraph" w:customStyle="1" w:styleId="aaaaa">
    <w:name w:val="aaaaa"/>
    <w:basedOn w:val="Level2"/>
    <w:link w:val="aaaaaChar"/>
    <w:qFormat/>
    <w:rsid w:val="00743D8E"/>
  </w:style>
  <w:style w:type="character" w:customStyle="1" w:styleId="aaaaaChar">
    <w:name w:val="aaaaa Char"/>
    <w:link w:val="aaaaa"/>
    <w:rsid w:val="00743D8E"/>
    <w:rPr>
      <w:rFonts w:ascii="Arial" w:hAnsi="Arial"/>
      <w:color w:val="323232"/>
      <w:sz w:val="22"/>
      <w:szCs w:val="28"/>
      <w:lang w:eastAsia="en-US"/>
    </w:rPr>
  </w:style>
  <w:style w:type="paragraph" w:styleId="Revision">
    <w:name w:val="Revision"/>
    <w:hidden/>
    <w:uiPriority w:val="99"/>
    <w:semiHidden/>
    <w:rsid w:val="00147B3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12">
      <w:bodyDiv w:val="1"/>
      <w:marLeft w:val="0"/>
      <w:marRight w:val="0"/>
      <w:marTop w:val="0"/>
      <w:marBottom w:val="0"/>
      <w:divBdr>
        <w:top w:val="none" w:sz="0" w:space="0" w:color="auto"/>
        <w:left w:val="none" w:sz="0" w:space="0" w:color="auto"/>
        <w:bottom w:val="none" w:sz="0" w:space="0" w:color="auto"/>
        <w:right w:val="none" w:sz="0" w:space="0" w:color="auto"/>
      </w:divBdr>
    </w:div>
    <w:div w:id="51855136">
      <w:bodyDiv w:val="1"/>
      <w:marLeft w:val="0"/>
      <w:marRight w:val="0"/>
      <w:marTop w:val="0"/>
      <w:marBottom w:val="0"/>
      <w:divBdr>
        <w:top w:val="none" w:sz="0" w:space="0" w:color="auto"/>
        <w:left w:val="none" w:sz="0" w:space="0" w:color="auto"/>
        <w:bottom w:val="none" w:sz="0" w:space="0" w:color="auto"/>
        <w:right w:val="none" w:sz="0" w:space="0" w:color="auto"/>
      </w:divBdr>
    </w:div>
    <w:div w:id="84960870">
      <w:bodyDiv w:val="1"/>
      <w:marLeft w:val="0"/>
      <w:marRight w:val="0"/>
      <w:marTop w:val="0"/>
      <w:marBottom w:val="0"/>
      <w:divBdr>
        <w:top w:val="none" w:sz="0" w:space="0" w:color="auto"/>
        <w:left w:val="none" w:sz="0" w:space="0" w:color="auto"/>
        <w:bottom w:val="none" w:sz="0" w:space="0" w:color="auto"/>
        <w:right w:val="none" w:sz="0" w:space="0" w:color="auto"/>
      </w:divBdr>
    </w:div>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21578989">
      <w:bodyDiv w:val="1"/>
      <w:marLeft w:val="0"/>
      <w:marRight w:val="0"/>
      <w:marTop w:val="0"/>
      <w:marBottom w:val="0"/>
      <w:divBdr>
        <w:top w:val="none" w:sz="0" w:space="0" w:color="auto"/>
        <w:left w:val="none" w:sz="0" w:space="0" w:color="auto"/>
        <w:bottom w:val="none" w:sz="0" w:space="0" w:color="auto"/>
        <w:right w:val="none" w:sz="0" w:space="0" w:color="auto"/>
      </w:divBdr>
    </w:div>
    <w:div w:id="220211890">
      <w:bodyDiv w:val="1"/>
      <w:marLeft w:val="0"/>
      <w:marRight w:val="0"/>
      <w:marTop w:val="0"/>
      <w:marBottom w:val="0"/>
      <w:divBdr>
        <w:top w:val="none" w:sz="0" w:space="0" w:color="auto"/>
        <w:left w:val="none" w:sz="0" w:space="0" w:color="auto"/>
        <w:bottom w:val="none" w:sz="0" w:space="0" w:color="auto"/>
        <w:right w:val="none" w:sz="0" w:space="0" w:color="auto"/>
      </w:divBdr>
    </w:div>
    <w:div w:id="240679892">
      <w:bodyDiv w:val="1"/>
      <w:marLeft w:val="0"/>
      <w:marRight w:val="0"/>
      <w:marTop w:val="0"/>
      <w:marBottom w:val="0"/>
      <w:divBdr>
        <w:top w:val="none" w:sz="0" w:space="0" w:color="auto"/>
        <w:left w:val="none" w:sz="0" w:space="0" w:color="auto"/>
        <w:bottom w:val="none" w:sz="0" w:space="0" w:color="auto"/>
        <w:right w:val="none" w:sz="0" w:space="0" w:color="auto"/>
      </w:divBdr>
    </w:div>
    <w:div w:id="378555903">
      <w:bodyDiv w:val="1"/>
      <w:marLeft w:val="0"/>
      <w:marRight w:val="0"/>
      <w:marTop w:val="0"/>
      <w:marBottom w:val="0"/>
      <w:divBdr>
        <w:top w:val="none" w:sz="0" w:space="0" w:color="auto"/>
        <w:left w:val="none" w:sz="0" w:space="0" w:color="auto"/>
        <w:bottom w:val="none" w:sz="0" w:space="0" w:color="auto"/>
        <w:right w:val="none" w:sz="0" w:space="0" w:color="auto"/>
      </w:divBdr>
    </w:div>
    <w:div w:id="450133090">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542867324">
      <w:bodyDiv w:val="1"/>
      <w:marLeft w:val="0"/>
      <w:marRight w:val="0"/>
      <w:marTop w:val="0"/>
      <w:marBottom w:val="0"/>
      <w:divBdr>
        <w:top w:val="none" w:sz="0" w:space="0" w:color="auto"/>
        <w:left w:val="none" w:sz="0" w:space="0" w:color="auto"/>
        <w:bottom w:val="none" w:sz="0" w:space="0" w:color="auto"/>
        <w:right w:val="none" w:sz="0" w:space="0" w:color="auto"/>
      </w:divBdr>
    </w:div>
    <w:div w:id="591402208">
      <w:bodyDiv w:val="1"/>
      <w:marLeft w:val="0"/>
      <w:marRight w:val="0"/>
      <w:marTop w:val="0"/>
      <w:marBottom w:val="0"/>
      <w:divBdr>
        <w:top w:val="none" w:sz="0" w:space="0" w:color="auto"/>
        <w:left w:val="none" w:sz="0" w:space="0" w:color="auto"/>
        <w:bottom w:val="none" w:sz="0" w:space="0" w:color="auto"/>
        <w:right w:val="none" w:sz="0" w:space="0" w:color="auto"/>
      </w:divBdr>
    </w:div>
    <w:div w:id="631518466">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832919277">
      <w:bodyDiv w:val="1"/>
      <w:marLeft w:val="0"/>
      <w:marRight w:val="0"/>
      <w:marTop w:val="0"/>
      <w:marBottom w:val="0"/>
      <w:divBdr>
        <w:top w:val="none" w:sz="0" w:space="0" w:color="auto"/>
        <w:left w:val="none" w:sz="0" w:space="0" w:color="auto"/>
        <w:bottom w:val="none" w:sz="0" w:space="0" w:color="auto"/>
        <w:right w:val="none" w:sz="0" w:space="0" w:color="auto"/>
      </w:divBdr>
    </w:div>
    <w:div w:id="838887323">
      <w:bodyDiv w:val="1"/>
      <w:marLeft w:val="0"/>
      <w:marRight w:val="0"/>
      <w:marTop w:val="0"/>
      <w:marBottom w:val="0"/>
      <w:divBdr>
        <w:top w:val="none" w:sz="0" w:space="0" w:color="auto"/>
        <w:left w:val="none" w:sz="0" w:space="0" w:color="auto"/>
        <w:bottom w:val="none" w:sz="0" w:space="0" w:color="auto"/>
        <w:right w:val="none" w:sz="0" w:space="0" w:color="auto"/>
      </w:divBdr>
    </w:div>
    <w:div w:id="877737198">
      <w:bodyDiv w:val="1"/>
      <w:marLeft w:val="0"/>
      <w:marRight w:val="0"/>
      <w:marTop w:val="0"/>
      <w:marBottom w:val="0"/>
      <w:divBdr>
        <w:top w:val="none" w:sz="0" w:space="0" w:color="auto"/>
        <w:left w:val="none" w:sz="0" w:space="0" w:color="auto"/>
        <w:bottom w:val="none" w:sz="0" w:space="0" w:color="auto"/>
        <w:right w:val="none" w:sz="0" w:space="0" w:color="auto"/>
      </w:divBdr>
    </w:div>
    <w:div w:id="883760836">
      <w:bodyDiv w:val="1"/>
      <w:marLeft w:val="0"/>
      <w:marRight w:val="0"/>
      <w:marTop w:val="0"/>
      <w:marBottom w:val="0"/>
      <w:divBdr>
        <w:top w:val="none" w:sz="0" w:space="0" w:color="auto"/>
        <w:left w:val="none" w:sz="0" w:space="0" w:color="auto"/>
        <w:bottom w:val="none" w:sz="0" w:space="0" w:color="auto"/>
        <w:right w:val="none" w:sz="0" w:space="0" w:color="auto"/>
      </w:divBdr>
    </w:div>
    <w:div w:id="971405461">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10337907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53705108">
      <w:bodyDiv w:val="1"/>
      <w:marLeft w:val="0"/>
      <w:marRight w:val="0"/>
      <w:marTop w:val="0"/>
      <w:marBottom w:val="0"/>
      <w:divBdr>
        <w:top w:val="none" w:sz="0" w:space="0" w:color="auto"/>
        <w:left w:val="none" w:sz="0" w:space="0" w:color="auto"/>
        <w:bottom w:val="none" w:sz="0" w:space="0" w:color="auto"/>
        <w:right w:val="none" w:sz="0" w:space="0" w:color="auto"/>
      </w:divBdr>
    </w:div>
    <w:div w:id="12564784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612">
          <w:marLeft w:val="0"/>
          <w:marRight w:val="0"/>
          <w:marTop w:val="0"/>
          <w:marBottom w:val="0"/>
          <w:divBdr>
            <w:top w:val="none" w:sz="0" w:space="0" w:color="auto"/>
            <w:left w:val="none" w:sz="0" w:space="0" w:color="auto"/>
            <w:bottom w:val="none" w:sz="0" w:space="0" w:color="auto"/>
            <w:right w:val="none" w:sz="0" w:space="0" w:color="auto"/>
          </w:divBdr>
          <w:divsChild>
            <w:div w:id="979455607">
              <w:marLeft w:val="0"/>
              <w:marRight w:val="0"/>
              <w:marTop w:val="0"/>
              <w:marBottom w:val="0"/>
              <w:divBdr>
                <w:top w:val="none" w:sz="0" w:space="0" w:color="auto"/>
                <w:left w:val="none" w:sz="0" w:space="0" w:color="auto"/>
                <w:bottom w:val="none" w:sz="0" w:space="0" w:color="auto"/>
                <w:right w:val="none" w:sz="0" w:space="0" w:color="auto"/>
              </w:divBdr>
              <w:divsChild>
                <w:div w:id="130828084">
                  <w:marLeft w:val="0"/>
                  <w:marRight w:val="0"/>
                  <w:marTop w:val="0"/>
                  <w:marBottom w:val="0"/>
                  <w:divBdr>
                    <w:top w:val="none" w:sz="0" w:space="0" w:color="auto"/>
                    <w:left w:val="none" w:sz="0" w:space="0" w:color="auto"/>
                    <w:bottom w:val="none" w:sz="0" w:space="0" w:color="auto"/>
                    <w:right w:val="none" w:sz="0" w:space="0" w:color="auto"/>
                  </w:divBdr>
                  <w:divsChild>
                    <w:div w:id="1077440533">
                      <w:marLeft w:val="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0137">
      <w:bodyDiv w:val="1"/>
      <w:marLeft w:val="0"/>
      <w:marRight w:val="0"/>
      <w:marTop w:val="0"/>
      <w:marBottom w:val="0"/>
      <w:divBdr>
        <w:top w:val="none" w:sz="0" w:space="0" w:color="auto"/>
        <w:left w:val="none" w:sz="0" w:space="0" w:color="auto"/>
        <w:bottom w:val="none" w:sz="0" w:space="0" w:color="auto"/>
        <w:right w:val="none" w:sz="0" w:space="0" w:color="auto"/>
      </w:divBdr>
    </w:div>
    <w:div w:id="1294870068">
      <w:bodyDiv w:val="1"/>
      <w:marLeft w:val="0"/>
      <w:marRight w:val="0"/>
      <w:marTop w:val="0"/>
      <w:marBottom w:val="0"/>
      <w:divBdr>
        <w:top w:val="none" w:sz="0" w:space="0" w:color="auto"/>
        <w:left w:val="none" w:sz="0" w:space="0" w:color="auto"/>
        <w:bottom w:val="none" w:sz="0" w:space="0" w:color="auto"/>
        <w:right w:val="none" w:sz="0" w:space="0" w:color="auto"/>
      </w:divBdr>
    </w:div>
    <w:div w:id="1296452724">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358237463">
      <w:bodyDiv w:val="1"/>
      <w:marLeft w:val="0"/>
      <w:marRight w:val="0"/>
      <w:marTop w:val="0"/>
      <w:marBottom w:val="0"/>
      <w:divBdr>
        <w:top w:val="none" w:sz="0" w:space="0" w:color="auto"/>
        <w:left w:val="none" w:sz="0" w:space="0" w:color="auto"/>
        <w:bottom w:val="none" w:sz="0" w:space="0" w:color="auto"/>
        <w:right w:val="none" w:sz="0" w:space="0" w:color="auto"/>
      </w:divBdr>
    </w:div>
    <w:div w:id="1379819211">
      <w:bodyDiv w:val="1"/>
      <w:marLeft w:val="0"/>
      <w:marRight w:val="0"/>
      <w:marTop w:val="0"/>
      <w:marBottom w:val="0"/>
      <w:divBdr>
        <w:top w:val="none" w:sz="0" w:space="0" w:color="auto"/>
        <w:left w:val="none" w:sz="0" w:space="0" w:color="auto"/>
        <w:bottom w:val="none" w:sz="0" w:space="0" w:color="auto"/>
        <w:right w:val="none" w:sz="0" w:space="0" w:color="auto"/>
      </w:divBdr>
    </w:div>
    <w:div w:id="1424760396">
      <w:bodyDiv w:val="1"/>
      <w:marLeft w:val="0"/>
      <w:marRight w:val="0"/>
      <w:marTop w:val="0"/>
      <w:marBottom w:val="0"/>
      <w:divBdr>
        <w:top w:val="none" w:sz="0" w:space="0" w:color="auto"/>
        <w:left w:val="none" w:sz="0" w:space="0" w:color="auto"/>
        <w:bottom w:val="none" w:sz="0" w:space="0" w:color="auto"/>
        <w:right w:val="none" w:sz="0" w:space="0" w:color="auto"/>
      </w:divBdr>
    </w:div>
    <w:div w:id="1434125750">
      <w:bodyDiv w:val="1"/>
      <w:marLeft w:val="0"/>
      <w:marRight w:val="0"/>
      <w:marTop w:val="0"/>
      <w:marBottom w:val="0"/>
      <w:divBdr>
        <w:top w:val="none" w:sz="0" w:space="0" w:color="auto"/>
        <w:left w:val="none" w:sz="0" w:space="0" w:color="auto"/>
        <w:bottom w:val="none" w:sz="0" w:space="0" w:color="auto"/>
        <w:right w:val="none" w:sz="0" w:space="0" w:color="auto"/>
      </w:divBdr>
    </w:div>
    <w:div w:id="1475872428">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55236984">
      <w:bodyDiv w:val="1"/>
      <w:marLeft w:val="0"/>
      <w:marRight w:val="0"/>
      <w:marTop w:val="0"/>
      <w:marBottom w:val="0"/>
      <w:divBdr>
        <w:top w:val="none" w:sz="0" w:space="0" w:color="auto"/>
        <w:left w:val="none" w:sz="0" w:space="0" w:color="auto"/>
        <w:bottom w:val="none" w:sz="0" w:space="0" w:color="auto"/>
        <w:right w:val="none" w:sz="0" w:space="0" w:color="auto"/>
      </w:divBdr>
    </w:div>
    <w:div w:id="1561090239">
      <w:bodyDiv w:val="1"/>
      <w:marLeft w:val="0"/>
      <w:marRight w:val="0"/>
      <w:marTop w:val="0"/>
      <w:marBottom w:val="0"/>
      <w:divBdr>
        <w:top w:val="none" w:sz="0" w:space="0" w:color="auto"/>
        <w:left w:val="none" w:sz="0" w:space="0" w:color="auto"/>
        <w:bottom w:val="none" w:sz="0" w:space="0" w:color="auto"/>
        <w:right w:val="none" w:sz="0" w:space="0" w:color="auto"/>
      </w:divBdr>
    </w:div>
    <w:div w:id="1571774162">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86105950">
      <w:bodyDiv w:val="1"/>
      <w:marLeft w:val="0"/>
      <w:marRight w:val="0"/>
      <w:marTop w:val="0"/>
      <w:marBottom w:val="0"/>
      <w:divBdr>
        <w:top w:val="none" w:sz="0" w:space="0" w:color="auto"/>
        <w:left w:val="none" w:sz="0" w:space="0" w:color="auto"/>
        <w:bottom w:val="none" w:sz="0" w:space="0" w:color="auto"/>
        <w:right w:val="none" w:sz="0" w:space="0" w:color="auto"/>
      </w:divBdr>
    </w:div>
    <w:div w:id="1615289786">
      <w:bodyDiv w:val="1"/>
      <w:marLeft w:val="0"/>
      <w:marRight w:val="0"/>
      <w:marTop w:val="0"/>
      <w:marBottom w:val="0"/>
      <w:divBdr>
        <w:top w:val="none" w:sz="0" w:space="0" w:color="auto"/>
        <w:left w:val="none" w:sz="0" w:space="0" w:color="auto"/>
        <w:bottom w:val="none" w:sz="0" w:space="0" w:color="auto"/>
        <w:right w:val="none" w:sz="0" w:space="0" w:color="auto"/>
      </w:divBdr>
    </w:div>
    <w:div w:id="1708488346">
      <w:bodyDiv w:val="1"/>
      <w:marLeft w:val="0"/>
      <w:marRight w:val="0"/>
      <w:marTop w:val="0"/>
      <w:marBottom w:val="0"/>
      <w:divBdr>
        <w:top w:val="none" w:sz="0" w:space="0" w:color="auto"/>
        <w:left w:val="none" w:sz="0" w:space="0" w:color="auto"/>
        <w:bottom w:val="none" w:sz="0" w:space="0" w:color="auto"/>
        <w:right w:val="none" w:sz="0" w:space="0" w:color="auto"/>
      </w:divBdr>
    </w:div>
    <w:div w:id="1755083532">
      <w:bodyDiv w:val="1"/>
      <w:marLeft w:val="0"/>
      <w:marRight w:val="0"/>
      <w:marTop w:val="0"/>
      <w:marBottom w:val="0"/>
      <w:divBdr>
        <w:top w:val="none" w:sz="0" w:space="0" w:color="auto"/>
        <w:left w:val="none" w:sz="0" w:space="0" w:color="auto"/>
        <w:bottom w:val="none" w:sz="0" w:space="0" w:color="auto"/>
        <w:right w:val="none" w:sz="0" w:space="0" w:color="auto"/>
      </w:divBdr>
    </w:div>
    <w:div w:id="1794327369">
      <w:bodyDiv w:val="1"/>
      <w:marLeft w:val="0"/>
      <w:marRight w:val="0"/>
      <w:marTop w:val="0"/>
      <w:marBottom w:val="0"/>
      <w:divBdr>
        <w:top w:val="none" w:sz="0" w:space="0" w:color="auto"/>
        <w:left w:val="none" w:sz="0" w:space="0" w:color="auto"/>
        <w:bottom w:val="none" w:sz="0" w:space="0" w:color="auto"/>
        <w:right w:val="none" w:sz="0" w:space="0" w:color="auto"/>
      </w:divBdr>
    </w:div>
    <w:div w:id="1807897069">
      <w:bodyDiv w:val="1"/>
      <w:marLeft w:val="0"/>
      <w:marRight w:val="0"/>
      <w:marTop w:val="0"/>
      <w:marBottom w:val="0"/>
      <w:divBdr>
        <w:top w:val="none" w:sz="0" w:space="0" w:color="auto"/>
        <w:left w:val="none" w:sz="0" w:space="0" w:color="auto"/>
        <w:bottom w:val="none" w:sz="0" w:space="0" w:color="auto"/>
        <w:right w:val="none" w:sz="0" w:space="0" w:color="auto"/>
      </w:divBdr>
    </w:div>
    <w:div w:id="1824882202">
      <w:bodyDiv w:val="1"/>
      <w:marLeft w:val="0"/>
      <w:marRight w:val="0"/>
      <w:marTop w:val="0"/>
      <w:marBottom w:val="0"/>
      <w:divBdr>
        <w:top w:val="none" w:sz="0" w:space="0" w:color="auto"/>
        <w:left w:val="none" w:sz="0" w:space="0" w:color="auto"/>
        <w:bottom w:val="none" w:sz="0" w:space="0" w:color="auto"/>
        <w:right w:val="none" w:sz="0" w:space="0" w:color="auto"/>
      </w:divBdr>
    </w:div>
    <w:div w:id="1896969441">
      <w:bodyDiv w:val="1"/>
      <w:marLeft w:val="0"/>
      <w:marRight w:val="0"/>
      <w:marTop w:val="0"/>
      <w:marBottom w:val="0"/>
      <w:divBdr>
        <w:top w:val="none" w:sz="0" w:space="0" w:color="auto"/>
        <w:left w:val="none" w:sz="0" w:space="0" w:color="auto"/>
        <w:bottom w:val="none" w:sz="0" w:space="0" w:color="auto"/>
        <w:right w:val="none" w:sz="0" w:space="0" w:color="auto"/>
      </w:divBdr>
    </w:div>
    <w:div w:id="2026247161">
      <w:bodyDiv w:val="1"/>
      <w:marLeft w:val="0"/>
      <w:marRight w:val="0"/>
      <w:marTop w:val="0"/>
      <w:marBottom w:val="0"/>
      <w:divBdr>
        <w:top w:val="none" w:sz="0" w:space="0" w:color="auto"/>
        <w:left w:val="none" w:sz="0" w:space="0" w:color="auto"/>
        <w:bottom w:val="none" w:sz="0" w:space="0" w:color="auto"/>
        <w:right w:val="none" w:sz="0" w:space="0" w:color="auto"/>
      </w:divBdr>
    </w:div>
    <w:div w:id="20922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20DA-BBBB-479A-AF5F-A12D4099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8965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lastModifiedBy>Young Nichola</cp:lastModifiedBy>
  <cp:revision>2</cp:revision>
  <cp:lastPrinted>2018-03-13T11:45:00Z</cp:lastPrinted>
  <dcterms:created xsi:type="dcterms:W3CDTF">2018-04-30T10:07:00Z</dcterms:created>
  <dcterms:modified xsi:type="dcterms:W3CDTF">2018-04-30T10:07:00Z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