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68BF" w:rsidRPr="0059798C" w:rsidRDefault="004F787C" w:rsidP="003568BF">
      <w:pPr>
        <w:jc w:val="center"/>
        <w:rPr>
          <w:rFonts w:cs="Arial"/>
          <w:b/>
        </w:rPr>
      </w:pPr>
      <w:bookmarkStart w:id="0" w:name="_GoBack"/>
      <w:bookmarkEnd w:id="0"/>
      <w:r w:rsidRPr="0059798C">
        <w:rPr>
          <w:rFonts w:cs="Arial"/>
          <w:b/>
        </w:rPr>
        <w:t>BARKING AND DAGENHAM SCHOOL</w:t>
      </w:r>
      <w:r w:rsidR="00AF6019" w:rsidRPr="0059798C">
        <w:rPr>
          <w:rFonts w:cs="Arial"/>
          <w:b/>
        </w:rPr>
        <w:t>S</w:t>
      </w:r>
      <w:r w:rsidRPr="0059798C">
        <w:rPr>
          <w:rFonts w:cs="Arial"/>
          <w:b/>
        </w:rPr>
        <w:t xml:space="preserve"> FORUM</w:t>
      </w:r>
    </w:p>
    <w:p w:rsidR="009A0F2F" w:rsidRPr="0059798C" w:rsidRDefault="009A0F2F" w:rsidP="00817BFF">
      <w:pPr>
        <w:rPr>
          <w:rFonts w:cs="Arial"/>
          <w:b/>
          <w:sz w:val="20"/>
          <w:szCs w:val="20"/>
        </w:rPr>
      </w:pPr>
    </w:p>
    <w:p w:rsidR="009A0F2F" w:rsidRPr="0059798C" w:rsidRDefault="00DA6255" w:rsidP="00BB58E6">
      <w:pPr>
        <w:jc w:val="center"/>
        <w:rPr>
          <w:rFonts w:cs="Arial"/>
          <w:b/>
        </w:rPr>
      </w:pPr>
      <w:r w:rsidRPr="0059798C">
        <w:rPr>
          <w:rFonts w:cs="Arial"/>
          <w:b/>
        </w:rPr>
        <w:t>Tuesday</w:t>
      </w:r>
      <w:r w:rsidR="00DB3B61" w:rsidRPr="0059798C">
        <w:rPr>
          <w:rFonts w:cs="Arial"/>
          <w:b/>
        </w:rPr>
        <w:t xml:space="preserve"> </w:t>
      </w:r>
      <w:r w:rsidRPr="0059798C">
        <w:rPr>
          <w:rFonts w:cs="Arial"/>
          <w:b/>
        </w:rPr>
        <w:t>2</w:t>
      </w:r>
      <w:r w:rsidR="001A5243" w:rsidRPr="0059798C">
        <w:rPr>
          <w:rFonts w:cs="Arial"/>
          <w:b/>
        </w:rPr>
        <w:t>1</w:t>
      </w:r>
      <w:r w:rsidR="00E17639" w:rsidRPr="0059798C">
        <w:rPr>
          <w:rFonts w:cs="Arial"/>
          <w:b/>
        </w:rPr>
        <w:t xml:space="preserve"> </w:t>
      </w:r>
      <w:r w:rsidR="001A5243" w:rsidRPr="0059798C">
        <w:rPr>
          <w:rFonts w:cs="Arial"/>
          <w:b/>
        </w:rPr>
        <w:t>November 2017</w:t>
      </w:r>
    </w:p>
    <w:p w:rsidR="009A0F2F" w:rsidRPr="0059798C" w:rsidRDefault="009A0F2F" w:rsidP="00F7272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2"/>
        <w:gridCol w:w="3449"/>
      </w:tblGrid>
      <w:tr w:rsidR="00462371" w:rsidRPr="0059798C" w:rsidTr="00C820E9">
        <w:tc>
          <w:tcPr>
            <w:tcW w:w="9631" w:type="dxa"/>
            <w:gridSpan w:val="2"/>
          </w:tcPr>
          <w:p w:rsidR="00385FC8" w:rsidRPr="0059798C" w:rsidRDefault="00C820E9" w:rsidP="00385FC8">
            <w:pPr>
              <w:rPr>
                <w:rFonts w:cs="Arial"/>
                <w:sz w:val="28"/>
                <w:szCs w:val="28"/>
              </w:rPr>
            </w:pPr>
            <w:r w:rsidRPr="0059798C">
              <w:rPr>
                <w:rFonts w:cs="Arial"/>
                <w:b/>
              </w:rPr>
              <w:t>Title:</w:t>
            </w:r>
            <w:r w:rsidRPr="0059798C">
              <w:rPr>
                <w:rFonts w:cs="Arial"/>
              </w:rPr>
              <w:t xml:space="preserve"> </w:t>
            </w:r>
            <w:r w:rsidRPr="0059798C">
              <w:rPr>
                <w:rFonts w:cs="Arial"/>
                <w:b/>
              </w:rPr>
              <w:t>School Forum Report</w:t>
            </w:r>
            <w:r w:rsidRPr="0059798C">
              <w:rPr>
                <w:rFonts w:cs="Arial"/>
                <w:sz w:val="28"/>
                <w:szCs w:val="28"/>
              </w:rPr>
              <w:t xml:space="preserve"> </w:t>
            </w:r>
          </w:p>
        </w:tc>
      </w:tr>
      <w:tr w:rsidR="00EC2A42" w:rsidRPr="0059798C" w:rsidTr="00C820E9">
        <w:tc>
          <w:tcPr>
            <w:tcW w:w="9631" w:type="dxa"/>
            <w:gridSpan w:val="2"/>
          </w:tcPr>
          <w:p w:rsidR="00EC2A42" w:rsidRPr="0059798C" w:rsidRDefault="00C820E9" w:rsidP="00F7272A">
            <w:pPr>
              <w:rPr>
                <w:rFonts w:cs="Arial"/>
                <w:b/>
                <w:sz w:val="32"/>
                <w:szCs w:val="32"/>
              </w:rPr>
            </w:pPr>
            <w:r w:rsidRPr="0059798C">
              <w:rPr>
                <w:rFonts w:cs="Arial"/>
                <w:b/>
              </w:rPr>
              <w:t>Report of: DIRECTOR of EDUCATION</w:t>
            </w:r>
            <w:r w:rsidRPr="0059798C">
              <w:rPr>
                <w:rFonts w:cs="Arial"/>
                <w:b/>
                <w:sz w:val="32"/>
                <w:szCs w:val="32"/>
              </w:rPr>
              <w:t xml:space="preserve"> </w:t>
            </w:r>
          </w:p>
        </w:tc>
      </w:tr>
      <w:tr w:rsidR="00461800" w:rsidRPr="0059798C" w:rsidTr="00C820E9">
        <w:tc>
          <w:tcPr>
            <w:tcW w:w="6182" w:type="dxa"/>
          </w:tcPr>
          <w:p w:rsidR="00461800" w:rsidRPr="0059798C" w:rsidRDefault="00461800" w:rsidP="00462371">
            <w:pPr>
              <w:rPr>
                <w:rFonts w:cs="Arial"/>
              </w:rPr>
            </w:pPr>
            <w:r w:rsidRPr="0059798C">
              <w:rPr>
                <w:rFonts w:cs="Arial"/>
                <w:b/>
              </w:rPr>
              <w:t>O</w:t>
            </w:r>
            <w:r w:rsidR="00DC116F" w:rsidRPr="0059798C">
              <w:rPr>
                <w:rFonts w:cs="Arial"/>
                <w:b/>
              </w:rPr>
              <w:t>pen</w:t>
            </w:r>
          </w:p>
          <w:p w:rsidR="00461800" w:rsidRPr="0059798C" w:rsidRDefault="00461800" w:rsidP="00462371">
            <w:pPr>
              <w:rPr>
                <w:rFonts w:cs="Arial"/>
                <w:b/>
              </w:rPr>
            </w:pPr>
          </w:p>
        </w:tc>
        <w:tc>
          <w:tcPr>
            <w:tcW w:w="3449" w:type="dxa"/>
          </w:tcPr>
          <w:p w:rsidR="00461800" w:rsidRPr="0059798C" w:rsidRDefault="00462371" w:rsidP="00F62747">
            <w:pPr>
              <w:rPr>
                <w:rFonts w:cs="Arial"/>
                <w:b/>
              </w:rPr>
            </w:pPr>
            <w:r w:rsidRPr="0059798C">
              <w:rPr>
                <w:rFonts w:cs="Arial"/>
                <w:b/>
              </w:rPr>
              <w:t>For Decision / For Information</w:t>
            </w:r>
          </w:p>
        </w:tc>
      </w:tr>
      <w:tr w:rsidR="00462371" w:rsidRPr="0059798C" w:rsidTr="00C820E9">
        <w:tc>
          <w:tcPr>
            <w:tcW w:w="6182" w:type="dxa"/>
          </w:tcPr>
          <w:p w:rsidR="00462371" w:rsidRPr="0059798C" w:rsidRDefault="00462371" w:rsidP="00191E9D">
            <w:pPr>
              <w:rPr>
                <w:rFonts w:cs="Arial"/>
                <w:b/>
              </w:rPr>
            </w:pPr>
            <w:r w:rsidRPr="0059798C">
              <w:rPr>
                <w:rFonts w:cs="Arial"/>
                <w:b/>
              </w:rPr>
              <w:t xml:space="preserve">Wards Affected: </w:t>
            </w:r>
            <w:r w:rsidR="004F787C" w:rsidRPr="0059798C">
              <w:rPr>
                <w:rFonts w:cs="Arial"/>
                <w:b/>
              </w:rPr>
              <w:t>All</w:t>
            </w:r>
          </w:p>
        </w:tc>
        <w:tc>
          <w:tcPr>
            <w:tcW w:w="3449" w:type="dxa"/>
          </w:tcPr>
          <w:p w:rsidR="00462371" w:rsidRPr="0059798C" w:rsidRDefault="00462371" w:rsidP="004F787C">
            <w:pPr>
              <w:rPr>
                <w:rFonts w:cs="Arial"/>
                <w:b/>
              </w:rPr>
            </w:pPr>
            <w:r w:rsidRPr="0059798C">
              <w:rPr>
                <w:rFonts w:cs="Arial"/>
                <w:b/>
              </w:rPr>
              <w:t xml:space="preserve">Key Decision: </w:t>
            </w:r>
            <w:r w:rsidR="004F787C" w:rsidRPr="0059798C">
              <w:rPr>
                <w:rFonts w:cs="Arial"/>
                <w:b/>
              </w:rPr>
              <w:t>No</w:t>
            </w:r>
          </w:p>
        </w:tc>
      </w:tr>
      <w:tr w:rsidR="00462371" w:rsidRPr="0059798C" w:rsidTr="00C820E9">
        <w:tc>
          <w:tcPr>
            <w:tcW w:w="6182" w:type="dxa"/>
          </w:tcPr>
          <w:p w:rsidR="00C820E9" w:rsidRPr="0059798C" w:rsidRDefault="00C820E9" w:rsidP="00C820E9">
            <w:pPr>
              <w:rPr>
                <w:rFonts w:cs="Arial"/>
                <w:b/>
              </w:rPr>
            </w:pPr>
            <w:r w:rsidRPr="0059798C">
              <w:rPr>
                <w:rFonts w:cs="Arial"/>
                <w:b/>
              </w:rPr>
              <w:t xml:space="preserve">Report Author: </w:t>
            </w:r>
          </w:p>
          <w:p w:rsidR="00C820E9" w:rsidRPr="0059798C" w:rsidRDefault="00C820E9" w:rsidP="00C820E9">
            <w:pPr>
              <w:rPr>
                <w:rFonts w:cs="Arial"/>
              </w:rPr>
            </w:pPr>
            <w:r w:rsidRPr="0059798C">
              <w:rPr>
                <w:rFonts w:cs="Arial"/>
              </w:rPr>
              <w:t>Daksha Chauhan, Group Accountant (Finance)</w:t>
            </w:r>
          </w:p>
          <w:p w:rsidR="00A710A1" w:rsidRPr="0059798C" w:rsidRDefault="00A710A1" w:rsidP="00462371">
            <w:pPr>
              <w:rPr>
                <w:rFonts w:cs="Arial"/>
              </w:rPr>
            </w:pPr>
          </w:p>
          <w:p w:rsidR="00462371" w:rsidRPr="0059798C" w:rsidRDefault="00462371" w:rsidP="00462371">
            <w:pPr>
              <w:rPr>
                <w:rFonts w:cs="Arial"/>
                <w:b/>
              </w:rPr>
            </w:pPr>
          </w:p>
        </w:tc>
        <w:tc>
          <w:tcPr>
            <w:tcW w:w="3449" w:type="dxa"/>
          </w:tcPr>
          <w:p w:rsidR="00C820E9" w:rsidRPr="0059798C" w:rsidRDefault="00C820E9" w:rsidP="00C820E9">
            <w:pPr>
              <w:pStyle w:val="Header"/>
              <w:tabs>
                <w:tab w:val="clear" w:pos="4320"/>
                <w:tab w:val="clear" w:pos="8640"/>
              </w:tabs>
              <w:rPr>
                <w:rFonts w:cs="Arial"/>
                <w:b/>
              </w:rPr>
            </w:pPr>
            <w:r w:rsidRPr="0059798C">
              <w:rPr>
                <w:rFonts w:cs="Arial"/>
                <w:b/>
              </w:rPr>
              <w:t>Contact Details:</w:t>
            </w:r>
          </w:p>
          <w:p w:rsidR="00C820E9" w:rsidRPr="0059798C" w:rsidRDefault="00C820E9" w:rsidP="00C820E9">
            <w:pPr>
              <w:rPr>
                <w:rFonts w:cs="Arial"/>
              </w:rPr>
            </w:pPr>
            <w:r w:rsidRPr="0059798C">
              <w:rPr>
                <w:rFonts w:cs="Arial"/>
              </w:rPr>
              <w:t>Tel: 020 8227 2250</w:t>
            </w:r>
          </w:p>
          <w:p w:rsidR="00462371" w:rsidRPr="0059798C" w:rsidRDefault="00C820E9" w:rsidP="00C820E9">
            <w:pPr>
              <w:rPr>
                <w:rFonts w:cs="Arial"/>
              </w:rPr>
            </w:pPr>
            <w:r w:rsidRPr="0059798C">
              <w:rPr>
                <w:rFonts w:cs="Arial"/>
              </w:rPr>
              <w:t>E-mail: daksha.chauhan@lbbd.gov.uk</w:t>
            </w:r>
          </w:p>
        </w:tc>
      </w:tr>
      <w:tr w:rsidR="00462371" w:rsidRPr="0059798C" w:rsidTr="00C820E9">
        <w:tc>
          <w:tcPr>
            <w:tcW w:w="9631" w:type="dxa"/>
            <w:gridSpan w:val="2"/>
          </w:tcPr>
          <w:p w:rsidR="00462371" w:rsidRPr="0059798C" w:rsidRDefault="00C820E9" w:rsidP="00D17978">
            <w:pPr>
              <w:rPr>
                <w:rFonts w:cs="Arial"/>
                <w:b/>
              </w:rPr>
            </w:pPr>
            <w:r w:rsidRPr="0059798C">
              <w:rPr>
                <w:rFonts w:cs="Arial"/>
                <w:b/>
              </w:rPr>
              <w:t xml:space="preserve">Accountable Director: </w:t>
            </w:r>
            <w:r w:rsidRPr="0059798C">
              <w:rPr>
                <w:rFonts w:cs="Arial"/>
              </w:rPr>
              <w:t xml:space="preserve">Jane Hargreaves – </w:t>
            </w:r>
            <w:r w:rsidR="000D6CB8">
              <w:rPr>
                <w:rFonts w:cs="Arial"/>
                <w:bCs/>
              </w:rPr>
              <w:t>Commissioning Director </w:t>
            </w:r>
            <w:r w:rsidRPr="0059798C">
              <w:rPr>
                <w:rFonts w:cs="Arial"/>
                <w:bCs/>
              </w:rPr>
              <w:t>Education</w:t>
            </w:r>
            <w:r w:rsidRPr="0059798C">
              <w:rPr>
                <w:rFonts w:cs="Arial"/>
                <w:b/>
                <w:bCs/>
              </w:rPr>
              <w:t xml:space="preserve"> </w:t>
            </w:r>
          </w:p>
        </w:tc>
      </w:tr>
      <w:tr w:rsidR="00424A8E" w:rsidRPr="0059798C" w:rsidTr="00C820E9">
        <w:tc>
          <w:tcPr>
            <w:tcW w:w="9631" w:type="dxa"/>
            <w:gridSpan w:val="2"/>
            <w:tcBorders>
              <w:bottom w:val="single" w:sz="4" w:space="0" w:color="auto"/>
            </w:tcBorders>
          </w:tcPr>
          <w:p w:rsidR="00C37046" w:rsidRPr="0059798C" w:rsidRDefault="00424A8E" w:rsidP="00F7272A">
            <w:pPr>
              <w:rPr>
                <w:rFonts w:cs="Arial"/>
                <w:b/>
              </w:rPr>
            </w:pPr>
            <w:r w:rsidRPr="0059798C">
              <w:rPr>
                <w:rFonts w:cs="Arial"/>
                <w:b/>
              </w:rPr>
              <w:t xml:space="preserve">Summary: </w:t>
            </w:r>
          </w:p>
          <w:p w:rsidR="00C37046" w:rsidRPr="0059798C" w:rsidRDefault="00C37046" w:rsidP="00F7272A">
            <w:pPr>
              <w:rPr>
                <w:rFonts w:cs="Arial"/>
                <w:b/>
              </w:rPr>
            </w:pPr>
          </w:p>
          <w:p w:rsidR="009A6F59" w:rsidRPr="0059798C" w:rsidRDefault="000E5DAE" w:rsidP="00F7272A">
            <w:pPr>
              <w:rPr>
                <w:rFonts w:cs="Arial"/>
              </w:rPr>
            </w:pPr>
            <w:r w:rsidRPr="0059798C">
              <w:rPr>
                <w:rFonts w:cs="Arial"/>
              </w:rPr>
              <w:t xml:space="preserve">The purpose of this report is to update </w:t>
            </w:r>
            <w:r w:rsidR="008726BA" w:rsidRPr="0059798C">
              <w:rPr>
                <w:rFonts w:cs="Arial"/>
              </w:rPr>
              <w:t xml:space="preserve">the Barking and Dagenham Schools </w:t>
            </w:r>
            <w:r w:rsidRPr="0059798C">
              <w:rPr>
                <w:rFonts w:cs="Arial"/>
              </w:rPr>
              <w:t>Forum on:</w:t>
            </w:r>
          </w:p>
          <w:p w:rsidR="00C37046" w:rsidRPr="0059798C" w:rsidRDefault="00C37046" w:rsidP="00F7272A">
            <w:pPr>
              <w:rPr>
                <w:rFonts w:cs="Arial"/>
              </w:rPr>
            </w:pPr>
          </w:p>
          <w:p w:rsidR="005D260F" w:rsidRDefault="00141962" w:rsidP="00482194">
            <w:pPr>
              <w:numPr>
                <w:ilvl w:val="0"/>
                <w:numId w:val="4"/>
              </w:numPr>
              <w:ind w:left="993" w:hanging="567"/>
              <w:rPr>
                <w:rFonts w:cs="Arial"/>
              </w:rPr>
            </w:pPr>
            <w:r>
              <w:rPr>
                <w:rFonts w:cs="Arial"/>
              </w:rPr>
              <w:t>T</w:t>
            </w:r>
            <w:r w:rsidR="0037404D" w:rsidRPr="00141962">
              <w:rPr>
                <w:rFonts w:cs="Arial"/>
              </w:rPr>
              <w:t xml:space="preserve">he proposed </w:t>
            </w:r>
            <w:r w:rsidR="00761B82" w:rsidRPr="00141962">
              <w:rPr>
                <w:rFonts w:cs="Arial"/>
              </w:rPr>
              <w:t xml:space="preserve">Schools Funding Formula </w:t>
            </w:r>
            <w:r w:rsidR="0037404D" w:rsidRPr="00141962">
              <w:rPr>
                <w:rFonts w:cs="Arial"/>
              </w:rPr>
              <w:t>model for 201</w:t>
            </w:r>
            <w:r w:rsidR="001A5243" w:rsidRPr="00141962">
              <w:rPr>
                <w:rFonts w:cs="Arial"/>
              </w:rPr>
              <w:t>8-19</w:t>
            </w:r>
            <w:r>
              <w:rPr>
                <w:rFonts w:cs="Arial"/>
              </w:rPr>
              <w:t xml:space="preserve">, and </w:t>
            </w:r>
          </w:p>
          <w:p w:rsidR="00141962" w:rsidRPr="00141962" w:rsidRDefault="00141962" w:rsidP="00482194">
            <w:pPr>
              <w:numPr>
                <w:ilvl w:val="0"/>
                <w:numId w:val="4"/>
              </w:numPr>
              <w:ind w:left="993" w:hanging="567"/>
              <w:rPr>
                <w:rFonts w:cs="Arial"/>
              </w:rPr>
            </w:pPr>
            <w:r>
              <w:rPr>
                <w:rFonts w:cs="Arial"/>
              </w:rPr>
              <w:t>The de-delegation rates for 2018/19.</w:t>
            </w:r>
          </w:p>
          <w:p w:rsidR="00C37046" w:rsidRPr="0059798C" w:rsidRDefault="00C37046" w:rsidP="00C37046">
            <w:pPr>
              <w:ind w:left="993"/>
              <w:rPr>
                <w:rFonts w:cs="Arial"/>
              </w:rPr>
            </w:pPr>
          </w:p>
          <w:p w:rsidR="00E42523" w:rsidRPr="0059798C" w:rsidRDefault="00E42523" w:rsidP="0080182B">
            <w:pPr>
              <w:ind w:left="720"/>
              <w:rPr>
                <w:rFonts w:cs="Arial"/>
                <w:b/>
              </w:rPr>
            </w:pPr>
          </w:p>
        </w:tc>
      </w:tr>
      <w:tr w:rsidR="009771A2" w:rsidRPr="0059798C" w:rsidTr="00C820E9">
        <w:tc>
          <w:tcPr>
            <w:tcW w:w="9631" w:type="dxa"/>
            <w:gridSpan w:val="2"/>
            <w:tcBorders>
              <w:top w:val="single" w:sz="4" w:space="0" w:color="auto"/>
              <w:bottom w:val="nil"/>
            </w:tcBorders>
          </w:tcPr>
          <w:p w:rsidR="00C96A66" w:rsidRPr="0059798C" w:rsidRDefault="009771A2" w:rsidP="00C96A66">
            <w:pPr>
              <w:autoSpaceDE w:val="0"/>
              <w:autoSpaceDN w:val="0"/>
              <w:adjustRightInd w:val="0"/>
              <w:rPr>
                <w:rFonts w:cs="Arial"/>
                <w:b/>
              </w:rPr>
            </w:pPr>
            <w:r w:rsidRPr="0059798C">
              <w:rPr>
                <w:rFonts w:cs="Arial"/>
                <w:b/>
              </w:rPr>
              <w:t>Recommendation(s)</w:t>
            </w:r>
          </w:p>
          <w:p w:rsidR="00C37046" w:rsidRPr="0059798C" w:rsidRDefault="00C37046" w:rsidP="00C96A66">
            <w:pPr>
              <w:autoSpaceDE w:val="0"/>
              <w:autoSpaceDN w:val="0"/>
              <w:adjustRightInd w:val="0"/>
              <w:rPr>
                <w:rFonts w:cs="Arial"/>
              </w:rPr>
            </w:pPr>
          </w:p>
          <w:p w:rsidR="00520A46" w:rsidRPr="0059798C" w:rsidRDefault="00520A46" w:rsidP="00C96A66">
            <w:pPr>
              <w:autoSpaceDE w:val="0"/>
              <w:autoSpaceDN w:val="0"/>
              <w:adjustRightInd w:val="0"/>
              <w:rPr>
                <w:rFonts w:cs="Arial"/>
              </w:rPr>
            </w:pPr>
            <w:r w:rsidRPr="0059798C">
              <w:rPr>
                <w:rFonts w:cs="Arial"/>
              </w:rPr>
              <w:t>The School</w:t>
            </w:r>
            <w:r w:rsidR="008726BA" w:rsidRPr="0059798C">
              <w:rPr>
                <w:rFonts w:cs="Arial"/>
              </w:rPr>
              <w:t>s</w:t>
            </w:r>
            <w:r w:rsidR="001A5243" w:rsidRPr="0059798C">
              <w:rPr>
                <w:rFonts w:cs="Arial"/>
              </w:rPr>
              <w:t xml:space="preserve"> Forum is asked </w:t>
            </w:r>
            <w:r w:rsidR="00141962">
              <w:rPr>
                <w:rFonts w:cs="Arial"/>
              </w:rPr>
              <w:t xml:space="preserve">to </w:t>
            </w:r>
            <w:r w:rsidR="001A5243" w:rsidRPr="0059798C">
              <w:rPr>
                <w:rFonts w:cs="Arial"/>
              </w:rPr>
              <w:t>consider th</w:t>
            </w:r>
            <w:r w:rsidR="00BC07BF" w:rsidRPr="0059798C">
              <w:rPr>
                <w:rFonts w:cs="Arial"/>
              </w:rPr>
              <w:t>e following:</w:t>
            </w:r>
          </w:p>
          <w:p w:rsidR="00C37046" w:rsidRPr="0059798C" w:rsidRDefault="00C37046" w:rsidP="00C96A66">
            <w:pPr>
              <w:autoSpaceDE w:val="0"/>
              <w:autoSpaceDN w:val="0"/>
              <w:adjustRightInd w:val="0"/>
              <w:rPr>
                <w:rFonts w:cs="Arial"/>
              </w:rPr>
            </w:pPr>
          </w:p>
          <w:p w:rsidR="00304F5B" w:rsidRPr="0059798C" w:rsidRDefault="0008426D" w:rsidP="006832EA">
            <w:pPr>
              <w:pStyle w:val="ListParagraph"/>
              <w:numPr>
                <w:ilvl w:val="0"/>
                <w:numId w:val="11"/>
              </w:numPr>
              <w:autoSpaceDE w:val="0"/>
              <w:autoSpaceDN w:val="0"/>
              <w:adjustRightInd w:val="0"/>
              <w:rPr>
                <w:rFonts w:cs="Arial"/>
              </w:rPr>
            </w:pPr>
            <w:r w:rsidRPr="0059798C">
              <w:rPr>
                <w:rFonts w:cs="Arial"/>
              </w:rPr>
              <w:t>S</w:t>
            </w:r>
            <w:r w:rsidR="00BC07BF" w:rsidRPr="0059798C">
              <w:rPr>
                <w:rFonts w:cs="Arial"/>
              </w:rPr>
              <w:t>chools funding formula options,</w:t>
            </w:r>
          </w:p>
          <w:p w:rsidR="006832EA" w:rsidRPr="0059798C" w:rsidRDefault="006832EA" w:rsidP="006832EA">
            <w:pPr>
              <w:pStyle w:val="ListParagraph"/>
              <w:numPr>
                <w:ilvl w:val="0"/>
                <w:numId w:val="11"/>
              </w:numPr>
              <w:autoSpaceDE w:val="0"/>
              <w:autoSpaceDN w:val="0"/>
              <w:adjustRightInd w:val="0"/>
              <w:rPr>
                <w:rFonts w:cs="Arial"/>
              </w:rPr>
            </w:pPr>
            <w:r w:rsidRPr="0059798C">
              <w:rPr>
                <w:rFonts w:cs="Arial"/>
              </w:rPr>
              <w:t>To approve de-delegated budgets, per pu</w:t>
            </w:r>
            <w:r w:rsidR="00141962">
              <w:rPr>
                <w:rFonts w:cs="Arial"/>
              </w:rPr>
              <w:t>pil, per sector for Free School Meals</w:t>
            </w:r>
            <w:r w:rsidRPr="0059798C">
              <w:rPr>
                <w:rFonts w:cs="Arial"/>
              </w:rPr>
              <w:t xml:space="preserve"> Eligibility</w:t>
            </w:r>
            <w:r w:rsidR="00141962">
              <w:rPr>
                <w:rFonts w:cs="Arial"/>
              </w:rPr>
              <w:t xml:space="preserve"> checks</w:t>
            </w:r>
            <w:r w:rsidRPr="0059798C">
              <w:rPr>
                <w:rFonts w:cs="Arial"/>
              </w:rPr>
              <w:t xml:space="preserve"> and</w:t>
            </w:r>
            <w:r w:rsidR="00034E46" w:rsidRPr="0059798C">
              <w:rPr>
                <w:rFonts w:cs="Arial"/>
              </w:rPr>
              <w:t xml:space="preserve"> Support for Trade Union Duties;</w:t>
            </w:r>
          </w:p>
          <w:p w:rsidR="00034E46" w:rsidRPr="0059798C" w:rsidRDefault="00F23CD9" w:rsidP="00AB3EE8">
            <w:pPr>
              <w:pStyle w:val="ListParagraph"/>
              <w:numPr>
                <w:ilvl w:val="0"/>
                <w:numId w:val="11"/>
              </w:numPr>
              <w:autoSpaceDE w:val="0"/>
              <w:autoSpaceDN w:val="0"/>
              <w:adjustRightInd w:val="0"/>
              <w:rPr>
                <w:rFonts w:cs="Arial"/>
              </w:rPr>
            </w:pPr>
            <w:r w:rsidRPr="0059798C">
              <w:rPr>
                <w:rFonts w:cs="Arial"/>
              </w:rPr>
              <w:t xml:space="preserve">The Dedicated Schools Grant contribution </w:t>
            </w:r>
            <w:r w:rsidR="00141962">
              <w:rPr>
                <w:rFonts w:cs="Arial"/>
              </w:rPr>
              <w:t xml:space="preserve">of </w:t>
            </w:r>
            <w:r w:rsidRPr="0059798C">
              <w:rPr>
                <w:rFonts w:cs="Arial"/>
              </w:rPr>
              <w:t>£50K to the running of the Local Safeguarding Children’s Board</w:t>
            </w:r>
            <w:r w:rsidR="00AB3EE8" w:rsidRPr="0059798C">
              <w:rPr>
                <w:rFonts w:cs="Arial"/>
              </w:rPr>
              <w:t>;</w:t>
            </w:r>
          </w:p>
          <w:p w:rsidR="00AB3EE8" w:rsidRPr="0059798C" w:rsidRDefault="00AB3EE8" w:rsidP="00AB3EE8">
            <w:pPr>
              <w:pStyle w:val="ListParagraph"/>
              <w:numPr>
                <w:ilvl w:val="0"/>
                <w:numId w:val="11"/>
              </w:numPr>
              <w:autoSpaceDE w:val="0"/>
              <w:autoSpaceDN w:val="0"/>
              <w:adjustRightInd w:val="0"/>
              <w:rPr>
                <w:rFonts w:cs="Arial"/>
              </w:rPr>
            </w:pPr>
            <w:r w:rsidRPr="0059798C">
              <w:rPr>
                <w:rFonts w:cs="Arial"/>
              </w:rPr>
              <w:t>Agree the Growth Funding for 201</w:t>
            </w:r>
            <w:r w:rsidR="0008426D" w:rsidRPr="0059798C">
              <w:rPr>
                <w:rFonts w:cs="Arial"/>
              </w:rPr>
              <w:t>8/19</w:t>
            </w:r>
            <w:r w:rsidRPr="0059798C">
              <w:rPr>
                <w:rFonts w:cs="Arial"/>
              </w:rPr>
              <w:t>.</w:t>
            </w:r>
          </w:p>
          <w:p w:rsidR="006832EA" w:rsidRPr="0059798C" w:rsidRDefault="006832EA" w:rsidP="006832EA">
            <w:pPr>
              <w:tabs>
                <w:tab w:val="left" w:pos="709"/>
                <w:tab w:val="left" w:pos="851"/>
              </w:tabs>
              <w:autoSpaceDE w:val="0"/>
              <w:autoSpaceDN w:val="0"/>
              <w:adjustRightInd w:val="0"/>
              <w:ind w:left="360"/>
              <w:rPr>
                <w:rFonts w:cs="Arial"/>
              </w:rPr>
            </w:pPr>
          </w:p>
          <w:p w:rsidR="00191E9D" w:rsidRPr="0059798C" w:rsidRDefault="00191E9D" w:rsidP="0083339D">
            <w:pPr>
              <w:autoSpaceDE w:val="0"/>
              <w:autoSpaceDN w:val="0"/>
              <w:adjustRightInd w:val="0"/>
              <w:ind w:left="360"/>
              <w:rPr>
                <w:rFonts w:cs="Arial"/>
              </w:rPr>
            </w:pPr>
          </w:p>
        </w:tc>
      </w:tr>
      <w:tr w:rsidR="009771A2" w:rsidRPr="0059798C" w:rsidTr="00C820E9">
        <w:tc>
          <w:tcPr>
            <w:tcW w:w="9631" w:type="dxa"/>
            <w:gridSpan w:val="2"/>
            <w:tcBorders>
              <w:top w:val="nil"/>
              <w:bottom w:val="single" w:sz="4" w:space="0" w:color="auto"/>
            </w:tcBorders>
          </w:tcPr>
          <w:p w:rsidR="00765B07" w:rsidRPr="0059798C" w:rsidRDefault="00765B07" w:rsidP="00E7688F">
            <w:pPr>
              <w:ind w:left="720"/>
              <w:rPr>
                <w:rFonts w:cs="Arial"/>
              </w:rPr>
            </w:pPr>
          </w:p>
        </w:tc>
      </w:tr>
      <w:tr w:rsidR="009771A2" w:rsidRPr="0059798C" w:rsidTr="00C820E9">
        <w:tc>
          <w:tcPr>
            <w:tcW w:w="9631" w:type="dxa"/>
            <w:gridSpan w:val="2"/>
            <w:tcBorders>
              <w:bottom w:val="nil"/>
            </w:tcBorders>
          </w:tcPr>
          <w:p w:rsidR="009771A2" w:rsidRPr="0059798C" w:rsidRDefault="009771A2" w:rsidP="00F62747">
            <w:pPr>
              <w:rPr>
                <w:rFonts w:cs="Arial"/>
                <w:b/>
              </w:rPr>
            </w:pPr>
            <w:r w:rsidRPr="0059798C">
              <w:rPr>
                <w:rFonts w:cs="Arial"/>
                <w:b/>
              </w:rPr>
              <w:t>Reason(s)</w:t>
            </w:r>
          </w:p>
        </w:tc>
      </w:tr>
      <w:tr w:rsidR="009771A2" w:rsidRPr="0059798C" w:rsidTr="00C820E9">
        <w:tc>
          <w:tcPr>
            <w:tcW w:w="9631" w:type="dxa"/>
            <w:gridSpan w:val="2"/>
            <w:tcBorders>
              <w:top w:val="nil"/>
            </w:tcBorders>
          </w:tcPr>
          <w:p w:rsidR="009771A2" w:rsidRPr="0059798C" w:rsidRDefault="006262A7" w:rsidP="006262A7">
            <w:pPr>
              <w:rPr>
                <w:rFonts w:cs="Arial"/>
              </w:rPr>
            </w:pPr>
            <w:r w:rsidRPr="0059798C">
              <w:rPr>
                <w:rFonts w:cs="Arial"/>
              </w:rPr>
              <w:t>None</w:t>
            </w:r>
          </w:p>
        </w:tc>
      </w:tr>
    </w:tbl>
    <w:p w:rsidR="00424A8E" w:rsidRPr="0059798C" w:rsidRDefault="00424A8E" w:rsidP="00F7272A">
      <w:pPr>
        <w:rPr>
          <w:rFonts w:cs="Arial"/>
        </w:rPr>
      </w:pPr>
    </w:p>
    <w:p w:rsidR="009A0F2F" w:rsidRPr="0059798C" w:rsidRDefault="00C43EE1" w:rsidP="00166E5E">
      <w:pPr>
        <w:numPr>
          <w:ilvl w:val="0"/>
          <w:numId w:val="2"/>
        </w:numPr>
        <w:tabs>
          <w:tab w:val="left" w:pos="0"/>
        </w:tabs>
        <w:rPr>
          <w:rFonts w:cs="Arial"/>
          <w:b/>
          <w:u w:val="single"/>
        </w:rPr>
      </w:pPr>
      <w:r w:rsidRPr="0059798C">
        <w:rPr>
          <w:rFonts w:cs="Arial"/>
        </w:rPr>
        <w:br w:type="page"/>
      </w:r>
      <w:r w:rsidR="00E7688F" w:rsidRPr="0059798C">
        <w:rPr>
          <w:rFonts w:cs="Arial"/>
          <w:b/>
          <w:u w:val="single"/>
        </w:rPr>
        <w:lastRenderedPageBreak/>
        <w:t>Introduction and Background</w:t>
      </w:r>
    </w:p>
    <w:p w:rsidR="009A0F2F" w:rsidRPr="0059798C" w:rsidRDefault="009A0F2F" w:rsidP="00F7272A">
      <w:pPr>
        <w:rPr>
          <w:rFonts w:cs="Arial"/>
        </w:rPr>
      </w:pPr>
    </w:p>
    <w:p w:rsidR="00EB62E5" w:rsidRPr="0059798C" w:rsidRDefault="00CA5E3F" w:rsidP="00166E5E">
      <w:pPr>
        <w:numPr>
          <w:ilvl w:val="1"/>
          <w:numId w:val="2"/>
        </w:numPr>
        <w:tabs>
          <w:tab w:val="clear" w:pos="360"/>
          <w:tab w:val="num" w:pos="-567"/>
        </w:tabs>
        <w:ind w:left="709" w:hanging="709"/>
        <w:jc w:val="both"/>
        <w:rPr>
          <w:rFonts w:cs="Arial"/>
        </w:rPr>
      </w:pPr>
      <w:r w:rsidRPr="0059798C">
        <w:rPr>
          <w:rFonts w:cs="Arial"/>
        </w:rPr>
        <w:t>The School Forum is a decision making and consultative body in relation to matters concerning schools’ budgets as defined in the School Finance (England) Regulations 2012 and the Schools Forums (England) Regulations 2012.  T</w:t>
      </w:r>
      <w:r w:rsidR="00383EA6" w:rsidRPr="0059798C">
        <w:rPr>
          <w:rFonts w:cs="Arial"/>
        </w:rPr>
        <w:t>he</w:t>
      </w:r>
      <w:r w:rsidRPr="0059798C">
        <w:rPr>
          <w:rFonts w:cs="Arial"/>
        </w:rPr>
        <w:t xml:space="preserve"> Forum is required to meet at least four times a year.</w:t>
      </w:r>
    </w:p>
    <w:p w:rsidR="00EB62E5" w:rsidRPr="0059798C" w:rsidRDefault="00EB62E5" w:rsidP="00EB62E5">
      <w:pPr>
        <w:ind w:left="709"/>
        <w:jc w:val="both"/>
        <w:rPr>
          <w:rFonts w:cs="Arial"/>
        </w:rPr>
      </w:pPr>
    </w:p>
    <w:p w:rsidR="00EB62E5" w:rsidRPr="0059798C" w:rsidRDefault="00EB62E5" w:rsidP="00166E5E">
      <w:pPr>
        <w:numPr>
          <w:ilvl w:val="1"/>
          <w:numId w:val="2"/>
        </w:numPr>
        <w:tabs>
          <w:tab w:val="clear" w:pos="360"/>
          <w:tab w:val="num" w:pos="-567"/>
        </w:tabs>
        <w:ind w:left="709" w:hanging="709"/>
        <w:jc w:val="both"/>
        <w:rPr>
          <w:rFonts w:cs="Arial"/>
        </w:rPr>
      </w:pPr>
      <w:r w:rsidRPr="0059798C">
        <w:rPr>
          <w:rFonts w:cs="Arial"/>
        </w:rPr>
        <w:t xml:space="preserve">The London Borough of Barking and </w:t>
      </w:r>
      <w:r w:rsidRPr="0059798C">
        <w:t>Dagenham School Forum meet five times per academic year and meetings dates were agreed at the meeting 21 June 2016.</w:t>
      </w:r>
    </w:p>
    <w:p w:rsidR="00832391" w:rsidRPr="0059798C" w:rsidRDefault="00CA5E3F" w:rsidP="00EB62E5">
      <w:pPr>
        <w:jc w:val="both"/>
        <w:rPr>
          <w:rFonts w:cs="Arial"/>
        </w:rPr>
      </w:pPr>
      <w:r w:rsidRPr="0059798C">
        <w:rPr>
          <w:rFonts w:cs="Arial"/>
        </w:rPr>
        <w:t xml:space="preserve">    </w:t>
      </w:r>
    </w:p>
    <w:p w:rsidR="00EB62E5" w:rsidRPr="0059798C" w:rsidRDefault="00832391" w:rsidP="00EB62E5">
      <w:pPr>
        <w:pStyle w:val="Default"/>
        <w:numPr>
          <w:ilvl w:val="1"/>
          <w:numId w:val="2"/>
        </w:numPr>
        <w:ind w:left="709" w:hanging="709"/>
        <w:jc w:val="both"/>
        <w:rPr>
          <w:color w:val="auto"/>
        </w:rPr>
      </w:pPr>
      <w:r w:rsidRPr="0059798C">
        <w:rPr>
          <w:color w:val="auto"/>
        </w:rPr>
        <w:t xml:space="preserve"> </w:t>
      </w:r>
      <w:r w:rsidRPr="0059798C">
        <w:rPr>
          <w:color w:val="auto"/>
        </w:rPr>
        <w:tab/>
      </w:r>
      <w:r w:rsidR="00EB62E5" w:rsidRPr="0059798C">
        <w:rPr>
          <w:color w:val="auto"/>
        </w:rPr>
        <w:t>This meeting 2</w:t>
      </w:r>
      <w:r w:rsidR="00555444" w:rsidRPr="0059798C">
        <w:rPr>
          <w:color w:val="auto"/>
        </w:rPr>
        <w:t>1 November 2017</w:t>
      </w:r>
      <w:r w:rsidR="00EB62E5" w:rsidRPr="0059798C">
        <w:rPr>
          <w:color w:val="auto"/>
        </w:rPr>
        <w:t xml:space="preserve"> is a special agreed meeting to discuss and approve the </w:t>
      </w:r>
      <w:r w:rsidR="00555444" w:rsidRPr="0059798C">
        <w:rPr>
          <w:color w:val="auto"/>
        </w:rPr>
        <w:t xml:space="preserve">2018/19 </w:t>
      </w:r>
      <w:r w:rsidR="00EB62E5" w:rsidRPr="0059798C">
        <w:rPr>
          <w:color w:val="auto"/>
        </w:rPr>
        <w:t>school</w:t>
      </w:r>
      <w:r w:rsidR="00555444" w:rsidRPr="0059798C">
        <w:rPr>
          <w:color w:val="auto"/>
        </w:rPr>
        <w:t>s</w:t>
      </w:r>
      <w:r w:rsidR="00EB62E5" w:rsidRPr="0059798C">
        <w:rPr>
          <w:color w:val="auto"/>
        </w:rPr>
        <w:t xml:space="preserve"> </w:t>
      </w:r>
      <w:r w:rsidR="00555444" w:rsidRPr="0059798C">
        <w:rPr>
          <w:color w:val="auto"/>
        </w:rPr>
        <w:t xml:space="preserve">funding </w:t>
      </w:r>
      <w:r w:rsidR="00EB62E5" w:rsidRPr="0059798C">
        <w:rPr>
          <w:color w:val="auto"/>
        </w:rPr>
        <w:t xml:space="preserve">formula model </w:t>
      </w:r>
      <w:r w:rsidR="00555444" w:rsidRPr="0059798C">
        <w:rPr>
          <w:color w:val="auto"/>
        </w:rPr>
        <w:t>in p</w:t>
      </w:r>
      <w:r w:rsidR="00EB62E5" w:rsidRPr="0059798C">
        <w:rPr>
          <w:color w:val="auto"/>
        </w:rPr>
        <w:t>reparation for submi</w:t>
      </w:r>
      <w:r w:rsidR="00555444" w:rsidRPr="0059798C">
        <w:rPr>
          <w:color w:val="auto"/>
        </w:rPr>
        <w:t>ssion to the E</w:t>
      </w:r>
      <w:r w:rsidR="0008426D" w:rsidRPr="0059798C">
        <w:rPr>
          <w:color w:val="auto"/>
        </w:rPr>
        <w:t xml:space="preserve">ducation and Skills Funding Agency (ESFA) </w:t>
      </w:r>
      <w:r w:rsidR="00555444" w:rsidRPr="0059798C">
        <w:rPr>
          <w:color w:val="auto"/>
        </w:rPr>
        <w:t>in January 2018</w:t>
      </w:r>
      <w:r w:rsidR="00EB62E5" w:rsidRPr="0059798C">
        <w:rPr>
          <w:color w:val="auto"/>
        </w:rPr>
        <w:t>. The final model will be presented to S</w:t>
      </w:r>
      <w:r w:rsidR="00555444" w:rsidRPr="0059798C">
        <w:rPr>
          <w:color w:val="auto"/>
        </w:rPr>
        <w:t>chools Forum at the January 2018</w:t>
      </w:r>
      <w:r w:rsidR="00EB62E5" w:rsidRPr="0059798C">
        <w:rPr>
          <w:color w:val="auto"/>
        </w:rPr>
        <w:t xml:space="preserve"> meeting.</w:t>
      </w:r>
    </w:p>
    <w:p w:rsidR="00B52BD3" w:rsidRPr="0059798C" w:rsidRDefault="00657B37" w:rsidP="0083246D">
      <w:pPr>
        <w:rPr>
          <w:rFonts w:cs="Arial"/>
        </w:rPr>
      </w:pPr>
      <w:r w:rsidRPr="0059798C">
        <w:rPr>
          <w:rFonts w:cs="Arial"/>
          <w:b/>
        </w:rPr>
        <w:tab/>
      </w:r>
    </w:p>
    <w:p w:rsidR="00204510" w:rsidRPr="0059798C" w:rsidRDefault="00DE01E5" w:rsidP="009A6C54">
      <w:pPr>
        <w:numPr>
          <w:ilvl w:val="0"/>
          <w:numId w:val="2"/>
        </w:numPr>
        <w:rPr>
          <w:rFonts w:cs="Arial"/>
          <w:b/>
          <w:u w:val="single"/>
        </w:rPr>
      </w:pPr>
      <w:r w:rsidRPr="0059798C">
        <w:rPr>
          <w:rFonts w:cs="Arial"/>
          <w:b/>
          <w:u w:val="single"/>
        </w:rPr>
        <w:t xml:space="preserve">National </w:t>
      </w:r>
      <w:r w:rsidR="00B15989" w:rsidRPr="0059798C">
        <w:rPr>
          <w:rFonts w:cs="Arial"/>
          <w:b/>
          <w:u w:val="single"/>
        </w:rPr>
        <w:t>Funding Formula</w:t>
      </w:r>
    </w:p>
    <w:p w:rsidR="00EB357B" w:rsidRPr="0059798C" w:rsidRDefault="00EB357B" w:rsidP="00EB357B">
      <w:pPr>
        <w:rPr>
          <w:rFonts w:cs="Arial"/>
          <w:b/>
        </w:rPr>
      </w:pPr>
    </w:p>
    <w:p w:rsidR="009F2E61" w:rsidRPr="0059798C" w:rsidRDefault="009F2E61" w:rsidP="00DA6D93">
      <w:pPr>
        <w:ind w:left="709" w:hanging="709"/>
        <w:rPr>
          <w:rFonts w:cs="Arial"/>
        </w:rPr>
      </w:pPr>
    </w:p>
    <w:p w:rsidR="00B107CF" w:rsidRPr="0059798C" w:rsidRDefault="00B107CF" w:rsidP="00DA6D93">
      <w:pPr>
        <w:pStyle w:val="ListParagraph"/>
        <w:numPr>
          <w:ilvl w:val="1"/>
          <w:numId w:val="20"/>
        </w:numPr>
        <w:ind w:left="709" w:hanging="709"/>
        <w:rPr>
          <w:rFonts w:cs="Arial"/>
        </w:rPr>
      </w:pPr>
      <w:r w:rsidRPr="0059798C">
        <w:rPr>
          <w:rFonts w:cs="Arial"/>
        </w:rPr>
        <w:t>It is the intention of</w:t>
      </w:r>
      <w:r w:rsidR="00B427E1" w:rsidRPr="0059798C">
        <w:rPr>
          <w:rFonts w:cs="Arial"/>
        </w:rPr>
        <w:t xml:space="preserve"> central government that schools’ budget should be set on the basi</w:t>
      </w:r>
      <w:r w:rsidR="006C1291">
        <w:rPr>
          <w:rFonts w:cs="Arial"/>
        </w:rPr>
        <w:t>s of single, national formula (</w:t>
      </w:r>
      <w:r w:rsidR="00B427E1" w:rsidRPr="0059798C">
        <w:rPr>
          <w:rFonts w:cs="Arial"/>
        </w:rPr>
        <w:t xml:space="preserve">a ‘hard’ national </w:t>
      </w:r>
      <w:r w:rsidRPr="0059798C">
        <w:rPr>
          <w:rFonts w:cs="Arial"/>
        </w:rPr>
        <w:t>funding formula). As part of the</w:t>
      </w:r>
      <w:r w:rsidR="00B427E1" w:rsidRPr="0059798C">
        <w:rPr>
          <w:rFonts w:cs="Arial"/>
        </w:rPr>
        <w:t xml:space="preserve"> transition, under the ‘soft’ approach</w:t>
      </w:r>
      <w:r w:rsidRPr="0059798C">
        <w:rPr>
          <w:rFonts w:cs="Arial"/>
        </w:rPr>
        <w:t>,</w:t>
      </w:r>
      <w:r w:rsidR="00B427E1" w:rsidRPr="0059798C">
        <w:rPr>
          <w:rFonts w:cs="Arial"/>
        </w:rPr>
        <w:t xml:space="preserve"> the national formula is being used to set </w:t>
      </w:r>
      <w:r w:rsidRPr="0059798C">
        <w:rPr>
          <w:rFonts w:cs="Arial"/>
        </w:rPr>
        <w:t xml:space="preserve">the </w:t>
      </w:r>
      <w:r w:rsidR="00B427E1" w:rsidRPr="0059798C">
        <w:rPr>
          <w:rFonts w:cs="Arial"/>
        </w:rPr>
        <w:t>noti</w:t>
      </w:r>
      <w:r w:rsidRPr="0059798C">
        <w:rPr>
          <w:rFonts w:cs="Arial"/>
        </w:rPr>
        <w:t>onal budget f</w:t>
      </w:r>
      <w:r w:rsidR="00B427E1" w:rsidRPr="0059798C">
        <w:rPr>
          <w:rFonts w:cs="Arial"/>
        </w:rPr>
        <w:t>o</w:t>
      </w:r>
      <w:r w:rsidRPr="0059798C">
        <w:rPr>
          <w:rFonts w:cs="Arial"/>
        </w:rPr>
        <w:t>r</w:t>
      </w:r>
      <w:r w:rsidR="00B427E1" w:rsidRPr="0059798C">
        <w:rPr>
          <w:rFonts w:cs="Arial"/>
        </w:rPr>
        <w:t xml:space="preserve"> each school</w:t>
      </w:r>
      <w:r w:rsidRPr="0059798C">
        <w:rPr>
          <w:rFonts w:cs="Arial"/>
        </w:rPr>
        <w:t xml:space="preserve"> in the next two year</w:t>
      </w:r>
      <w:r w:rsidR="00FB69F2">
        <w:rPr>
          <w:rFonts w:cs="Arial"/>
        </w:rPr>
        <w:t>s</w:t>
      </w:r>
      <w:r w:rsidRPr="0059798C">
        <w:rPr>
          <w:rFonts w:cs="Arial"/>
        </w:rPr>
        <w:t xml:space="preserve"> (2018/19 and 2019/20).  These are then aggregated to give Schools Block funding for each local authority.   In this transition phase, local authorities can continue to set the local formula in consultation with local schools and schools forum. </w:t>
      </w:r>
    </w:p>
    <w:p w:rsidR="00B107CF" w:rsidRPr="0059798C" w:rsidRDefault="00B107CF" w:rsidP="00B107CF">
      <w:pPr>
        <w:pStyle w:val="ListParagraph"/>
        <w:ind w:left="709"/>
        <w:rPr>
          <w:rFonts w:cs="Arial"/>
        </w:rPr>
      </w:pPr>
    </w:p>
    <w:p w:rsidR="000C4BED" w:rsidRPr="0059798C" w:rsidRDefault="000C4BED" w:rsidP="000C4BED">
      <w:pPr>
        <w:pStyle w:val="ListParagraph"/>
        <w:numPr>
          <w:ilvl w:val="1"/>
          <w:numId w:val="20"/>
        </w:numPr>
        <w:ind w:left="709" w:hanging="709"/>
        <w:rPr>
          <w:rFonts w:cs="Arial"/>
        </w:rPr>
      </w:pPr>
      <w:r w:rsidRPr="0059798C">
        <w:rPr>
          <w:rFonts w:cs="Arial"/>
        </w:rPr>
        <w:t>The main funding changes in 2018/19 are as follows:</w:t>
      </w:r>
    </w:p>
    <w:p w:rsidR="000C4BED" w:rsidRPr="0059798C" w:rsidRDefault="000C4BED" w:rsidP="000C4BED">
      <w:pPr>
        <w:pStyle w:val="ListParagraph"/>
        <w:rPr>
          <w:rFonts w:cs="Arial"/>
        </w:rPr>
      </w:pPr>
    </w:p>
    <w:p w:rsidR="000C4BED" w:rsidRPr="0059798C" w:rsidRDefault="000C4BED" w:rsidP="002E7697">
      <w:pPr>
        <w:pStyle w:val="ListParagraph"/>
        <w:numPr>
          <w:ilvl w:val="0"/>
          <w:numId w:val="21"/>
        </w:numPr>
        <w:ind w:left="1287" w:hanging="510"/>
        <w:rPr>
          <w:rFonts w:cs="Arial"/>
        </w:rPr>
      </w:pPr>
      <w:r w:rsidRPr="0059798C">
        <w:rPr>
          <w:rFonts w:cs="Arial"/>
        </w:rPr>
        <w:t xml:space="preserve">The central school services provided by Local Authorities will now be funded through the newly created </w:t>
      </w:r>
      <w:r w:rsidR="00805656">
        <w:rPr>
          <w:rFonts w:cs="Arial"/>
        </w:rPr>
        <w:t>C</w:t>
      </w:r>
      <w:r w:rsidRPr="0059798C">
        <w:rPr>
          <w:rFonts w:cs="Arial"/>
        </w:rPr>
        <w:t>entral School Services Block;</w:t>
      </w:r>
    </w:p>
    <w:p w:rsidR="000C4BED" w:rsidRPr="0059798C" w:rsidRDefault="000C4BED" w:rsidP="002E7697">
      <w:pPr>
        <w:pStyle w:val="ListParagraph"/>
        <w:numPr>
          <w:ilvl w:val="0"/>
          <w:numId w:val="21"/>
        </w:numPr>
        <w:ind w:left="1287" w:hanging="510"/>
        <w:rPr>
          <w:rFonts w:cs="Arial"/>
        </w:rPr>
      </w:pPr>
      <w:r w:rsidRPr="0059798C">
        <w:rPr>
          <w:rFonts w:cs="Arial"/>
        </w:rPr>
        <w:t>All four funding blocks (Schools, Central, High Needs and Early Years) are for the first time determined</w:t>
      </w:r>
      <w:r w:rsidR="0066268C" w:rsidRPr="0059798C">
        <w:rPr>
          <w:rFonts w:cs="Arial"/>
        </w:rPr>
        <w:t xml:space="preserve"> on a formulaic basis;</w:t>
      </w:r>
    </w:p>
    <w:p w:rsidR="000C4BED" w:rsidRPr="0059798C" w:rsidRDefault="000C4BED" w:rsidP="002E7697">
      <w:pPr>
        <w:pStyle w:val="ListParagraph"/>
        <w:numPr>
          <w:ilvl w:val="0"/>
          <w:numId w:val="21"/>
        </w:numPr>
        <w:ind w:left="1287" w:hanging="510"/>
        <w:rPr>
          <w:rFonts w:cs="Arial"/>
        </w:rPr>
      </w:pPr>
      <w:r w:rsidRPr="0059798C">
        <w:rPr>
          <w:rFonts w:cs="Arial"/>
        </w:rPr>
        <w:t xml:space="preserve">The schools block allocations provide for at </w:t>
      </w:r>
      <w:r w:rsidR="00805656">
        <w:rPr>
          <w:rFonts w:cs="Arial"/>
        </w:rPr>
        <w:t>least a 0.5% per pupil increase;</w:t>
      </w:r>
      <w:r w:rsidRPr="0059798C">
        <w:rPr>
          <w:rFonts w:cs="Arial"/>
        </w:rPr>
        <w:t xml:space="preserve"> </w:t>
      </w:r>
    </w:p>
    <w:p w:rsidR="0066268C" w:rsidRPr="0059798C" w:rsidRDefault="0066268C" w:rsidP="002E7697">
      <w:pPr>
        <w:pStyle w:val="ListParagraph"/>
        <w:numPr>
          <w:ilvl w:val="0"/>
          <w:numId w:val="21"/>
        </w:numPr>
        <w:ind w:left="1287" w:hanging="510"/>
        <w:rPr>
          <w:rFonts w:cs="Arial"/>
        </w:rPr>
      </w:pPr>
      <w:r w:rsidRPr="0059798C">
        <w:rPr>
          <w:rFonts w:cs="Arial"/>
        </w:rPr>
        <w:t>Funding block allocations of at least £4,800 per pupil for all secondary schools that have pupils in years 10 and 11;</w:t>
      </w:r>
    </w:p>
    <w:p w:rsidR="0066268C" w:rsidRPr="0059798C" w:rsidRDefault="0066268C" w:rsidP="002E7697">
      <w:pPr>
        <w:pStyle w:val="ListParagraph"/>
        <w:numPr>
          <w:ilvl w:val="0"/>
          <w:numId w:val="21"/>
        </w:numPr>
        <w:ind w:left="1287" w:hanging="510"/>
        <w:rPr>
          <w:rFonts w:cs="Arial"/>
        </w:rPr>
      </w:pPr>
      <w:r w:rsidRPr="0059798C">
        <w:rPr>
          <w:rFonts w:cs="Arial"/>
        </w:rPr>
        <w:t>Local authorities will have flexibility to</w:t>
      </w:r>
      <w:r w:rsidR="00805656">
        <w:rPr>
          <w:rFonts w:cs="Arial"/>
        </w:rPr>
        <w:t xml:space="preserve"> set</w:t>
      </w:r>
      <w:r w:rsidRPr="0059798C">
        <w:rPr>
          <w:rFonts w:cs="Arial"/>
        </w:rPr>
        <w:t xml:space="preserve"> Minimum Funding Guarantee</w:t>
      </w:r>
      <w:r w:rsidR="00130111" w:rsidRPr="0059798C">
        <w:rPr>
          <w:rFonts w:cs="Arial"/>
        </w:rPr>
        <w:t xml:space="preserve"> (MFG) </w:t>
      </w:r>
      <w:r w:rsidR="0008426D" w:rsidRPr="0059798C">
        <w:rPr>
          <w:rFonts w:cs="Arial"/>
        </w:rPr>
        <w:t xml:space="preserve">of </w:t>
      </w:r>
      <w:r w:rsidRPr="0059798C">
        <w:rPr>
          <w:rFonts w:cs="Arial"/>
        </w:rPr>
        <w:t xml:space="preserve">between 0% and </w:t>
      </w:r>
      <w:r w:rsidR="00805656">
        <w:rPr>
          <w:rFonts w:cs="Arial"/>
        </w:rPr>
        <w:t>minus 1</w:t>
      </w:r>
      <w:r w:rsidRPr="0059798C">
        <w:rPr>
          <w:rFonts w:cs="Arial"/>
        </w:rPr>
        <w:t>.5% per pupil;</w:t>
      </w:r>
    </w:p>
    <w:p w:rsidR="0066268C" w:rsidRPr="0059798C" w:rsidRDefault="0066268C" w:rsidP="002E7697">
      <w:pPr>
        <w:pStyle w:val="ListParagraph"/>
        <w:numPr>
          <w:ilvl w:val="0"/>
          <w:numId w:val="21"/>
        </w:numPr>
        <w:ind w:left="1287" w:hanging="510"/>
        <w:rPr>
          <w:rFonts w:cs="Arial"/>
        </w:rPr>
      </w:pPr>
      <w:r w:rsidRPr="0059798C">
        <w:rPr>
          <w:rFonts w:cs="Arial"/>
        </w:rPr>
        <w:t>Local authorities ca</w:t>
      </w:r>
      <w:r w:rsidR="00130111" w:rsidRPr="0059798C">
        <w:rPr>
          <w:rFonts w:cs="Arial"/>
        </w:rPr>
        <w:t>n transfer up to 0.5% of their Schools B</w:t>
      </w:r>
      <w:r w:rsidRPr="0059798C">
        <w:rPr>
          <w:rFonts w:cs="Arial"/>
        </w:rPr>
        <w:t>lock funding</w:t>
      </w:r>
      <w:r w:rsidR="0008426D" w:rsidRPr="0059798C">
        <w:rPr>
          <w:rFonts w:cs="Arial"/>
        </w:rPr>
        <w:t>.</w:t>
      </w:r>
    </w:p>
    <w:p w:rsidR="0066268C" w:rsidRPr="0059798C" w:rsidRDefault="0066268C" w:rsidP="0066268C">
      <w:pPr>
        <w:pStyle w:val="ListParagraph"/>
        <w:ind w:left="1069"/>
        <w:rPr>
          <w:rFonts w:cs="Arial"/>
        </w:rPr>
      </w:pPr>
    </w:p>
    <w:p w:rsidR="0066268C" w:rsidRPr="0059798C" w:rsidRDefault="0066268C" w:rsidP="0066268C">
      <w:pPr>
        <w:pStyle w:val="ListParagraph"/>
        <w:numPr>
          <w:ilvl w:val="1"/>
          <w:numId w:val="20"/>
        </w:numPr>
        <w:ind w:left="709" w:hanging="709"/>
        <w:rPr>
          <w:rFonts w:cs="Arial"/>
        </w:rPr>
      </w:pPr>
      <w:r w:rsidRPr="0059798C">
        <w:rPr>
          <w:rFonts w:cs="Arial"/>
        </w:rPr>
        <w:t>Other smaller changes being introduced are as follows:</w:t>
      </w:r>
    </w:p>
    <w:p w:rsidR="002E7697" w:rsidRPr="0059798C" w:rsidRDefault="002E7697" w:rsidP="002E7697">
      <w:pPr>
        <w:pStyle w:val="ListParagraph"/>
        <w:ind w:left="709"/>
        <w:rPr>
          <w:rFonts w:cs="Arial"/>
        </w:rPr>
      </w:pPr>
    </w:p>
    <w:p w:rsidR="0066268C" w:rsidRPr="0059798C" w:rsidRDefault="0008426D" w:rsidP="002E7697">
      <w:pPr>
        <w:pStyle w:val="ListParagraph"/>
        <w:numPr>
          <w:ilvl w:val="0"/>
          <w:numId w:val="22"/>
        </w:numPr>
        <w:ind w:left="1219" w:hanging="510"/>
        <w:rPr>
          <w:rFonts w:cs="Arial"/>
        </w:rPr>
      </w:pPr>
      <w:r w:rsidRPr="0059798C">
        <w:rPr>
          <w:rFonts w:cs="Arial"/>
        </w:rPr>
        <w:t>Local authorities can now use</w:t>
      </w:r>
      <w:r w:rsidR="0066268C" w:rsidRPr="0059798C">
        <w:rPr>
          <w:rFonts w:cs="Arial"/>
        </w:rPr>
        <w:t xml:space="preserve"> bot</w:t>
      </w:r>
      <w:r w:rsidRPr="0059798C">
        <w:rPr>
          <w:rFonts w:cs="Arial"/>
        </w:rPr>
        <w:t>h</w:t>
      </w:r>
      <w:r w:rsidR="0066268C" w:rsidRPr="0059798C">
        <w:rPr>
          <w:rFonts w:cs="Arial"/>
        </w:rPr>
        <w:t xml:space="preserve"> current Free School Meals (FSM) and Ever 6 in the deprivation factors</w:t>
      </w:r>
      <w:r w:rsidRPr="0059798C">
        <w:rPr>
          <w:rFonts w:cs="Arial"/>
        </w:rPr>
        <w:t>;</w:t>
      </w:r>
    </w:p>
    <w:p w:rsidR="0066268C" w:rsidRPr="0059798C" w:rsidRDefault="0066268C" w:rsidP="002E7697">
      <w:pPr>
        <w:pStyle w:val="ListParagraph"/>
        <w:numPr>
          <w:ilvl w:val="0"/>
          <w:numId w:val="22"/>
        </w:numPr>
        <w:ind w:left="1219" w:hanging="510"/>
        <w:rPr>
          <w:rFonts w:cs="Arial"/>
        </w:rPr>
      </w:pPr>
      <w:r w:rsidRPr="0059798C">
        <w:rPr>
          <w:rFonts w:cs="Arial"/>
        </w:rPr>
        <w:t>There will no longer be a Looked After Children factor under the NFF, instead Pupil Pre</w:t>
      </w:r>
      <w:r w:rsidR="0008426D" w:rsidRPr="0059798C">
        <w:rPr>
          <w:rFonts w:cs="Arial"/>
        </w:rPr>
        <w:t>mium Plus rates for 2018/19 are</w:t>
      </w:r>
      <w:r w:rsidRPr="0059798C">
        <w:rPr>
          <w:rFonts w:cs="Arial"/>
        </w:rPr>
        <w:t xml:space="preserve"> being in</w:t>
      </w:r>
      <w:r w:rsidR="0008426D" w:rsidRPr="0059798C">
        <w:rPr>
          <w:rFonts w:cs="Arial"/>
        </w:rPr>
        <w:t>creased;</w:t>
      </w:r>
    </w:p>
    <w:p w:rsidR="0066268C" w:rsidRPr="0059798C" w:rsidRDefault="00285D14" w:rsidP="002E7697">
      <w:pPr>
        <w:pStyle w:val="ListParagraph"/>
        <w:numPr>
          <w:ilvl w:val="0"/>
          <w:numId w:val="22"/>
        </w:numPr>
        <w:ind w:left="1219" w:hanging="510"/>
        <w:rPr>
          <w:rFonts w:cs="Arial"/>
        </w:rPr>
      </w:pPr>
      <w:r w:rsidRPr="0059798C">
        <w:rPr>
          <w:rFonts w:cs="Arial"/>
        </w:rPr>
        <w:t>Disapplication is no longer required to fund gr</w:t>
      </w:r>
      <w:r w:rsidR="0008426D" w:rsidRPr="0059798C">
        <w:rPr>
          <w:rFonts w:cs="Arial"/>
        </w:rPr>
        <w:t>owth by adjusting pupil numbers;</w:t>
      </w:r>
    </w:p>
    <w:p w:rsidR="00285D14" w:rsidRPr="0059798C" w:rsidRDefault="00285D14" w:rsidP="002E7697">
      <w:pPr>
        <w:pStyle w:val="ListParagraph"/>
        <w:numPr>
          <w:ilvl w:val="0"/>
          <w:numId w:val="22"/>
        </w:numPr>
        <w:ind w:left="1219" w:hanging="510"/>
        <w:rPr>
          <w:rFonts w:cs="Arial"/>
        </w:rPr>
      </w:pPr>
      <w:r w:rsidRPr="0059798C">
        <w:rPr>
          <w:rFonts w:cs="Arial"/>
        </w:rPr>
        <w:t xml:space="preserve">There will no longer be a deduction for high needs places in mainstream schools, but instead be funded through the Schools Block. </w:t>
      </w:r>
    </w:p>
    <w:p w:rsidR="001B4184" w:rsidRDefault="001B4184">
      <w:r>
        <w:br w:type="page"/>
      </w:r>
    </w:p>
    <w:p w:rsidR="00B24D1A" w:rsidRPr="0059798C" w:rsidRDefault="00B24D1A" w:rsidP="00B24D1A">
      <w:pPr>
        <w:pStyle w:val="ListParagraph"/>
        <w:ind w:left="0"/>
        <w:jc w:val="both"/>
      </w:pPr>
    </w:p>
    <w:p w:rsidR="0059686E" w:rsidRPr="0059798C" w:rsidRDefault="0059686E" w:rsidP="0059686E">
      <w:pPr>
        <w:pStyle w:val="ListParagraph"/>
        <w:rPr>
          <w:rFonts w:cs="Arial"/>
        </w:rPr>
      </w:pPr>
    </w:p>
    <w:p w:rsidR="00560DBE" w:rsidRPr="0059798C" w:rsidRDefault="00560DBE" w:rsidP="00560DBE">
      <w:pPr>
        <w:numPr>
          <w:ilvl w:val="0"/>
          <w:numId w:val="2"/>
        </w:numPr>
        <w:rPr>
          <w:rFonts w:cs="Arial"/>
          <w:b/>
          <w:u w:val="single"/>
        </w:rPr>
      </w:pPr>
      <w:r w:rsidRPr="0059798C">
        <w:rPr>
          <w:rFonts w:cs="Arial"/>
          <w:b/>
          <w:u w:val="single"/>
        </w:rPr>
        <w:t>Schools Funding Formula Models</w:t>
      </w:r>
    </w:p>
    <w:p w:rsidR="00560DBE" w:rsidRPr="0059798C" w:rsidRDefault="00560DBE" w:rsidP="0059686E">
      <w:pPr>
        <w:pStyle w:val="ListParagraph"/>
        <w:rPr>
          <w:rFonts w:cs="Arial"/>
        </w:rPr>
      </w:pPr>
    </w:p>
    <w:p w:rsidR="00560DBE" w:rsidRPr="0059798C" w:rsidRDefault="00560DBE" w:rsidP="00560DBE">
      <w:pPr>
        <w:pStyle w:val="ListParagraph"/>
        <w:numPr>
          <w:ilvl w:val="0"/>
          <w:numId w:val="23"/>
        </w:numPr>
        <w:jc w:val="both"/>
        <w:rPr>
          <w:rFonts w:cs="Arial"/>
          <w:vanish/>
        </w:rPr>
      </w:pPr>
    </w:p>
    <w:p w:rsidR="00560DBE" w:rsidRPr="0059798C" w:rsidRDefault="00560DBE" w:rsidP="00560DBE">
      <w:pPr>
        <w:pStyle w:val="ListParagraph"/>
        <w:numPr>
          <w:ilvl w:val="0"/>
          <w:numId w:val="23"/>
        </w:numPr>
        <w:jc w:val="both"/>
        <w:rPr>
          <w:rFonts w:cs="Arial"/>
          <w:vanish/>
        </w:rPr>
      </w:pPr>
    </w:p>
    <w:p w:rsidR="00A83391" w:rsidRDefault="00B107CF" w:rsidP="00560DBE">
      <w:pPr>
        <w:pStyle w:val="ListParagraph"/>
        <w:numPr>
          <w:ilvl w:val="1"/>
          <w:numId w:val="23"/>
        </w:numPr>
        <w:ind w:left="709" w:hanging="709"/>
        <w:jc w:val="both"/>
        <w:rPr>
          <w:rFonts w:cs="Arial"/>
        </w:rPr>
      </w:pPr>
      <w:r w:rsidRPr="0059798C">
        <w:rPr>
          <w:rFonts w:cs="Arial"/>
        </w:rPr>
        <w:t xml:space="preserve">As part of the consultation process, the local authority wrote to </w:t>
      </w:r>
      <w:r w:rsidR="00DE01E5" w:rsidRPr="0059798C">
        <w:rPr>
          <w:rFonts w:cs="Arial"/>
        </w:rPr>
        <w:t xml:space="preserve">maintained and academy schools in the borough </w:t>
      </w:r>
      <w:r w:rsidRPr="0059798C">
        <w:rPr>
          <w:rFonts w:cs="Arial"/>
        </w:rPr>
        <w:t xml:space="preserve">on 25 </w:t>
      </w:r>
      <w:r w:rsidR="00DC76A3">
        <w:rPr>
          <w:rFonts w:cs="Arial"/>
        </w:rPr>
        <w:t>October</w:t>
      </w:r>
      <w:r w:rsidRPr="0059798C">
        <w:rPr>
          <w:rFonts w:cs="Arial"/>
        </w:rPr>
        <w:t xml:space="preserve"> 2017 setting out the </w:t>
      </w:r>
      <w:r w:rsidR="00DE01E5" w:rsidRPr="0059798C">
        <w:rPr>
          <w:rFonts w:cs="Arial"/>
        </w:rPr>
        <w:t>possible funding options and illustrative allocation</w:t>
      </w:r>
      <w:r w:rsidR="00DC76A3">
        <w:rPr>
          <w:rFonts w:cs="Arial"/>
        </w:rPr>
        <w:t>s</w:t>
      </w:r>
      <w:r w:rsidR="00DE01E5" w:rsidRPr="0059798C">
        <w:rPr>
          <w:rFonts w:cs="Arial"/>
        </w:rPr>
        <w:t xml:space="preserve">, and seeking </w:t>
      </w:r>
      <w:r w:rsidR="006572FA" w:rsidRPr="0059798C">
        <w:rPr>
          <w:rFonts w:cs="Arial"/>
        </w:rPr>
        <w:t xml:space="preserve">their </w:t>
      </w:r>
      <w:r w:rsidR="00DE01E5" w:rsidRPr="0059798C">
        <w:rPr>
          <w:rFonts w:cs="Arial"/>
        </w:rPr>
        <w:t>views and comments.  Consultation closed on 10 November</w:t>
      </w:r>
      <w:r w:rsidR="006572FA" w:rsidRPr="0059798C">
        <w:rPr>
          <w:rFonts w:cs="Arial"/>
        </w:rPr>
        <w:t xml:space="preserve">, and the </w:t>
      </w:r>
      <w:r w:rsidR="00DE01E5" w:rsidRPr="0059798C">
        <w:rPr>
          <w:rFonts w:cs="Arial"/>
        </w:rPr>
        <w:t xml:space="preserve">main responses are summarised below. </w:t>
      </w:r>
    </w:p>
    <w:p w:rsidR="00A83391" w:rsidRDefault="00B107CF" w:rsidP="00A83391">
      <w:pPr>
        <w:pStyle w:val="ListParagraph"/>
        <w:ind w:left="709"/>
        <w:jc w:val="both"/>
        <w:rPr>
          <w:rFonts w:cs="Arial"/>
        </w:rPr>
      </w:pPr>
      <w:r w:rsidRPr="0059798C">
        <w:rPr>
          <w:rFonts w:cs="Arial"/>
        </w:rPr>
        <w:t xml:space="preserve"> </w:t>
      </w:r>
    </w:p>
    <w:p w:rsidR="00B107CF" w:rsidRDefault="00A83391" w:rsidP="00560DBE">
      <w:pPr>
        <w:pStyle w:val="ListParagraph"/>
        <w:numPr>
          <w:ilvl w:val="1"/>
          <w:numId w:val="23"/>
        </w:numPr>
        <w:ind w:left="709" w:hanging="709"/>
        <w:jc w:val="both"/>
        <w:rPr>
          <w:rFonts w:cs="Arial"/>
        </w:rPr>
      </w:pPr>
      <w:r>
        <w:rPr>
          <w:rFonts w:cs="Arial"/>
        </w:rPr>
        <w:t>There were 23 responses to the consultation (40%), with 13 (56.5%) selecting option 1 as their preference, with 10 (43.5%) selecting option 2.</w:t>
      </w:r>
      <w:r w:rsidR="00B107CF" w:rsidRPr="0059798C">
        <w:rPr>
          <w:rFonts w:cs="Arial"/>
        </w:rPr>
        <w:t xml:space="preserve"> </w:t>
      </w:r>
    </w:p>
    <w:p w:rsidR="00DD2685" w:rsidRPr="00DD2685" w:rsidRDefault="00DD2685" w:rsidP="00DD2685">
      <w:pPr>
        <w:pStyle w:val="ListParagraph"/>
        <w:rPr>
          <w:rFonts w:cs="Arial"/>
        </w:rPr>
      </w:pPr>
    </w:p>
    <w:p w:rsidR="00DD2685" w:rsidRDefault="00FE34F3" w:rsidP="00FE34F3">
      <w:pPr>
        <w:pStyle w:val="ListParagraph"/>
        <w:ind w:left="709"/>
        <w:jc w:val="both"/>
        <w:rPr>
          <w:rFonts w:cs="Arial"/>
        </w:rPr>
      </w:pPr>
      <w:r w:rsidRPr="00FE34F3">
        <w:rPr>
          <w:rFonts w:cs="Arial"/>
          <w:b/>
        </w:rPr>
        <w:t>Table 1</w:t>
      </w:r>
      <w:r>
        <w:rPr>
          <w:rFonts w:cs="Arial"/>
        </w:rPr>
        <w:t>: Consultation responses.</w:t>
      </w:r>
    </w:p>
    <w:p w:rsidR="00FE34F3" w:rsidRPr="0059798C" w:rsidRDefault="00FE34F3" w:rsidP="00FE34F3">
      <w:pPr>
        <w:pStyle w:val="ListParagraph"/>
        <w:ind w:left="709"/>
        <w:jc w:val="both"/>
        <w:rPr>
          <w:rFonts w:cs="Arial"/>
        </w:rPr>
      </w:pPr>
    </w:p>
    <w:tbl>
      <w:tblPr>
        <w:tblStyle w:val="TableGrid"/>
        <w:tblW w:w="0" w:type="auto"/>
        <w:tblInd w:w="709"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4A0" w:firstRow="1" w:lastRow="0" w:firstColumn="1" w:lastColumn="0" w:noHBand="0" w:noVBand="1"/>
      </w:tblPr>
      <w:tblGrid>
        <w:gridCol w:w="4513"/>
        <w:gridCol w:w="992"/>
        <w:gridCol w:w="1276"/>
        <w:gridCol w:w="1276"/>
        <w:gridCol w:w="829"/>
      </w:tblGrid>
      <w:tr w:rsidR="00210E9C" w:rsidRPr="004F76FE" w:rsidTr="00210E9C">
        <w:tc>
          <w:tcPr>
            <w:tcW w:w="4513" w:type="dxa"/>
            <w:shd w:val="clear" w:color="auto" w:fill="FABF8F" w:themeFill="accent6" w:themeFillTint="99"/>
          </w:tcPr>
          <w:p w:rsidR="004F76FE" w:rsidRDefault="004F76FE" w:rsidP="00DE01E5">
            <w:pPr>
              <w:pStyle w:val="ListParagraph"/>
              <w:ind w:left="0"/>
              <w:jc w:val="both"/>
              <w:rPr>
                <w:rFonts w:cs="Arial"/>
                <w:b/>
                <w:sz w:val="20"/>
                <w:szCs w:val="20"/>
              </w:rPr>
            </w:pPr>
          </w:p>
          <w:p w:rsidR="002D28EC" w:rsidRDefault="002D28EC" w:rsidP="00DE01E5">
            <w:pPr>
              <w:pStyle w:val="ListParagraph"/>
              <w:ind w:left="0"/>
              <w:jc w:val="both"/>
              <w:rPr>
                <w:rFonts w:cs="Arial"/>
                <w:b/>
                <w:sz w:val="20"/>
                <w:szCs w:val="20"/>
              </w:rPr>
            </w:pPr>
            <w:r w:rsidRPr="004F76FE">
              <w:rPr>
                <w:rFonts w:cs="Arial"/>
                <w:b/>
                <w:sz w:val="20"/>
                <w:szCs w:val="20"/>
              </w:rPr>
              <w:t>Options</w:t>
            </w:r>
          </w:p>
          <w:p w:rsidR="004F76FE" w:rsidRPr="004F76FE" w:rsidRDefault="004F76FE" w:rsidP="00DE01E5">
            <w:pPr>
              <w:pStyle w:val="ListParagraph"/>
              <w:ind w:left="0"/>
              <w:jc w:val="both"/>
              <w:rPr>
                <w:rFonts w:cs="Arial"/>
                <w:b/>
                <w:sz w:val="20"/>
                <w:szCs w:val="20"/>
              </w:rPr>
            </w:pPr>
          </w:p>
        </w:tc>
        <w:tc>
          <w:tcPr>
            <w:tcW w:w="992" w:type="dxa"/>
            <w:shd w:val="clear" w:color="auto" w:fill="FABF8F" w:themeFill="accent6" w:themeFillTint="99"/>
          </w:tcPr>
          <w:p w:rsidR="004F76FE" w:rsidRPr="00210E9C" w:rsidRDefault="004F76FE" w:rsidP="000A0A4F">
            <w:pPr>
              <w:pStyle w:val="ListParagraph"/>
              <w:ind w:left="0"/>
              <w:jc w:val="right"/>
              <w:rPr>
                <w:rFonts w:cs="Arial"/>
                <w:b/>
                <w:sz w:val="18"/>
                <w:szCs w:val="18"/>
              </w:rPr>
            </w:pPr>
          </w:p>
          <w:p w:rsidR="002D28EC" w:rsidRPr="00210E9C" w:rsidRDefault="004F76FE" w:rsidP="000A0A4F">
            <w:pPr>
              <w:pStyle w:val="ListParagraph"/>
              <w:ind w:left="0"/>
              <w:jc w:val="right"/>
              <w:rPr>
                <w:rFonts w:cs="Arial"/>
                <w:b/>
                <w:sz w:val="18"/>
                <w:szCs w:val="18"/>
              </w:rPr>
            </w:pPr>
            <w:r w:rsidRPr="00210E9C">
              <w:rPr>
                <w:rFonts w:cs="Arial"/>
                <w:b/>
                <w:sz w:val="18"/>
                <w:szCs w:val="18"/>
              </w:rPr>
              <w:t>Primary</w:t>
            </w:r>
          </w:p>
        </w:tc>
        <w:tc>
          <w:tcPr>
            <w:tcW w:w="1276" w:type="dxa"/>
            <w:shd w:val="clear" w:color="auto" w:fill="FABF8F" w:themeFill="accent6" w:themeFillTint="99"/>
          </w:tcPr>
          <w:p w:rsidR="004F76FE" w:rsidRPr="00210E9C" w:rsidRDefault="004F76FE" w:rsidP="000A0A4F">
            <w:pPr>
              <w:pStyle w:val="ListParagraph"/>
              <w:ind w:left="0"/>
              <w:jc w:val="right"/>
              <w:rPr>
                <w:rFonts w:cs="Arial"/>
                <w:b/>
                <w:sz w:val="18"/>
                <w:szCs w:val="18"/>
              </w:rPr>
            </w:pPr>
          </w:p>
          <w:p w:rsidR="002D28EC" w:rsidRPr="00210E9C" w:rsidRDefault="004F76FE" w:rsidP="000A0A4F">
            <w:pPr>
              <w:pStyle w:val="ListParagraph"/>
              <w:ind w:left="0"/>
              <w:jc w:val="right"/>
              <w:rPr>
                <w:rFonts w:cs="Arial"/>
                <w:b/>
                <w:sz w:val="18"/>
                <w:szCs w:val="18"/>
              </w:rPr>
            </w:pPr>
            <w:r w:rsidRPr="00210E9C">
              <w:rPr>
                <w:rFonts w:cs="Arial"/>
                <w:b/>
                <w:sz w:val="18"/>
                <w:szCs w:val="18"/>
              </w:rPr>
              <w:t>Secondary</w:t>
            </w:r>
          </w:p>
        </w:tc>
        <w:tc>
          <w:tcPr>
            <w:tcW w:w="1276" w:type="dxa"/>
            <w:shd w:val="clear" w:color="auto" w:fill="FABF8F" w:themeFill="accent6" w:themeFillTint="99"/>
          </w:tcPr>
          <w:p w:rsidR="00210E9C" w:rsidRPr="00210E9C" w:rsidRDefault="00210E9C" w:rsidP="00210E9C">
            <w:pPr>
              <w:pStyle w:val="ListParagraph"/>
              <w:ind w:left="0"/>
              <w:rPr>
                <w:rFonts w:cs="Arial"/>
                <w:b/>
                <w:sz w:val="18"/>
                <w:szCs w:val="18"/>
              </w:rPr>
            </w:pPr>
          </w:p>
          <w:p w:rsidR="002D28EC" w:rsidRPr="00210E9C" w:rsidRDefault="004F76FE" w:rsidP="00210E9C">
            <w:pPr>
              <w:pStyle w:val="ListParagraph"/>
              <w:ind w:left="0"/>
              <w:rPr>
                <w:rFonts w:cs="Arial"/>
                <w:b/>
                <w:sz w:val="18"/>
                <w:szCs w:val="18"/>
              </w:rPr>
            </w:pPr>
            <w:r w:rsidRPr="00210E9C">
              <w:rPr>
                <w:rFonts w:cs="Arial"/>
                <w:b/>
                <w:sz w:val="18"/>
                <w:szCs w:val="18"/>
              </w:rPr>
              <w:t>All-through</w:t>
            </w:r>
          </w:p>
        </w:tc>
        <w:tc>
          <w:tcPr>
            <w:tcW w:w="829" w:type="dxa"/>
            <w:shd w:val="clear" w:color="auto" w:fill="FABF8F" w:themeFill="accent6" w:themeFillTint="99"/>
          </w:tcPr>
          <w:p w:rsidR="004F76FE" w:rsidRPr="00210E9C" w:rsidRDefault="004F76FE" w:rsidP="000A0A4F">
            <w:pPr>
              <w:pStyle w:val="ListParagraph"/>
              <w:ind w:left="0"/>
              <w:jc w:val="right"/>
              <w:rPr>
                <w:rFonts w:cs="Arial"/>
                <w:b/>
                <w:sz w:val="18"/>
                <w:szCs w:val="18"/>
              </w:rPr>
            </w:pPr>
          </w:p>
          <w:p w:rsidR="002D28EC" w:rsidRPr="00210E9C" w:rsidRDefault="004F76FE" w:rsidP="000A0A4F">
            <w:pPr>
              <w:pStyle w:val="ListParagraph"/>
              <w:ind w:left="0"/>
              <w:jc w:val="right"/>
              <w:rPr>
                <w:rFonts w:cs="Arial"/>
                <w:b/>
                <w:sz w:val="18"/>
                <w:szCs w:val="18"/>
              </w:rPr>
            </w:pPr>
            <w:r w:rsidRPr="00210E9C">
              <w:rPr>
                <w:rFonts w:cs="Arial"/>
                <w:b/>
                <w:sz w:val="18"/>
                <w:szCs w:val="18"/>
              </w:rPr>
              <w:t>Total</w:t>
            </w:r>
          </w:p>
        </w:tc>
      </w:tr>
      <w:tr w:rsidR="00210E9C" w:rsidRPr="004F76FE" w:rsidTr="00210E9C">
        <w:tc>
          <w:tcPr>
            <w:tcW w:w="4513" w:type="dxa"/>
          </w:tcPr>
          <w:p w:rsidR="004F76FE" w:rsidRPr="004F76FE" w:rsidRDefault="002D28EC" w:rsidP="00DE01E5">
            <w:pPr>
              <w:pStyle w:val="ListParagraph"/>
              <w:ind w:left="0"/>
              <w:jc w:val="both"/>
              <w:rPr>
                <w:rFonts w:cs="Arial"/>
                <w:sz w:val="20"/>
                <w:szCs w:val="20"/>
              </w:rPr>
            </w:pPr>
            <w:r w:rsidRPr="004F76FE">
              <w:rPr>
                <w:rFonts w:cs="Arial"/>
                <w:sz w:val="20"/>
                <w:szCs w:val="20"/>
              </w:rPr>
              <w:t xml:space="preserve">Option 1: </w:t>
            </w:r>
          </w:p>
          <w:p w:rsidR="002D28EC" w:rsidRPr="004F76FE" w:rsidRDefault="002D28EC" w:rsidP="00DE01E5">
            <w:pPr>
              <w:pStyle w:val="ListParagraph"/>
              <w:ind w:left="0"/>
              <w:jc w:val="both"/>
              <w:rPr>
                <w:rFonts w:cs="Arial"/>
                <w:sz w:val="20"/>
                <w:szCs w:val="20"/>
              </w:rPr>
            </w:pPr>
            <w:r w:rsidRPr="004F76FE">
              <w:rPr>
                <w:rFonts w:cs="Arial"/>
                <w:sz w:val="20"/>
                <w:szCs w:val="20"/>
              </w:rPr>
              <w:t>Keep to a ratio of 1:1.30 for 2018/19</w:t>
            </w:r>
          </w:p>
        </w:tc>
        <w:tc>
          <w:tcPr>
            <w:tcW w:w="992" w:type="dxa"/>
          </w:tcPr>
          <w:p w:rsidR="002D28EC" w:rsidRPr="004F76FE" w:rsidRDefault="004F76FE" w:rsidP="000A0A4F">
            <w:pPr>
              <w:pStyle w:val="ListParagraph"/>
              <w:ind w:left="0"/>
              <w:jc w:val="right"/>
              <w:rPr>
                <w:rFonts w:cs="Arial"/>
                <w:sz w:val="20"/>
                <w:szCs w:val="20"/>
              </w:rPr>
            </w:pPr>
            <w:r>
              <w:rPr>
                <w:rFonts w:cs="Arial"/>
                <w:sz w:val="20"/>
                <w:szCs w:val="20"/>
              </w:rPr>
              <w:t>13</w:t>
            </w:r>
          </w:p>
        </w:tc>
        <w:tc>
          <w:tcPr>
            <w:tcW w:w="1276" w:type="dxa"/>
          </w:tcPr>
          <w:p w:rsidR="002D28EC" w:rsidRPr="004F76FE" w:rsidRDefault="004F76FE" w:rsidP="000A0A4F">
            <w:pPr>
              <w:pStyle w:val="ListParagraph"/>
              <w:ind w:left="0"/>
              <w:jc w:val="right"/>
              <w:rPr>
                <w:rFonts w:cs="Arial"/>
                <w:sz w:val="20"/>
                <w:szCs w:val="20"/>
              </w:rPr>
            </w:pPr>
            <w:r>
              <w:rPr>
                <w:rFonts w:cs="Arial"/>
                <w:sz w:val="20"/>
                <w:szCs w:val="20"/>
              </w:rPr>
              <w:t>0</w:t>
            </w:r>
          </w:p>
        </w:tc>
        <w:tc>
          <w:tcPr>
            <w:tcW w:w="1276" w:type="dxa"/>
          </w:tcPr>
          <w:p w:rsidR="002D28EC" w:rsidRPr="004F76FE" w:rsidRDefault="004F76FE" w:rsidP="000A0A4F">
            <w:pPr>
              <w:pStyle w:val="ListParagraph"/>
              <w:ind w:left="0"/>
              <w:jc w:val="right"/>
              <w:rPr>
                <w:rFonts w:cs="Arial"/>
                <w:sz w:val="20"/>
                <w:szCs w:val="20"/>
              </w:rPr>
            </w:pPr>
            <w:r>
              <w:rPr>
                <w:rFonts w:cs="Arial"/>
                <w:sz w:val="20"/>
                <w:szCs w:val="20"/>
              </w:rPr>
              <w:t>0</w:t>
            </w:r>
          </w:p>
        </w:tc>
        <w:tc>
          <w:tcPr>
            <w:tcW w:w="829" w:type="dxa"/>
          </w:tcPr>
          <w:p w:rsidR="002D28EC" w:rsidRPr="004F76FE" w:rsidRDefault="002D28EC" w:rsidP="000A0A4F">
            <w:pPr>
              <w:pStyle w:val="ListParagraph"/>
              <w:ind w:left="0"/>
              <w:jc w:val="right"/>
              <w:rPr>
                <w:rFonts w:cs="Arial"/>
                <w:sz w:val="20"/>
                <w:szCs w:val="20"/>
              </w:rPr>
            </w:pPr>
            <w:r w:rsidRPr="004F76FE">
              <w:rPr>
                <w:rFonts w:cs="Arial"/>
                <w:sz w:val="20"/>
                <w:szCs w:val="20"/>
              </w:rPr>
              <w:t>13</w:t>
            </w:r>
          </w:p>
        </w:tc>
      </w:tr>
      <w:tr w:rsidR="00210E9C" w:rsidRPr="004F76FE" w:rsidTr="00210E9C">
        <w:tc>
          <w:tcPr>
            <w:tcW w:w="4513" w:type="dxa"/>
          </w:tcPr>
          <w:p w:rsidR="004F76FE" w:rsidRPr="004F76FE" w:rsidRDefault="002D28EC" w:rsidP="00DE01E5">
            <w:pPr>
              <w:pStyle w:val="ListParagraph"/>
              <w:ind w:left="0"/>
              <w:jc w:val="both"/>
              <w:rPr>
                <w:rFonts w:cs="Arial"/>
                <w:sz w:val="20"/>
                <w:szCs w:val="20"/>
              </w:rPr>
            </w:pPr>
            <w:r w:rsidRPr="004F76FE">
              <w:rPr>
                <w:rFonts w:cs="Arial"/>
                <w:sz w:val="20"/>
                <w:szCs w:val="20"/>
              </w:rPr>
              <w:t>Option 2:</w:t>
            </w:r>
          </w:p>
          <w:p w:rsidR="002D28EC" w:rsidRPr="004F76FE" w:rsidRDefault="002D28EC" w:rsidP="00DE01E5">
            <w:pPr>
              <w:pStyle w:val="ListParagraph"/>
              <w:ind w:left="0"/>
              <w:jc w:val="both"/>
              <w:rPr>
                <w:rFonts w:cs="Arial"/>
                <w:sz w:val="20"/>
                <w:szCs w:val="20"/>
              </w:rPr>
            </w:pPr>
            <w:r w:rsidRPr="004F76FE">
              <w:rPr>
                <w:rFonts w:cs="Arial"/>
                <w:sz w:val="20"/>
                <w:szCs w:val="20"/>
              </w:rPr>
              <w:t xml:space="preserve"> </w:t>
            </w:r>
            <w:r w:rsidR="004F76FE">
              <w:rPr>
                <w:rFonts w:cs="Arial"/>
                <w:sz w:val="20"/>
                <w:szCs w:val="20"/>
              </w:rPr>
              <w:t xml:space="preserve">2018/19 1:1.34, </w:t>
            </w:r>
            <w:r w:rsidRPr="004F76FE">
              <w:rPr>
                <w:rFonts w:cs="Arial"/>
                <w:sz w:val="20"/>
                <w:szCs w:val="20"/>
              </w:rPr>
              <w:t>2019/20 1:1.39</w:t>
            </w:r>
            <w:r w:rsidR="004F76FE">
              <w:rPr>
                <w:rFonts w:cs="Arial"/>
                <w:sz w:val="20"/>
                <w:szCs w:val="20"/>
              </w:rPr>
              <w:t xml:space="preserve">, </w:t>
            </w:r>
            <w:r w:rsidR="004F76FE" w:rsidRPr="004F76FE">
              <w:rPr>
                <w:rFonts w:cs="Arial"/>
                <w:sz w:val="20"/>
                <w:szCs w:val="20"/>
              </w:rPr>
              <w:t>2020/21</w:t>
            </w:r>
            <w:r w:rsidR="004F76FE">
              <w:rPr>
                <w:rFonts w:cs="Arial"/>
                <w:sz w:val="20"/>
                <w:szCs w:val="20"/>
              </w:rPr>
              <w:t xml:space="preserve"> 1:143  </w:t>
            </w:r>
          </w:p>
        </w:tc>
        <w:tc>
          <w:tcPr>
            <w:tcW w:w="992" w:type="dxa"/>
          </w:tcPr>
          <w:p w:rsidR="002D28EC" w:rsidRPr="004F76FE" w:rsidRDefault="004F76FE" w:rsidP="000A0A4F">
            <w:pPr>
              <w:pStyle w:val="ListParagraph"/>
              <w:ind w:left="0"/>
              <w:jc w:val="right"/>
              <w:rPr>
                <w:rFonts w:cs="Arial"/>
                <w:sz w:val="20"/>
                <w:szCs w:val="20"/>
              </w:rPr>
            </w:pPr>
            <w:r>
              <w:rPr>
                <w:rFonts w:cs="Arial"/>
                <w:sz w:val="20"/>
                <w:szCs w:val="20"/>
              </w:rPr>
              <w:t>6</w:t>
            </w:r>
          </w:p>
        </w:tc>
        <w:tc>
          <w:tcPr>
            <w:tcW w:w="1276" w:type="dxa"/>
          </w:tcPr>
          <w:p w:rsidR="002D28EC" w:rsidRPr="004F76FE" w:rsidRDefault="004F76FE" w:rsidP="000A0A4F">
            <w:pPr>
              <w:pStyle w:val="ListParagraph"/>
              <w:ind w:left="0"/>
              <w:jc w:val="right"/>
              <w:rPr>
                <w:rFonts w:cs="Arial"/>
                <w:sz w:val="20"/>
                <w:szCs w:val="20"/>
              </w:rPr>
            </w:pPr>
            <w:r>
              <w:rPr>
                <w:rFonts w:cs="Arial"/>
                <w:sz w:val="20"/>
                <w:szCs w:val="20"/>
              </w:rPr>
              <w:t>2</w:t>
            </w:r>
          </w:p>
        </w:tc>
        <w:tc>
          <w:tcPr>
            <w:tcW w:w="1276" w:type="dxa"/>
          </w:tcPr>
          <w:p w:rsidR="002D28EC" w:rsidRPr="004F76FE" w:rsidRDefault="004F76FE" w:rsidP="000A0A4F">
            <w:pPr>
              <w:pStyle w:val="ListParagraph"/>
              <w:ind w:left="0"/>
              <w:jc w:val="right"/>
              <w:rPr>
                <w:rFonts w:cs="Arial"/>
                <w:sz w:val="20"/>
                <w:szCs w:val="20"/>
              </w:rPr>
            </w:pPr>
            <w:r>
              <w:rPr>
                <w:rFonts w:cs="Arial"/>
                <w:sz w:val="20"/>
                <w:szCs w:val="20"/>
              </w:rPr>
              <w:t>2</w:t>
            </w:r>
          </w:p>
        </w:tc>
        <w:tc>
          <w:tcPr>
            <w:tcW w:w="829" w:type="dxa"/>
          </w:tcPr>
          <w:p w:rsidR="002D28EC" w:rsidRPr="004F76FE" w:rsidRDefault="002D28EC" w:rsidP="000A0A4F">
            <w:pPr>
              <w:pStyle w:val="ListParagraph"/>
              <w:ind w:left="0"/>
              <w:jc w:val="right"/>
              <w:rPr>
                <w:rFonts w:cs="Arial"/>
                <w:sz w:val="20"/>
                <w:szCs w:val="20"/>
              </w:rPr>
            </w:pPr>
            <w:r w:rsidRPr="004F76FE">
              <w:rPr>
                <w:rFonts w:cs="Arial"/>
                <w:sz w:val="20"/>
                <w:szCs w:val="20"/>
              </w:rPr>
              <w:t>10</w:t>
            </w:r>
          </w:p>
        </w:tc>
      </w:tr>
      <w:tr w:rsidR="00210E9C" w:rsidRPr="004F76FE" w:rsidTr="00210E9C">
        <w:tc>
          <w:tcPr>
            <w:tcW w:w="4513" w:type="dxa"/>
          </w:tcPr>
          <w:p w:rsidR="002D28EC" w:rsidRPr="004F76FE" w:rsidRDefault="004F76FE" w:rsidP="00DE01E5">
            <w:pPr>
              <w:pStyle w:val="ListParagraph"/>
              <w:ind w:left="0"/>
              <w:jc w:val="both"/>
              <w:rPr>
                <w:rFonts w:cs="Arial"/>
                <w:sz w:val="20"/>
                <w:szCs w:val="20"/>
              </w:rPr>
            </w:pPr>
            <w:r w:rsidRPr="004F76FE">
              <w:rPr>
                <w:rFonts w:cs="Arial"/>
                <w:sz w:val="20"/>
                <w:szCs w:val="20"/>
              </w:rPr>
              <w:t xml:space="preserve">Option 3: </w:t>
            </w:r>
            <w:r w:rsidR="002D28EC" w:rsidRPr="004F76FE">
              <w:rPr>
                <w:rFonts w:cs="Arial"/>
                <w:sz w:val="20"/>
                <w:szCs w:val="20"/>
              </w:rPr>
              <w:t>Full transition to NFF in 2018/19</w:t>
            </w:r>
          </w:p>
        </w:tc>
        <w:tc>
          <w:tcPr>
            <w:tcW w:w="992" w:type="dxa"/>
          </w:tcPr>
          <w:p w:rsidR="002D28EC" w:rsidRPr="004F76FE" w:rsidRDefault="004F76FE" w:rsidP="000A0A4F">
            <w:pPr>
              <w:pStyle w:val="ListParagraph"/>
              <w:ind w:left="0"/>
              <w:jc w:val="right"/>
              <w:rPr>
                <w:rFonts w:cs="Arial"/>
                <w:sz w:val="20"/>
                <w:szCs w:val="20"/>
              </w:rPr>
            </w:pPr>
            <w:r>
              <w:rPr>
                <w:rFonts w:cs="Arial"/>
                <w:sz w:val="20"/>
                <w:szCs w:val="20"/>
              </w:rPr>
              <w:t>0</w:t>
            </w:r>
          </w:p>
        </w:tc>
        <w:tc>
          <w:tcPr>
            <w:tcW w:w="1276" w:type="dxa"/>
          </w:tcPr>
          <w:p w:rsidR="002D28EC" w:rsidRPr="004F76FE" w:rsidRDefault="004F76FE" w:rsidP="000A0A4F">
            <w:pPr>
              <w:pStyle w:val="ListParagraph"/>
              <w:ind w:left="0"/>
              <w:jc w:val="right"/>
              <w:rPr>
                <w:rFonts w:cs="Arial"/>
                <w:sz w:val="20"/>
                <w:szCs w:val="20"/>
              </w:rPr>
            </w:pPr>
            <w:r>
              <w:rPr>
                <w:rFonts w:cs="Arial"/>
                <w:sz w:val="20"/>
                <w:szCs w:val="20"/>
              </w:rPr>
              <w:t>0</w:t>
            </w:r>
          </w:p>
        </w:tc>
        <w:tc>
          <w:tcPr>
            <w:tcW w:w="1276" w:type="dxa"/>
          </w:tcPr>
          <w:p w:rsidR="002D28EC" w:rsidRPr="004F76FE" w:rsidRDefault="004F76FE" w:rsidP="000A0A4F">
            <w:pPr>
              <w:pStyle w:val="ListParagraph"/>
              <w:ind w:left="0"/>
              <w:jc w:val="right"/>
              <w:rPr>
                <w:rFonts w:cs="Arial"/>
                <w:sz w:val="20"/>
                <w:szCs w:val="20"/>
              </w:rPr>
            </w:pPr>
            <w:r>
              <w:rPr>
                <w:rFonts w:cs="Arial"/>
                <w:sz w:val="20"/>
                <w:szCs w:val="20"/>
              </w:rPr>
              <w:t>0</w:t>
            </w:r>
          </w:p>
        </w:tc>
        <w:tc>
          <w:tcPr>
            <w:tcW w:w="829" w:type="dxa"/>
          </w:tcPr>
          <w:p w:rsidR="002D28EC" w:rsidRPr="004F76FE" w:rsidRDefault="002D28EC" w:rsidP="000A0A4F">
            <w:pPr>
              <w:pStyle w:val="ListParagraph"/>
              <w:ind w:left="0"/>
              <w:jc w:val="right"/>
              <w:rPr>
                <w:rFonts w:cs="Arial"/>
                <w:sz w:val="20"/>
                <w:szCs w:val="20"/>
              </w:rPr>
            </w:pPr>
            <w:r w:rsidRPr="004F76FE">
              <w:rPr>
                <w:rFonts w:cs="Arial"/>
                <w:sz w:val="20"/>
                <w:szCs w:val="20"/>
              </w:rPr>
              <w:t>0</w:t>
            </w:r>
          </w:p>
        </w:tc>
      </w:tr>
      <w:tr w:rsidR="00210E9C" w:rsidRPr="004F76FE" w:rsidTr="00210E9C">
        <w:tc>
          <w:tcPr>
            <w:tcW w:w="4513" w:type="dxa"/>
          </w:tcPr>
          <w:p w:rsidR="004F76FE" w:rsidRDefault="004F76FE" w:rsidP="00DE01E5">
            <w:pPr>
              <w:pStyle w:val="ListParagraph"/>
              <w:ind w:left="0"/>
              <w:jc w:val="both"/>
              <w:rPr>
                <w:rFonts w:cs="Arial"/>
                <w:b/>
                <w:sz w:val="20"/>
                <w:szCs w:val="20"/>
              </w:rPr>
            </w:pPr>
          </w:p>
          <w:p w:rsidR="002D28EC" w:rsidRPr="004F76FE" w:rsidRDefault="002D28EC" w:rsidP="00DE01E5">
            <w:pPr>
              <w:pStyle w:val="ListParagraph"/>
              <w:ind w:left="0"/>
              <w:jc w:val="both"/>
              <w:rPr>
                <w:rFonts w:cs="Arial"/>
                <w:b/>
                <w:sz w:val="20"/>
                <w:szCs w:val="20"/>
              </w:rPr>
            </w:pPr>
            <w:r w:rsidRPr="004F76FE">
              <w:rPr>
                <w:rFonts w:cs="Arial"/>
                <w:b/>
                <w:sz w:val="20"/>
                <w:szCs w:val="20"/>
              </w:rPr>
              <w:t>Total Responses Received</w:t>
            </w:r>
          </w:p>
        </w:tc>
        <w:tc>
          <w:tcPr>
            <w:tcW w:w="992" w:type="dxa"/>
          </w:tcPr>
          <w:p w:rsidR="004F76FE" w:rsidRDefault="004F76FE" w:rsidP="000A0A4F">
            <w:pPr>
              <w:pStyle w:val="ListParagraph"/>
              <w:ind w:left="0"/>
              <w:jc w:val="right"/>
              <w:rPr>
                <w:rFonts w:cs="Arial"/>
                <w:b/>
                <w:sz w:val="20"/>
                <w:szCs w:val="20"/>
              </w:rPr>
            </w:pPr>
          </w:p>
          <w:p w:rsidR="002D28EC" w:rsidRPr="004F76FE" w:rsidRDefault="004F76FE" w:rsidP="000A0A4F">
            <w:pPr>
              <w:pStyle w:val="ListParagraph"/>
              <w:ind w:left="0"/>
              <w:jc w:val="right"/>
              <w:rPr>
                <w:rFonts w:cs="Arial"/>
                <w:b/>
                <w:sz w:val="20"/>
                <w:szCs w:val="20"/>
              </w:rPr>
            </w:pPr>
            <w:r>
              <w:rPr>
                <w:rFonts w:cs="Arial"/>
                <w:b/>
                <w:sz w:val="20"/>
                <w:szCs w:val="20"/>
              </w:rPr>
              <w:t>19</w:t>
            </w:r>
          </w:p>
        </w:tc>
        <w:tc>
          <w:tcPr>
            <w:tcW w:w="1276" w:type="dxa"/>
          </w:tcPr>
          <w:p w:rsidR="004F76FE" w:rsidRDefault="004F76FE" w:rsidP="000A0A4F">
            <w:pPr>
              <w:pStyle w:val="ListParagraph"/>
              <w:ind w:left="0"/>
              <w:jc w:val="right"/>
              <w:rPr>
                <w:rFonts w:cs="Arial"/>
                <w:b/>
                <w:sz w:val="20"/>
                <w:szCs w:val="20"/>
              </w:rPr>
            </w:pPr>
          </w:p>
          <w:p w:rsidR="002D28EC" w:rsidRPr="004F76FE" w:rsidRDefault="004F76FE" w:rsidP="000A0A4F">
            <w:pPr>
              <w:pStyle w:val="ListParagraph"/>
              <w:ind w:left="0"/>
              <w:jc w:val="right"/>
              <w:rPr>
                <w:rFonts w:cs="Arial"/>
                <w:b/>
                <w:sz w:val="20"/>
                <w:szCs w:val="20"/>
              </w:rPr>
            </w:pPr>
            <w:r>
              <w:rPr>
                <w:rFonts w:cs="Arial"/>
                <w:b/>
                <w:sz w:val="20"/>
                <w:szCs w:val="20"/>
              </w:rPr>
              <w:t>2</w:t>
            </w:r>
          </w:p>
        </w:tc>
        <w:tc>
          <w:tcPr>
            <w:tcW w:w="1276" w:type="dxa"/>
          </w:tcPr>
          <w:p w:rsidR="004F76FE" w:rsidRDefault="004F76FE" w:rsidP="000A0A4F">
            <w:pPr>
              <w:pStyle w:val="ListParagraph"/>
              <w:ind w:left="0"/>
              <w:jc w:val="right"/>
              <w:rPr>
                <w:rFonts w:cs="Arial"/>
                <w:b/>
                <w:sz w:val="20"/>
                <w:szCs w:val="20"/>
              </w:rPr>
            </w:pPr>
          </w:p>
          <w:p w:rsidR="002D28EC" w:rsidRPr="004F76FE" w:rsidRDefault="004F76FE" w:rsidP="000A0A4F">
            <w:pPr>
              <w:pStyle w:val="ListParagraph"/>
              <w:ind w:left="0"/>
              <w:jc w:val="right"/>
              <w:rPr>
                <w:rFonts w:cs="Arial"/>
                <w:b/>
                <w:sz w:val="20"/>
                <w:szCs w:val="20"/>
              </w:rPr>
            </w:pPr>
            <w:r>
              <w:rPr>
                <w:rFonts w:cs="Arial"/>
                <w:b/>
                <w:sz w:val="20"/>
                <w:szCs w:val="20"/>
              </w:rPr>
              <w:t>2</w:t>
            </w:r>
          </w:p>
        </w:tc>
        <w:tc>
          <w:tcPr>
            <w:tcW w:w="829" w:type="dxa"/>
          </w:tcPr>
          <w:p w:rsidR="004F76FE" w:rsidRDefault="004F76FE" w:rsidP="000A0A4F">
            <w:pPr>
              <w:pStyle w:val="ListParagraph"/>
              <w:ind w:left="0"/>
              <w:jc w:val="right"/>
              <w:rPr>
                <w:rFonts w:cs="Arial"/>
                <w:b/>
                <w:sz w:val="20"/>
                <w:szCs w:val="20"/>
              </w:rPr>
            </w:pPr>
          </w:p>
          <w:p w:rsidR="002D28EC" w:rsidRDefault="002D28EC" w:rsidP="000A0A4F">
            <w:pPr>
              <w:pStyle w:val="ListParagraph"/>
              <w:ind w:left="0"/>
              <w:jc w:val="right"/>
              <w:rPr>
                <w:rFonts w:cs="Arial"/>
                <w:b/>
                <w:sz w:val="20"/>
                <w:szCs w:val="20"/>
              </w:rPr>
            </w:pPr>
            <w:r w:rsidRPr="004F76FE">
              <w:rPr>
                <w:rFonts w:cs="Arial"/>
                <w:b/>
                <w:sz w:val="20"/>
                <w:szCs w:val="20"/>
              </w:rPr>
              <w:t>23</w:t>
            </w:r>
          </w:p>
          <w:p w:rsidR="004F76FE" w:rsidRPr="004F76FE" w:rsidRDefault="004F76FE" w:rsidP="000A0A4F">
            <w:pPr>
              <w:pStyle w:val="ListParagraph"/>
              <w:ind w:left="0"/>
              <w:jc w:val="right"/>
              <w:rPr>
                <w:rFonts w:cs="Arial"/>
                <w:b/>
                <w:sz w:val="20"/>
                <w:szCs w:val="20"/>
              </w:rPr>
            </w:pPr>
          </w:p>
        </w:tc>
      </w:tr>
    </w:tbl>
    <w:p w:rsidR="00B107CF" w:rsidRPr="0059798C" w:rsidRDefault="00B107CF" w:rsidP="00DE01E5">
      <w:pPr>
        <w:pStyle w:val="ListParagraph"/>
        <w:ind w:left="1430"/>
        <w:jc w:val="both"/>
        <w:rPr>
          <w:rFonts w:cs="Arial"/>
        </w:rPr>
      </w:pPr>
      <w:r w:rsidRPr="0059798C">
        <w:rPr>
          <w:rFonts w:cs="Arial"/>
        </w:rPr>
        <w:t xml:space="preserve"> </w:t>
      </w:r>
    </w:p>
    <w:p w:rsidR="00560DBE" w:rsidRPr="0059798C" w:rsidRDefault="00560DBE" w:rsidP="00560DBE">
      <w:pPr>
        <w:pStyle w:val="ListParagraph"/>
        <w:numPr>
          <w:ilvl w:val="1"/>
          <w:numId w:val="23"/>
        </w:numPr>
        <w:ind w:left="709" w:hanging="709"/>
        <w:jc w:val="both"/>
        <w:rPr>
          <w:rFonts w:cs="Arial"/>
        </w:rPr>
      </w:pPr>
      <w:r w:rsidRPr="0059798C">
        <w:rPr>
          <w:rFonts w:cs="Arial"/>
        </w:rPr>
        <w:t>Options that have been modelled are as follows</w:t>
      </w:r>
      <w:r w:rsidR="00822D93">
        <w:rPr>
          <w:rFonts w:cs="Arial"/>
        </w:rPr>
        <w:t xml:space="preserve"> (see</w:t>
      </w:r>
      <w:r w:rsidR="00822D93" w:rsidRPr="00822D93">
        <w:rPr>
          <w:rFonts w:cs="Arial"/>
          <w:b/>
        </w:rPr>
        <w:t xml:space="preserve"> Appendix 1</w:t>
      </w:r>
      <w:r w:rsidR="00822D93">
        <w:rPr>
          <w:rFonts w:cs="Arial"/>
        </w:rPr>
        <w:t>)</w:t>
      </w:r>
      <w:r w:rsidRPr="0059798C">
        <w:rPr>
          <w:rFonts w:cs="Arial"/>
        </w:rPr>
        <w:t>:</w:t>
      </w:r>
    </w:p>
    <w:p w:rsidR="00560DBE" w:rsidRPr="00415BE7" w:rsidRDefault="00560DBE" w:rsidP="00560DBE">
      <w:pPr>
        <w:pStyle w:val="ListParagraph"/>
        <w:rPr>
          <w:rFonts w:cs="Arial"/>
        </w:rPr>
      </w:pPr>
    </w:p>
    <w:p w:rsidR="00560DBE" w:rsidRPr="0059798C" w:rsidRDefault="00560DBE" w:rsidP="00560DBE">
      <w:pPr>
        <w:ind w:left="709"/>
        <w:jc w:val="both"/>
        <w:rPr>
          <w:rFonts w:cs="Arial"/>
        </w:rPr>
      </w:pPr>
      <w:r w:rsidRPr="00415BE7">
        <w:rPr>
          <w:rFonts w:cs="Arial"/>
        </w:rPr>
        <w:t>(a) Option 1 - maintain the Primary to Secondary ratio at 1:1:30</w:t>
      </w:r>
      <w:r w:rsidRPr="0059798C">
        <w:rPr>
          <w:rFonts w:cs="Arial"/>
        </w:rPr>
        <w:t xml:space="preserve"> </w:t>
      </w:r>
      <w:r w:rsidR="00415BE7">
        <w:rPr>
          <w:rFonts w:cs="Arial"/>
        </w:rPr>
        <w:t>in 2018/19</w:t>
      </w:r>
      <w:r w:rsidR="00822D93">
        <w:rPr>
          <w:rFonts w:cs="Arial"/>
        </w:rPr>
        <w:t>;</w:t>
      </w:r>
    </w:p>
    <w:p w:rsidR="00560DBE" w:rsidRPr="0059798C" w:rsidRDefault="00560DBE" w:rsidP="00560DBE">
      <w:pPr>
        <w:pStyle w:val="ListParagraph"/>
        <w:ind w:left="709"/>
        <w:rPr>
          <w:rFonts w:cs="Arial"/>
        </w:rPr>
      </w:pPr>
    </w:p>
    <w:p w:rsidR="00560DBE" w:rsidRPr="00415BE7" w:rsidRDefault="00560DBE" w:rsidP="00560DBE">
      <w:pPr>
        <w:ind w:left="709"/>
        <w:jc w:val="both"/>
        <w:rPr>
          <w:rFonts w:cs="Arial"/>
        </w:rPr>
      </w:pPr>
      <w:r w:rsidRPr="0059798C">
        <w:rPr>
          <w:rFonts w:cs="Arial"/>
        </w:rPr>
        <w:t xml:space="preserve">(b) Option </w:t>
      </w:r>
      <w:r w:rsidRPr="00415BE7">
        <w:rPr>
          <w:rFonts w:cs="Arial"/>
        </w:rPr>
        <w:t>2 - transition to 1:1.34 in 2018/19, 1:1.39 in 2019/20 and 1:1.43 in 2019/20;</w:t>
      </w:r>
    </w:p>
    <w:p w:rsidR="00560DBE" w:rsidRPr="0059798C" w:rsidRDefault="00822D93" w:rsidP="00822D93">
      <w:pPr>
        <w:ind w:left="709"/>
        <w:jc w:val="both"/>
        <w:rPr>
          <w:rFonts w:cs="Arial"/>
        </w:rPr>
      </w:pPr>
      <w:r>
        <w:rPr>
          <w:rFonts w:cs="Arial"/>
        </w:rPr>
        <w:t xml:space="preserve">  </w:t>
      </w:r>
    </w:p>
    <w:p w:rsidR="00560DBE" w:rsidRPr="0059798C" w:rsidRDefault="00560DBE" w:rsidP="00560DBE">
      <w:pPr>
        <w:ind w:left="709"/>
        <w:jc w:val="both"/>
        <w:rPr>
          <w:rFonts w:cs="Arial"/>
        </w:rPr>
      </w:pPr>
      <w:r w:rsidRPr="0059798C">
        <w:rPr>
          <w:rFonts w:cs="Arial"/>
        </w:rPr>
        <w:t xml:space="preserve">(c) Option 3 - full transition to 1:1.43 </w:t>
      </w:r>
      <w:r w:rsidR="00822D93">
        <w:rPr>
          <w:rFonts w:cs="Arial"/>
        </w:rPr>
        <w:t>in 2018/19.</w:t>
      </w:r>
    </w:p>
    <w:p w:rsidR="00B427E1" w:rsidRPr="0059798C" w:rsidRDefault="00B427E1" w:rsidP="00560DBE">
      <w:pPr>
        <w:ind w:left="709"/>
        <w:jc w:val="both"/>
        <w:rPr>
          <w:rFonts w:cs="Arial"/>
        </w:rPr>
      </w:pPr>
    </w:p>
    <w:p w:rsidR="00C060CB" w:rsidRPr="0059798C" w:rsidRDefault="00560DBE" w:rsidP="00560DBE">
      <w:pPr>
        <w:pStyle w:val="ListParagraph"/>
        <w:numPr>
          <w:ilvl w:val="1"/>
          <w:numId w:val="23"/>
        </w:numPr>
        <w:ind w:left="709" w:hanging="709"/>
        <w:jc w:val="both"/>
        <w:rPr>
          <w:rFonts w:cs="Arial"/>
          <w:b/>
        </w:rPr>
      </w:pPr>
      <w:r w:rsidRPr="0059798C">
        <w:rPr>
          <w:rFonts w:cs="Arial"/>
        </w:rPr>
        <w:t xml:space="preserve">The modelling is based on October 2016 data. </w:t>
      </w:r>
      <w:r w:rsidR="0008426D" w:rsidRPr="0059798C">
        <w:rPr>
          <w:rFonts w:cs="Arial"/>
        </w:rPr>
        <w:t>The final</w:t>
      </w:r>
      <w:r w:rsidRPr="0059798C">
        <w:rPr>
          <w:rFonts w:cs="Arial"/>
        </w:rPr>
        <w:t xml:space="preserve"> funding will depend on the actual October 2017 Numbers on Roll (NOR), factor data, and funding options agreed by the forum.  </w:t>
      </w:r>
    </w:p>
    <w:p w:rsidR="00C060CB" w:rsidRPr="0059798C" w:rsidRDefault="00C060CB" w:rsidP="00C060CB">
      <w:pPr>
        <w:pStyle w:val="ListParagraph"/>
        <w:ind w:left="709"/>
        <w:jc w:val="both"/>
        <w:rPr>
          <w:rFonts w:cs="Arial"/>
          <w:b/>
        </w:rPr>
      </w:pPr>
    </w:p>
    <w:p w:rsidR="00C060CB" w:rsidRPr="0059798C" w:rsidRDefault="00C060CB" w:rsidP="00C060CB">
      <w:pPr>
        <w:pStyle w:val="ListParagraph"/>
        <w:numPr>
          <w:ilvl w:val="1"/>
          <w:numId w:val="23"/>
        </w:numPr>
        <w:ind w:left="709" w:hanging="709"/>
        <w:rPr>
          <w:rFonts w:cs="Arial"/>
        </w:rPr>
      </w:pPr>
      <w:r w:rsidRPr="0059798C">
        <w:rPr>
          <w:rFonts w:cs="Arial"/>
        </w:rPr>
        <w:t xml:space="preserve">The local authority level school funding options for 2018/19 have been modelled on </w:t>
      </w:r>
      <w:r w:rsidR="0008426D" w:rsidRPr="0059798C">
        <w:rPr>
          <w:rFonts w:cs="Arial"/>
        </w:rPr>
        <w:t>the</w:t>
      </w:r>
      <w:r w:rsidR="00DA5F21" w:rsidRPr="0059798C">
        <w:rPr>
          <w:rFonts w:cs="Arial"/>
        </w:rPr>
        <w:t xml:space="preserve"> NFF. </w:t>
      </w:r>
      <w:r w:rsidRPr="0059798C">
        <w:rPr>
          <w:rFonts w:cs="Arial"/>
        </w:rPr>
        <w:t xml:space="preserve"> </w:t>
      </w:r>
      <w:r w:rsidRPr="00597EA8">
        <w:rPr>
          <w:rFonts w:cs="Arial"/>
          <w:b/>
        </w:rPr>
        <w:t xml:space="preserve">Appendix </w:t>
      </w:r>
      <w:r w:rsidR="00822D93">
        <w:rPr>
          <w:rFonts w:cs="Arial"/>
          <w:b/>
        </w:rPr>
        <w:t>2</w:t>
      </w:r>
      <w:r w:rsidRPr="0059798C">
        <w:rPr>
          <w:rFonts w:cs="Arial"/>
        </w:rPr>
        <w:t xml:space="preserve"> sets out NFF rates against 2017/18 and rates used in the different funding models.  </w:t>
      </w:r>
    </w:p>
    <w:p w:rsidR="00560DBE" w:rsidRPr="0059798C" w:rsidRDefault="00560DBE" w:rsidP="00C060CB">
      <w:pPr>
        <w:pStyle w:val="ListParagraph"/>
        <w:ind w:left="709"/>
        <w:jc w:val="both"/>
        <w:rPr>
          <w:rFonts w:cs="Arial"/>
          <w:b/>
        </w:rPr>
      </w:pPr>
      <w:r w:rsidRPr="0059798C">
        <w:rPr>
          <w:rFonts w:cs="Arial"/>
        </w:rPr>
        <w:t xml:space="preserve"> </w:t>
      </w:r>
    </w:p>
    <w:p w:rsidR="00DA5F21" w:rsidRPr="0059798C" w:rsidRDefault="00C060CB" w:rsidP="00DA5F21">
      <w:pPr>
        <w:pStyle w:val="ListParagraph"/>
        <w:numPr>
          <w:ilvl w:val="1"/>
          <w:numId w:val="23"/>
        </w:numPr>
        <w:ind w:left="709" w:hanging="709"/>
        <w:jc w:val="both"/>
        <w:rPr>
          <w:rFonts w:cs="Arial"/>
        </w:rPr>
      </w:pPr>
      <w:r w:rsidRPr="0059798C">
        <w:rPr>
          <w:rFonts w:cs="Arial"/>
        </w:rPr>
        <w:t xml:space="preserve">Initial modelling indicated that full local implementation of </w:t>
      </w:r>
      <w:r w:rsidR="0008426D" w:rsidRPr="0059798C">
        <w:rPr>
          <w:rFonts w:cs="Arial"/>
        </w:rPr>
        <w:t>NFF rates would change</w:t>
      </w:r>
      <w:r w:rsidRPr="0059798C">
        <w:rPr>
          <w:rFonts w:cs="Arial"/>
        </w:rPr>
        <w:t xml:space="preserve"> the current Primary Secondary ratio from 1:1.30 (that is secondary schools receive 30% more funding) to 1:1.40 in 2018/19 because of the realignment of factor led funding rates under the NFF, particularly the </w:t>
      </w:r>
      <w:r w:rsidR="00E057D9">
        <w:rPr>
          <w:rFonts w:cs="Arial"/>
        </w:rPr>
        <w:t>Age Weighted Pupil Unit (</w:t>
      </w:r>
      <w:r w:rsidRPr="0059798C">
        <w:rPr>
          <w:rFonts w:cs="Arial"/>
        </w:rPr>
        <w:t>AWPU</w:t>
      </w:r>
      <w:r w:rsidR="00E057D9">
        <w:rPr>
          <w:rFonts w:cs="Arial"/>
        </w:rPr>
        <w:t>)</w:t>
      </w:r>
      <w:r w:rsidRPr="0059798C">
        <w:rPr>
          <w:rFonts w:cs="Arial"/>
        </w:rPr>
        <w:t xml:space="preserve"> rates.   The factor led funding rates should be the primary driver allocating the funding.   However, because of the difference</w:t>
      </w:r>
      <w:r w:rsidR="00210E9C">
        <w:rPr>
          <w:rFonts w:cs="Arial"/>
        </w:rPr>
        <w:t>s</w:t>
      </w:r>
      <w:r w:rsidRPr="0059798C">
        <w:rPr>
          <w:rFonts w:cs="Arial"/>
        </w:rPr>
        <w:t xml:space="preserve"> between existing and NFF rates, along with difference</w:t>
      </w:r>
      <w:r w:rsidR="00C2256C" w:rsidRPr="0059798C">
        <w:rPr>
          <w:rFonts w:cs="Arial"/>
        </w:rPr>
        <w:t>s</w:t>
      </w:r>
      <w:r w:rsidRPr="0059798C">
        <w:rPr>
          <w:rFonts w:cs="Arial"/>
        </w:rPr>
        <w:t xml:space="preserve"> in pupil led factor data compared to the national average, means that the factor data are</w:t>
      </w:r>
      <w:r w:rsidR="00C2256C" w:rsidRPr="0059798C">
        <w:rPr>
          <w:rFonts w:cs="Arial"/>
        </w:rPr>
        <w:t xml:space="preserve"> not</w:t>
      </w:r>
      <w:r w:rsidRPr="0059798C">
        <w:rPr>
          <w:rFonts w:cs="Arial"/>
        </w:rPr>
        <w:t xml:space="preserve"> fully effective</w:t>
      </w:r>
      <w:r w:rsidR="00B427E1" w:rsidRPr="0059798C">
        <w:rPr>
          <w:rFonts w:cs="Arial"/>
        </w:rPr>
        <w:t xml:space="preserve"> in driving the funding at local level. </w:t>
      </w:r>
      <w:r w:rsidR="00C2256C" w:rsidRPr="0059798C">
        <w:rPr>
          <w:rFonts w:cs="Arial"/>
        </w:rPr>
        <w:t xml:space="preserve">As a result, there is </w:t>
      </w:r>
      <w:r w:rsidRPr="0059798C">
        <w:rPr>
          <w:rFonts w:cs="Arial"/>
        </w:rPr>
        <w:t xml:space="preserve">significant reallocation of funding between the different phases through the Minimum Funding Guarantee and capping / scaling.  </w:t>
      </w:r>
      <w:r w:rsidR="00DA5F21" w:rsidRPr="0059798C">
        <w:rPr>
          <w:rFonts w:cs="Arial"/>
        </w:rPr>
        <w:t>H</w:t>
      </w:r>
      <w:r w:rsidRPr="0059798C">
        <w:rPr>
          <w:rFonts w:cs="Arial"/>
        </w:rPr>
        <w:t xml:space="preserve">igher levels of capping and scaling </w:t>
      </w:r>
      <w:r w:rsidR="00B427E1" w:rsidRPr="0059798C">
        <w:rPr>
          <w:rFonts w:cs="Arial"/>
        </w:rPr>
        <w:t xml:space="preserve">are </w:t>
      </w:r>
      <w:r w:rsidR="00C2256C" w:rsidRPr="0059798C">
        <w:rPr>
          <w:rFonts w:cs="Arial"/>
        </w:rPr>
        <w:t xml:space="preserve">needed to </w:t>
      </w:r>
      <w:r w:rsidRPr="0059798C">
        <w:rPr>
          <w:rFonts w:cs="Arial"/>
        </w:rPr>
        <w:t>fund MFG protections.</w:t>
      </w:r>
      <w:r w:rsidR="00DA5F21" w:rsidRPr="0059798C">
        <w:rPr>
          <w:rFonts w:cs="Arial"/>
        </w:rPr>
        <w:t xml:space="preserve"> </w:t>
      </w:r>
    </w:p>
    <w:p w:rsidR="00DA5F21" w:rsidRPr="0059798C" w:rsidRDefault="00DA5F21" w:rsidP="00DA5F21">
      <w:pPr>
        <w:pStyle w:val="ListParagraph"/>
        <w:rPr>
          <w:rFonts w:cs="Arial"/>
        </w:rPr>
      </w:pPr>
    </w:p>
    <w:p w:rsidR="00DA5F21" w:rsidRDefault="00DA5F21" w:rsidP="00DA5F21">
      <w:pPr>
        <w:pStyle w:val="ListParagraph"/>
        <w:numPr>
          <w:ilvl w:val="1"/>
          <w:numId w:val="23"/>
        </w:numPr>
        <w:ind w:left="709" w:hanging="709"/>
        <w:jc w:val="both"/>
        <w:rPr>
          <w:rFonts w:cs="Arial"/>
        </w:rPr>
      </w:pPr>
      <w:r w:rsidRPr="00597EA8">
        <w:rPr>
          <w:rFonts w:cs="Arial"/>
          <w:b/>
        </w:rPr>
        <w:t xml:space="preserve">Appendix </w:t>
      </w:r>
      <w:r w:rsidR="00822D93">
        <w:rPr>
          <w:rFonts w:cs="Arial"/>
          <w:b/>
        </w:rPr>
        <w:t>3</w:t>
      </w:r>
      <w:r w:rsidRPr="0059798C">
        <w:rPr>
          <w:rFonts w:cs="Arial"/>
        </w:rPr>
        <w:t xml:space="preserve"> set</w:t>
      </w:r>
      <w:r w:rsidR="00210E9C">
        <w:rPr>
          <w:rFonts w:cs="Arial"/>
        </w:rPr>
        <w:t>s</w:t>
      </w:r>
      <w:r w:rsidRPr="0059798C">
        <w:rPr>
          <w:rFonts w:cs="Arial"/>
        </w:rPr>
        <w:t xml:space="preserve"> out the quantum and percentages passing</w:t>
      </w:r>
      <w:r w:rsidR="00210E9C">
        <w:rPr>
          <w:rFonts w:cs="Arial"/>
        </w:rPr>
        <w:t xml:space="preserve"> through </w:t>
      </w:r>
      <w:r w:rsidRPr="0059798C">
        <w:rPr>
          <w:rFonts w:cs="Arial"/>
        </w:rPr>
        <w:t>MFG and capping.   In 2017/18</w:t>
      </w:r>
      <w:r w:rsidR="001B20F6" w:rsidRPr="0059798C">
        <w:rPr>
          <w:rFonts w:cs="Arial"/>
        </w:rPr>
        <w:t xml:space="preserve">, £558K, or </w:t>
      </w:r>
      <w:r w:rsidR="001B20F6" w:rsidRPr="0059798C">
        <w:rPr>
          <w:rFonts w:cs="Arial"/>
        </w:rPr>
        <w:tab/>
        <w:t xml:space="preserve">0.3% of the funding, passed through </w:t>
      </w:r>
      <w:r w:rsidRPr="0059798C">
        <w:rPr>
          <w:rFonts w:cs="Arial"/>
        </w:rPr>
        <w:t>MFG.   If NFF were to be fully implement</w:t>
      </w:r>
      <w:r w:rsidR="00210E9C">
        <w:rPr>
          <w:rFonts w:cs="Arial"/>
        </w:rPr>
        <w:t>ed</w:t>
      </w:r>
      <w:r w:rsidRPr="0059798C">
        <w:rPr>
          <w:rFonts w:cs="Arial"/>
        </w:rPr>
        <w:t xml:space="preserve"> locally, the MFG requirement </w:t>
      </w:r>
      <w:r w:rsidR="001B20F6" w:rsidRPr="0059798C">
        <w:rPr>
          <w:rFonts w:cs="Arial"/>
        </w:rPr>
        <w:t>would be</w:t>
      </w:r>
      <w:r w:rsidRPr="0059798C">
        <w:rPr>
          <w:rFonts w:cs="Arial"/>
        </w:rPr>
        <w:t xml:space="preserve"> £6,034K, or 3% of the total funding </w:t>
      </w:r>
      <w:r w:rsidR="001B20F6" w:rsidRPr="0059798C">
        <w:rPr>
          <w:rFonts w:cs="Arial"/>
        </w:rPr>
        <w:t>to</w:t>
      </w:r>
      <w:r w:rsidRPr="0059798C">
        <w:rPr>
          <w:rFonts w:cs="Arial"/>
        </w:rPr>
        <w:t xml:space="preserve"> </w:t>
      </w:r>
      <w:r w:rsidR="001B20F6" w:rsidRPr="0059798C">
        <w:rPr>
          <w:rFonts w:cs="Arial"/>
        </w:rPr>
        <w:t xml:space="preserve">provide protection to schools. </w:t>
      </w:r>
      <w:r w:rsidRPr="0059798C">
        <w:rPr>
          <w:rFonts w:cs="Arial"/>
        </w:rPr>
        <w:t>The impact of capping in 2017/18, is to scale back £207K</w:t>
      </w:r>
      <w:r w:rsidR="001B20F6" w:rsidRPr="0059798C">
        <w:rPr>
          <w:rFonts w:cs="Arial"/>
        </w:rPr>
        <w:t xml:space="preserve"> of gains</w:t>
      </w:r>
      <w:r w:rsidRPr="0059798C">
        <w:rPr>
          <w:rFonts w:cs="Arial"/>
        </w:rPr>
        <w:t xml:space="preserve"> to contribute to MFG but under the full NFF model £2,085M will </w:t>
      </w:r>
      <w:r w:rsidR="001B20F6" w:rsidRPr="0059798C">
        <w:rPr>
          <w:rFonts w:cs="Arial"/>
        </w:rPr>
        <w:t>need</w:t>
      </w:r>
      <w:r w:rsidRPr="0059798C">
        <w:rPr>
          <w:rFonts w:cs="Arial"/>
        </w:rPr>
        <w:t xml:space="preserve"> to be scaled back to fund MFG.</w:t>
      </w:r>
    </w:p>
    <w:p w:rsidR="00D11D46" w:rsidRPr="00D11D46" w:rsidRDefault="00D11D46" w:rsidP="00D11D46">
      <w:pPr>
        <w:pStyle w:val="ListParagraph"/>
        <w:rPr>
          <w:rFonts w:cs="Arial"/>
        </w:rPr>
      </w:pPr>
    </w:p>
    <w:p w:rsidR="00D11D46" w:rsidRDefault="00FE34F3" w:rsidP="00822D93">
      <w:pPr>
        <w:pStyle w:val="ListParagraph"/>
        <w:ind w:left="709"/>
        <w:jc w:val="both"/>
        <w:rPr>
          <w:rFonts w:cs="Arial"/>
        </w:rPr>
      </w:pPr>
      <w:r w:rsidRPr="00FE34F3">
        <w:rPr>
          <w:rFonts w:cs="Arial"/>
          <w:b/>
        </w:rPr>
        <w:t xml:space="preserve">Table 2: </w:t>
      </w:r>
      <w:r w:rsidR="00822D93">
        <w:rPr>
          <w:rFonts w:cs="Arial"/>
        </w:rPr>
        <w:t xml:space="preserve">Impact of options on MFG and capping and scaling (also see </w:t>
      </w:r>
      <w:r w:rsidR="00822D93" w:rsidRPr="00822D93">
        <w:rPr>
          <w:rFonts w:cs="Arial"/>
          <w:b/>
        </w:rPr>
        <w:t>Appendix 4</w:t>
      </w:r>
      <w:r w:rsidR="00822D93">
        <w:rPr>
          <w:rFonts w:cs="Arial"/>
        </w:rPr>
        <w:t>)</w:t>
      </w:r>
    </w:p>
    <w:p w:rsidR="00A10487" w:rsidRPr="00A10487" w:rsidRDefault="00A10487" w:rsidP="00A10487">
      <w:pPr>
        <w:pStyle w:val="ListParagraph"/>
        <w:rPr>
          <w:rFonts w:cs="Arial"/>
        </w:rPr>
      </w:pPr>
    </w:p>
    <w:tbl>
      <w:tblPr>
        <w:tblStyle w:val="TableGrid"/>
        <w:tblW w:w="8921" w:type="dxa"/>
        <w:tblInd w:w="704"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96"/>
        <w:gridCol w:w="1237"/>
        <w:gridCol w:w="1238"/>
        <w:gridCol w:w="1237"/>
        <w:gridCol w:w="1238"/>
        <w:gridCol w:w="1237"/>
        <w:gridCol w:w="1238"/>
      </w:tblGrid>
      <w:tr w:rsidR="00D11D46" w:rsidRPr="00D11D46" w:rsidTr="000908E2">
        <w:trPr>
          <w:trHeight w:val="816"/>
        </w:trPr>
        <w:tc>
          <w:tcPr>
            <w:tcW w:w="1496" w:type="dxa"/>
            <w:shd w:val="clear" w:color="auto" w:fill="FABF8F" w:themeFill="accent6" w:themeFillTint="99"/>
          </w:tcPr>
          <w:p w:rsidR="00997995" w:rsidRPr="00D11D46" w:rsidRDefault="00997995" w:rsidP="00A10487">
            <w:pPr>
              <w:pStyle w:val="ListParagraph"/>
              <w:ind w:left="0"/>
              <w:jc w:val="both"/>
              <w:rPr>
                <w:rFonts w:cs="Arial"/>
                <w:b/>
                <w:sz w:val="18"/>
                <w:szCs w:val="18"/>
              </w:rPr>
            </w:pPr>
          </w:p>
        </w:tc>
        <w:tc>
          <w:tcPr>
            <w:tcW w:w="1237" w:type="dxa"/>
            <w:shd w:val="clear" w:color="auto" w:fill="FABF8F" w:themeFill="accent6" w:themeFillTint="99"/>
          </w:tcPr>
          <w:p w:rsidR="00997995" w:rsidRPr="00D11D46" w:rsidRDefault="00D11D46" w:rsidP="007F03FB">
            <w:pPr>
              <w:pStyle w:val="ListParagraph"/>
              <w:ind w:left="0"/>
              <w:jc w:val="right"/>
              <w:rPr>
                <w:rFonts w:cs="Arial"/>
                <w:b/>
                <w:sz w:val="18"/>
                <w:szCs w:val="18"/>
              </w:rPr>
            </w:pPr>
            <w:r w:rsidRPr="00D11D46">
              <w:rPr>
                <w:rFonts w:cs="Arial"/>
                <w:b/>
                <w:sz w:val="18"/>
                <w:szCs w:val="18"/>
              </w:rPr>
              <w:t>2017/18</w:t>
            </w:r>
          </w:p>
        </w:tc>
        <w:tc>
          <w:tcPr>
            <w:tcW w:w="1238" w:type="dxa"/>
            <w:shd w:val="clear" w:color="auto" w:fill="FABF8F" w:themeFill="accent6" w:themeFillTint="99"/>
          </w:tcPr>
          <w:p w:rsidR="00997995" w:rsidRDefault="00D11D46" w:rsidP="007F03FB">
            <w:pPr>
              <w:pStyle w:val="ListParagraph"/>
              <w:ind w:left="0"/>
              <w:jc w:val="right"/>
              <w:rPr>
                <w:rFonts w:cs="Arial"/>
                <w:b/>
                <w:sz w:val="18"/>
                <w:szCs w:val="18"/>
              </w:rPr>
            </w:pPr>
            <w:r w:rsidRPr="00D11D46">
              <w:rPr>
                <w:rFonts w:cs="Arial"/>
                <w:b/>
                <w:sz w:val="18"/>
                <w:szCs w:val="18"/>
              </w:rPr>
              <w:t>Option1</w:t>
            </w:r>
          </w:p>
          <w:p w:rsidR="007F03FB" w:rsidRDefault="007F03FB" w:rsidP="007F03FB">
            <w:pPr>
              <w:pStyle w:val="ListParagraph"/>
              <w:ind w:left="0"/>
              <w:jc w:val="right"/>
              <w:rPr>
                <w:rFonts w:cs="Arial"/>
                <w:b/>
                <w:sz w:val="18"/>
                <w:szCs w:val="18"/>
              </w:rPr>
            </w:pPr>
            <w:r>
              <w:rPr>
                <w:rFonts w:cs="Arial"/>
                <w:b/>
                <w:sz w:val="18"/>
                <w:szCs w:val="18"/>
              </w:rPr>
              <w:t>1:1.30</w:t>
            </w:r>
          </w:p>
          <w:p w:rsidR="007F03FB" w:rsidRDefault="007F03FB" w:rsidP="007F03FB">
            <w:pPr>
              <w:pStyle w:val="ListParagraph"/>
              <w:ind w:left="0"/>
              <w:jc w:val="right"/>
              <w:rPr>
                <w:rFonts w:cs="Arial"/>
                <w:b/>
                <w:sz w:val="18"/>
                <w:szCs w:val="18"/>
              </w:rPr>
            </w:pPr>
            <w:r>
              <w:rPr>
                <w:rFonts w:cs="Arial"/>
                <w:b/>
                <w:sz w:val="18"/>
                <w:szCs w:val="18"/>
              </w:rPr>
              <w:t>2018/19</w:t>
            </w:r>
          </w:p>
          <w:p w:rsidR="007F03FB" w:rsidRPr="00D11D46" w:rsidRDefault="007F03FB" w:rsidP="007F03FB">
            <w:pPr>
              <w:pStyle w:val="ListParagraph"/>
              <w:ind w:left="0"/>
              <w:jc w:val="right"/>
              <w:rPr>
                <w:rFonts w:cs="Arial"/>
                <w:b/>
                <w:sz w:val="18"/>
                <w:szCs w:val="18"/>
              </w:rPr>
            </w:pPr>
          </w:p>
        </w:tc>
        <w:tc>
          <w:tcPr>
            <w:tcW w:w="1237" w:type="dxa"/>
            <w:shd w:val="clear" w:color="auto" w:fill="FABF8F" w:themeFill="accent6" w:themeFillTint="99"/>
          </w:tcPr>
          <w:p w:rsidR="00997995" w:rsidRPr="00D11D46" w:rsidRDefault="00997995" w:rsidP="007F03FB">
            <w:pPr>
              <w:pStyle w:val="ListParagraph"/>
              <w:ind w:left="0"/>
              <w:jc w:val="right"/>
              <w:rPr>
                <w:rFonts w:cs="Arial"/>
                <w:b/>
                <w:sz w:val="18"/>
                <w:szCs w:val="18"/>
              </w:rPr>
            </w:pPr>
            <w:r w:rsidRPr="00D11D46">
              <w:rPr>
                <w:rFonts w:cs="Arial"/>
                <w:b/>
                <w:sz w:val="18"/>
                <w:szCs w:val="18"/>
              </w:rPr>
              <w:t>Option2</w:t>
            </w:r>
          </w:p>
          <w:p w:rsidR="00997995" w:rsidRDefault="00997995" w:rsidP="007F03FB">
            <w:pPr>
              <w:pStyle w:val="ListParagraph"/>
              <w:ind w:left="0"/>
              <w:jc w:val="right"/>
              <w:rPr>
                <w:rFonts w:cs="Arial"/>
                <w:b/>
                <w:sz w:val="18"/>
                <w:szCs w:val="18"/>
              </w:rPr>
            </w:pPr>
            <w:r w:rsidRPr="00D11D46">
              <w:rPr>
                <w:rFonts w:cs="Arial"/>
                <w:b/>
                <w:sz w:val="18"/>
                <w:szCs w:val="18"/>
              </w:rPr>
              <w:t>1:1.34</w:t>
            </w:r>
          </w:p>
          <w:p w:rsidR="007F03FB" w:rsidRPr="00D11D46" w:rsidRDefault="007F03FB" w:rsidP="007F03FB">
            <w:pPr>
              <w:pStyle w:val="ListParagraph"/>
              <w:ind w:left="0"/>
              <w:jc w:val="right"/>
              <w:rPr>
                <w:rFonts w:cs="Arial"/>
                <w:b/>
                <w:sz w:val="18"/>
                <w:szCs w:val="18"/>
              </w:rPr>
            </w:pPr>
            <w:r>
              <w:rPr>
                <w:rFonts w:cs="Arial"/>
                <w:b/>
                <w:sz w:val="18"/>
                <w:szCs w:val="18"/>
              </w:rPr>
              <w:t>2018/19</w:t>
            </w:r>
          </w:p>
        </w:tc>
        <w:tc>
          <w:tcPr>
            <w:tcW w:w="1238" w:type="dxa"/>
            <w:shd w:val="clear" w:color="auto" w:fill="FABF8F" w:themeFill="accent6" w:themeFillTint="99"/>
          </w:tcPr>
          <w:p w:rsidR="00997995" w:rsidRPr="00D11D46" w:rsidRDefault="00997995" w:rsidP="007F03FB">
            <w:pPr>
              <w:pStyle w:val="ListParagraph"/>
              <w:ind w:left="0"/>
              <w:jc w:val="right"/>
              <w:rPr>
                <w:rFonts w:cs="Arial"/>
                <w:b/>
                <w:sz w:val="18"/>
                <w:szCs w:val="18"/>
              </w:rPr>
            </w:pPr>
            <w:r w:rsidRPr="00D11D46">
              <w:rPr>
                <w:rFonts w:cs="Arial"/>
                <w:b/>
                <w:sz w:val="18"/>
                <w:szCs w:val="18"/>
              </w:rPr>
              <w:t>Option 2</w:t>
            </w:r>
          </w:p>
          <w:p w:rsidR="00997995" w:rsidRDefault="00997995" w:rsidP="007F03FB">
            <w:pPr>
              <w:pStyle w:val="ListParagraph"/>
              <w:ind w:left="0"/>
              <w:jc w:val="right"/>
              <w:rPr>
                <w:rFonts w:cs="Arial"/>
                <w:b/>
                <w:sz w:val="18"/>
                <w:szCs w:val="18"/>
              </w:rPr>
            </w:pPr>
            <w:r w:rsidRPr="00D11D46">
              <w:rPr>
                <w:rFonts w:cs="Arial"/>
                <w:b/>
                <w:sz w:val="18"/>
                <w:szCs w:val="18"/>
              </w:rPr>
              <w:t>1:1.39</w:t>
            </w:r>
          </w:p>
          <w:p w:rsidR="007F03FB" w:rsidRPr="00D11D46" w:rsidRDefault="007F03FB" w:rsidP="007F03FB">
            <w:pPr>
              <w:pStyle w:val="ListParagraph"/>
              <w:ind w:left="0"/>
              <w:jc w:val="right"/>
              <w:rPr>
                <w:rFonts w:cs="Arial"/>
                <w:b/>
                <w:sz w:val="18"/>
                <w:szCs w:val="18"/>
              </w:rPr>
            </w:pPr>
            <w:r>
              <w:rPr>
                <w:rFonts w:cs="Arial"/>
                <w:b/>
                <w:sz w:val="18"/>
                <w:szCs w:val="18"/>
              </w:rPr>
              <w:t>2019/20</w:t>
            </w:r>
          </w:p>
        </w:tc>
        <w:tc>
          <w:tcPr>
            <w:tcW w:w="1237" w:type="dxa"/>
            <w:shd w:val="clear" w:color="auto" w:fill="FABF8F" w:themeFill="accent6" w:themeFillTint="99"/>
          </w:tcPr>
          <w:p w:rsidR="00997995" w:rsidRPr="00D11D46" w:rsidRDefault="00997995" w:rsidP="007F03FB">
            <w:pPr>
              <w:jc w:val="right"/>
              <w:rPr>
                <w:rFonts w:cs="Arial"/>
                <w:b/>
                <w:sz w:val="18"/>
                <w:szCs w:val="18"/>
              </w:rPr>
            </w:pPr>
            <w:r w:rsidRPr="00D11D46">
              <w:rPr>
                <w:rFonts w:cs="Arial"/>
                <w:b/>
                <w:sz w:val="18"/>
                <w:szCs w:val="18"/>
              </w:rPr>
              <w:t>Option 2</w:t>
            </w:r>
          </w:p>
          <w:p w:rsidR="00997995" w:rsidRDefault="00997995" w:rsidP="007F03FB">
            <w:pPr>
              <w:pStyle w:val="ListParagraph"/>
              <w:ind w:left="0"/>
              <w:jc w:val="right"/>
              <w:rPr>
                <w:rFonts w:cs="Arial"/>
                <w:b/>
                <w:sz w:val="18"/>
                <w:szCs w:val="18"/>
              </w:rPr>
            </w:pPr>
            <w:r w:rsidRPr="00D11D46">
              <w:rPr>
                <w:rFonts w:cs="Arial"/>
                <w:b/>
                <w:sz w:val="18"/>
                <w:szCs w:val="18"/>
              </w:rPr>
              <w:t>1</w:t>
            </w:r>
            <w:r w:rsidR="007F03FB">
              <w:rPr>
                <w:rFonts w:cs="Arial"/>
                <w:b/>
                <w:sz w:val="18"/>
                <w:szCs w:val="18"/>
              </w:rPr>
              <w:t>:1.43</w:t>
            </w:r>
          </w:p>
          <w:p w:rsidR="007F03FB" w:rsidRPr="00D11D46" w:rsidRDefault="007F03FB" w:rsidP="007F03FB">
            <w:pPr>
              <w:pStyle w:val="ListParagraph"/>
              <w:ind w:left="0"/>
              <w:jc w:val="right"/>
              <w:rPr>
                <w:rFonts w:cs="Arial"/>
                <w:b/>
                <w:sz w:val="18"/>
                <w:szCs w:val="18"/>
              </w:rPr>
            </w:pPr>
            <w:r>
              <w:rPr>
                <w:rFonts w:cs="Arial"/>
                <w:b/>
                <w:sz w:val="18"/>
                <w:szCs w:val="18"/>
              </w:rPr>
              <w:t>2020/21</w:t>
            </w:r>
          </w:p>
        </w:tc>
        <w:tc>
          <w:tcPr>
            <w:tcW w:w="1238" w:type="dxa"/>
            <w:shd w:val="clear" w:color="auto" w:fill="FABF8F" w:themeFill="accent6" w:themeFillTint="99"/>
          </w:tcPr>
          <w:p w:rsidR="007F03FB" w:rsidRDefault="00997995" w:rsidP="007F03FB">
            <w:pPr>
              <w:pStyle w:val="ListParagraph"/>
              <w:ind w:left="0"/>
              <w:jc w:val="right"/>
              <w:rPr>
                <w:rFonts w:cs="Arial"/>
                <w:b/>
                <w:sz w:val="18"/>
                <w:szCs w:val="18"/>
              </w:rPr>
            </w:pPr>
            <w:r w:rsidRPr="00D11D46">
              <w:rPr>
                <w:rFonts w:cs="Arial"/>
                <w:b/>
                <w:sz w:val="18"/>
                <w:szCs w:val="18"/>
              </w:rPr>
              <w:t>Option 3</w:t>
            </w:r>
            <w:r w:rsidR="00D11D46" w:rsidRPr="00D11D46">
              <w:rPr>
                <w:rFonts w:cs="Arial"/>
                <w:b/>
                <w:sz w:val="18"/>
                <w:szCs w:val="18"/>
              </w:rPr>
              <w:t xml:space="preserve"> </w:t>
            </w:r>
          </w:p>
          <w:p w:rsidR="00997995" w:rsidRDefault="00D11D46" w:rsidP="007F03FB">
            <w:pPr>
              <w:pStyle w:val="ListParagraph"/>
              <w:ind w:left="0"/>
              <w:jc w:val="right"/>
              <w:rPr>
                <w:rFonts w:cs="Arial"/>
                <w:b/>
                <w:sz w:val="18"/>
                <w:szCs w:val="18"/>
              </w:rPr>
            </w:pPr>
            <w:r w:rsidRPr="00D11D46">
              <w:rPr>
                <w:rFonts w:cs="Arial"/>
                <w:b/>
                <w:sz w:val="18"/>
                <w:szCs w:val="18"/>
              </w:rPr>
              <w:t xml:space="preserve"> 1:1.43</w:t>
            </w:r>
          </w:p>
          <w:p w:rsidR="007F03FB" w:rsidRPr="00D11D46" w:rsidRDefault="007F03FB" w:rsidP="007F03FB">
            <w:pPr>
              <w:pStyle w:val="ListParagraph"/>
              <w:ind w:left="0"/>
              <w:jc w:val="right"/>
              <w:rPr>
                <w:rFonts w:cs="Arial"/>
                <w:b/>
                <w:sz w:val="18"/>
                <w:szCs w:val="18"/>
              </w:rPr>
            </w:pPr>
            <w:r>
              <w:rPr>
                <w:rFonts w:cs="Arial"/>
                <w:b/>
                <w:sz w:val="18"/>
                <w:szCs w:val="18"/>
              </w:rPr>
              <w:t>2018/19</w:t>
            </w:r>
          </w:p>
        </w:tc>
      </w:tr>
      <w:tr w:rsidR="00D11D46" w:rsidRPr="00D11D46" w:rsidTr="00D11D46">
        <w:trPr>
          <w:trHeight w:val="262"/>
        </w:trPr>
        <w:tc>
          <w:tcPr>
            <w:tcW w:w="1496" w:type="dxa"/>
          </w:tcPr>
          <w:p w:rsidR="00D11D46" w:rsidRPr="00D11D46" w:rsidRDefault="00D11D46" w:rsidP="00D11D46">
            <w:pPr>
              <w:pStyle w:val="ListParagraph"/>
              <w:ind w:left="0"/>
              <w:jc w:val="both"/>
              <w:rPr>
                <w:rFonts w:cs="Arial"/>
                <w:sz w:val="18"/>
                <w:szCs w:val="18"/>
              </w:rPr>
            </w:pPr>
            <w:r w:rsidRPr="00D11D46">
              <w:rPr>
                <w:rFonts w:cs="Arial"/>
                <w:sz w:val="18"/>
                <w:szCs w:val="18"/>
              </w:rPr>
              <w:t xml:space="preserve">MFG </w:t>
            </w:r>
          </w:p>
        </w:tc>
        <w:tc>
          <w:tcPr>
            <w:tcW w:w="1237" w:type="dxa"/>
          </w:tcPr>
          <w:p w:rsidR="00D11D46" w:rsidRPr="00D11D46" w:rsidRDefault="00D11D46" w:rsidP="007F03FB">
            <w:pPr>
              <w:pStyle w:val="ListParagraph"/>
              <w:ind w:left="0"/>
              <w:jc w:val="right"/>
              <w:rPr>
                <w:rFonts w:cs="Arial"/>
                <w:sz w:val="18"/>
                <w:szCs w:val="18"/>
              </w:rPr>
            </w:pPr>
            <w:r w:rsidRPr="00D11D46">
              <w:rPr>
                <w:rFonts w:cs="Arial"/>
                <w:sz w:val="18"/>
                <w:szCs w:val="18"/>
              </w:rPr>
              <w:t>557,676</w:t>
            </w:r>
          </w:p>
        </w:tc>
        <w:tc>
          <w:tcPr>
            <w:tcW w:w="1238" w:type="dxa"/>
          </w:tcPr>
          <w:p w:rsidR="00D11D46" w:rsidRPr="00D11D46" w:rsidRDefault="00D11D46" w:rsidP="007F03FB">
            <w:pPr>
              <w:pStyle w:val="ListParagraph"/>
              <w:ind w:left="0"/>
              <w:jc w:val="right"/>
              <w:rPr>
                <w:rFonts w:cs="Arial"/>
                <w:sz w:val="18"/>
                <w:szCs w:val="18"/>
              </w:rPr>
            </w:pPr>
            <w:r w:rsidRPr="00D11D46">
              <w:rPr>
                <w:rFonts w:cs="Arial"/>
                <w:sz w:val="18"/>
                <w:szCs w:val="18"/>
              </w:rPr>
              <w:t>1,556,903</w:t>
            </w:r>
          </w:p>
        </w:tc>
        <w:tc>
          <w:tcPr>
            <w:tcW w:w="1237" w:type="dxa"/>
          </w:tcPr>
          <w:p w:rsidR="00D11D46" w:rsidRPr="00D11D46" w:rsidRDefault="00D11D46" w:rsidP="007F03FB">
            <w:pPr>
              <w:pStyle w:val="ListParagraph"/>
              <w:ind w:left="0"/>
              <w:jc w:val="right"/>
              <w:rPr>
                <w:rFonts w:cs="Arial"/>
                <w:sz w:val="18"/>
                <w:szCs w:val="18"/>
              </w:rPr>
            </w:pPr>
            <w:r w:rsidRPr="00D11D46">
              <w:rPr>
                <w:rFonts w:cs="Arial"/>
                <w:sz w:val="18"/>
                <w:szCs w:val="18"/>
              </w:rPr>
              <w:t>1,527,068</w:t>
            </w:r>
          </w:p>
        </w:tc>
        <w:tc>
          <w:tcPr>
            <w:tcW w:w="1238" w:type="dxa"/>
          </w:tcPr>
          <w:p w:rsidR="00D11D46" w:rsidRPr="00D11D46" w:rsidRDefault="00D11D46" w:rsidP="007F03FB">
            <w:pPr>
              <w:pStyle w:val="ListParagraph"/>
              <w:ind w:left="0"/>
              <w:jc w:val="right"/>
              <w:rPr>
                <w:rFonts w:cs="Arial"/>
                <w:sz w:val="18"/>
                <w:szCs w:val="18"/>
              </w:rPr>
            </w:pPr>
            <w:r w:rsidRPr="00D11D46">
              <w:rPr>
                <w:rFonts w:cs="Arial"/>
                <w:sz w:val="18"/>
                <w:szCs w:val="18"/>
              </w:rPr>
              <w:t>2,464,744</w:t>
            </w:r>
          </w:p>
        </w:tc>
        <w:tc>
          <w:tcPr>
            <w:tcW w:w="1237" w:type="dxa"/>
          </w:tcPr>
          <w:p w:rsidR="00D11D46" w:rsidRPr="00D11D46" w:rsidRDefault="00D11D46" w:rsidP="007F03FB">
            <w:pPr>
              <w:pStyle w:val="ListParagraph"/>
              <w:ind w:left="0"/>
              <w:jc w:val="right"/>
              <w:rPr>
                <w:rFonts w:cs="Arial"/>
                <w:sz w:val="18"/>
                <w:szCs w:val="18"/>
              </w:rPr>
            </w:pPr>
            <w:r w:rsidRPr="00D11D46">
              <w:rPr>
                <w:rFonts w:cs="Arial"/>
                <w:sz w:val="18"/>
                <w:szCs w:val="18"/>
              </w:rPr>
              <w:t>6,033,959</w:t>
            </w:r>
          </w:p>
        </w:tc>
        <w:tc>
          <w:tcPr>
            <w:tcW w:w="1238" w:type="dxa"/>
          </w:tcPr>
          <w:p w:rsidR="00D11D46" w:rsidRPr="00D11D46" w:rsidRDefault="00D11D46" w:rsidP="007F03FB">
            <w:pPr>
              <w:jc w:val="right"/>
              <w:rPr>
                <w:sz w:val="18"/>
                <w:szCs w:val="18"/>
              </w:rPr>
            </w:pPr>
            <w:r w:rsidRPr="00D11D46">
              <w:rPr>
                <w:sz w:val="18"/>
                <w:szCs w:val="18"/>
              </w:rPr>
              <w:t>6,033,959</w:t>
            </w:r>
          </w:p>
        </w:tc>
      </w:tr>
      <w:tr w:rsidR="00D11D46" w:rsidRPr="00D11D46" w:rsidTr="00D11D46">
        <w:trPr>
          <w:trHeight w:val="279"/>
        </w:trPr>
        <w:tc>
          <w:tcPr>
            <w:tcW w:w="1496" w:type="dxa"/>
          </w:tcPr>
          <w:p w:rsidR="00D11D46" w:rsidRPr="00D11D46" w:rsidRDefault="00822D93" w:rsidP="00D11D46">
            <w:pPr>
              <w:pStyle w:val="ListParagraph"/>
              <w:ind w:left="0"/>
              <w:jc w:val="both"/>
              <w:rPr>
                <w:rFonts w:cs="Arial"/>
                <w:sz w:val="18"/>
                <w:szCs w:val="18"/>
              </w:rPr>
            </w:pPr>
            <w:r>
              <w:rPr>
                <w:rFonts w:cs="Arial"/>
                <w:sz w:val="18"/>
                <w:szCs w:val="18"/>
              </w:rPr>
              <w:t xml:space="preserve">Capping </w:t>
            </w:r>
            <w:r w:rsidR="00D11D46" w:rsidRPr="00D11D46">
              <w:rPr>
                <w:rFonts w:cs="Arial"/>
                <w:sz w:val="18"/>
                <w:szCs w:val="18"/>
              </w:rPr>
              <w:t>and Scaling</w:t>
            </w:r>
          </w:p>
        </w:tc>
        <w:tc>
          <w:tcPr>
            <w:tcW w:w="1237" w:type="dxa"/>
          </w:tcPr>
          <w:p w:rsidR="00D11D46" w:rsidRPr="00D11D46" w:rsidRDefault="00D11D46" w:rsidP="007F03FB">
            <w:pPr>
              <w:pStyle w:val="ListParagraph"/>
              <w:ind w:left="0"/>
              <w:jc w:val="right"/>
              <w:rPr>
                <w:rFonts w:cs="Arial"/>
                <w:sz w:val="18"/>
                <w:szCs w:val="18"/>
              </w:rPr>
            </w:pPr>
            <w:r w:rsidRPr="00D11D46">
              <w:rPr>
                <w:rFonts w:cs="Arial"/>
                <w:sz w:val="18"/>
                <w:szCs w:val="18"/>
              </w:rPr>
              <w:t>(207,140)</w:t>
            </w:r>
          </w:p>
        </w:tc>
        <w:tc>
          <w:tcPr>
            <w:tcW w:w="1238" w:type="dxa"/>
          </w:tcPr>
          <w:p w:rsidR="00D11D46" w:rsidRPr="00D11D46" w:rsidRDefault="00D11D46" w:rsidP="007F03FB">
            <w:pPr>
              <w:pStyle w:val="ListParagraph"/>
              <w:ind w:left="0"/>
              <w:jc w:val="right"/>
              <w:rPr>
                <w:rFonts w:cs="Arial"/>
                <w:sz w:val="18"/>
                <w:szCs w:val="18"/>
              </w:rPr>
            </w:pPr>
            <w:r w:rsidRPr="00D11D46">
              <w:rPr>
                <w:rFonts w:cs="Arial"/>
                <w:sz w:val="18"/>
                <w:szCs w:val="18"/>
              </w:rPr>
              <w:t>(289,475)</w:t>
            </w:r>
          </w:p>
        </w:tc>
        <w:tc>
          <w:tcPr>
            <w:tcW w:w="1237" w:type="dxa"/>
          </w:tcPr>
          <w:p w:rsidR="00D11D46" w:rsidRPr="00D11D46" w:rsidRDefault="00D11D46" w:rsidP="007F03FB">
            <w:pPr>
              <w:pStyle w:val="ListParagraph"/>
              <w:ind w:left="0"/>
              <w:jc w:val="right"/>
              <w:rPr>
                <w:rFonts w:cs="Arial"/>
                <w:sz w:val="18"/>
                <w:szCs w:val="18"/>
              </w:rPr>
            </w:pPr>
            <w:r w:rsidRPr="00D11D46">
              <w:rPr>
                <w:rFonts w:cs="Arial"/>
                <w:sz w:val="18"/>
                <w:szCs w:val="18"/>
              </w:rPr>
              <w:t>(1,512,457)</w:t>
            </w:r>
          </w:p>
        </w:tc>
        <w:tc>
          <w:tcPr>
            <w:tcW w:w="1238" w:type="dxa"/>
          </w:tcPr>
          <w:p w:rsidR="00D11D46" w:rsidRPr="00D11D46" w:rsidRDefault="00D11D46" w:rsidP="007F03FB">
            <w:pPr>
              <w:pStyle w:val="ListParagraph"/>
              <w:ind w:left="0"/>
              <w:jc w:val="right"/>
              <w:rPr>
                <w:rFonts w:cs="Arial"/>
                <w:sz w:val="18"/>
                <w:szCs w:val="18"/>
              </w:rPr>
            </w:pPr>
            <w:r w:rsidRPr="00D11D46">
              <w:rPr>
                <w:rFonts w:cs="Arial"/>
                <w:sz w:val="18"/>
                <w:szCs w:val="18"/>
              </w:rPr>
              <w:t>(2,328,925)</w:t>
            </w:r>
          </w:p>
        </w:tc>
        <w:tc>
          <w:tcPr>
            <w:tcW w:w="1237" w:type="dxa"/>
          </w:tcPr>
          <w:p w:rsidR="00D11D46" w:rsidRPr="00D11D46" w:rsidRDefault="00D11D46" w:rsidP="007F03FB">
            <w:pPr>
              <w:pStyle w:val="ListParagraph"/>
              <w:ind w:left="0"/>
              <w:jc w:val="right"/>
              <w:rPr>
                <w:rFonts w:cs="Arial"/>
                <w:sz w:val="18"/>
                <w:szCs w:val="18"/>
              </w:rPr>
            </w:pPr>
            <w:r w:rsidRPr="00D11D46">
              <w:rPr>
                <w:rFonts w:cs="Arial"/>
                <w:sz w:val="18"/>
                <w:szCs w:val="18"/>
              </w:rPr>
              <w:t>(2,084,800)</w:t>
            </w:r>
          </w:p>
        </w:tc>
        <w:tc>
          <w:tcPr>
            <w:tcW w:w="1238" w:type="dxa"/>
          </w:tcPr>
          <w:p w:rsidR="00D11D46" w:rsidRPr="00D11D46" w:rsidRDefault="00D11D46" w:rsidP="007F03FB">
            <w:pPr>
              <w:jc w:val="right"/>
              <w:rPr>
                <w:sz w:val="18"/>
                <w:szCs w:val="18"/>
              </w:rPr>
            </w:pPr>
            <w:r w:rsidRPr="00D11D46">
              <w:rPr>
                <w:sz w:val="18"/>
                <w:szCs w:val="18"/>
              </w:rPr>
              <w:t>(2,084,800)</w:t>
            </w:r>
          </w:p>
        </w:tc>
      </w:tr>
      <w:tr w:rsidR="00D11D46" w:rsidRPr="00D11D46" w:rsidTr="00D11D46">
        <w:trPr>
          <w:trHeight w:val="279"/>
        </w:trPr>
        <w:tc>
          <w:tcPr>
            <w:tcW w:w="1496" w:type="dxa"/>
          </w:tcPr>
          <w:p w:rsidR="00D11D46" w:rsidRPr="00D11D46" w:rsidRDefault="00D11D46" w:rsidP="00D11D46">
            <w:pPr>
              <w:pStyle w:val="ListParagraph"/>
              <w:ind w:left="0"/>
              <w:jc w:val="both"/>
              <w:rPr>
                <w:rFonts w:cs="Arial"/>
                <w:b/>
                <w:sz w:val="18"/>
                <w:szCs w:val="18"/>
              </w:rPr>
            </w:pPr>
            <w:r w:rsidRPr="00D11D46">
              <w:rPr>
                <w:rFonts w:cs="Arial"/>
                <w:b/>
                <w:sz w:val="18"/>
                <w:szCs w:val="18"/>
              </w:rPr>
              <w:t>Net</w:t>
            </w:r>
          </w:p>
        </w:tc>
        <w:tc>
          <w:tcPr>
            <w:tcW w:w="1237" w:type="dxa"/>
          </w:tcPr>
          <w:p w:rsidR="00D11D46" w:rsidRPr="00D11D46" w:rsidRDefault="00D11D46" w:rsidP="00E325B5">
            <w:pPr>
              <w:pStyle w:val="ListParagraph"/>
              <w:ind w:left="0"/>
              <w:jc w:val="right"/>
              <w:rPr>
                <w:rFonts w:cs="Arial"/>
                <w:b/>
                <w:sz w:val="18"/>
                <w:szCs w:val="18"/>
              </w:rPr>
            </w:pPr>
            <w:r w:rsidRPr="00D11D46">
              <w:rPr>
                <w:rFonts w:cs="Arial"/>
                <w:b/>
                <w:sz w:val="18"/>
                <w:szCs w:val="18"/>
              </w:rPr>
              <w:t>350,536</w:t>
            </w:r>
          </w:p>
        </w:tc>
        <w:tc>
          <w:tcPr>
            <w:tcW w:w="1238" w:type="dxa"/>
          </w:tcPr>
          <w:p w:rsidR="00D11D46" w:rsidRPr="00D11D46" w:rsidRDefault="00D11D46" w:rsidP="00E325B5">
            <w:pPr>
              <w:pStyle w:val="ListParagraph"/>
              <w:ind w:left="0"/>
              <w:jc w:val="right"/>
              <w:rPr>
                <w:rFonts w:cs="Arial"/>
                <w:b/>
                <w:sz w:val="18"/>
                <w:szCs w:val="18"/>
              </w:rPr>
            </w:pPr>
            <w:r w:rsidRPr="00D11D46">
              <w:rPr>
                <w:rFonts w:cs="Arial"/>
                <w:b/>
                <w:sz w:val="18"/>
                <w:szCs w:val="18"/>
              </w:rPr>
              <w:t>1,267,428</w:t>
            </w:r>
          </w:p>
        </w:tc>
        <w:tc>
          <w:tcPr>
            <w:tcW w:w="1237" w:type="dxa"/>
          </w:tcPr>
          <w:p w:rsidR="00D11D46" w:rsidRPr="00D11D46" w:rsidRDefault="00D11D46" w:rsidP="00E325B5">
            <w:pPr>
              <w:pStyle w:val="ListParagraph"/>
              <w:ind w:left="0"/>
              <w:jc w:val="right"/>
              <w:rPr>
                <w:rFonts w:cs="Arial"/>
                <w:b/>
                <w:sz w:val="18"/>
                <w:szCs w:val="18"/>
              </w:rPr>
            </w:pPr>
            <w:r w:rsidRPr="00D11D46">
              <w:rPr>
                <w:rFonts w:cs="Arial"/>
                <w:b/>
                <w:sz w:val="18"/>
                <w:szCs w:val="18"/>
              </w:rPr>
              <w:t>14,611</w:t>
            </w:r>
          </w:p>
        </w:tc>
        <w:tc>
          <w:tcPr>
            <w:tcW w:w="1238" w:type="dxa"/>
          </w:tcPr>
          <w:p w:rsidR="00D11D46" w:rsidRPr="00D11D46" w:rsidRDefault="00D11D46" w:rsidP="00E325B5">
            <w:pPr>
              <w:pStyle w:val="ListParagraph"/>
              <w:ind w:left="0"/>
              <w:jc w:val="right"/>
              <w:rPr>
                <w:rFonts w:cs="Arial"/>
                <w:b/>
                <w:sz w:val="18"/>
                <w:szCs w:val="18"/>
              </w:rPr>
            </w:pPr>
            <w:r w:rsidRPr="00D11D46">
              <w:rPr>
                <w:rFonts w:cs="Arial"/>
                <w:b/>
                <w:sz w:val="18"/>
                <w:szCs w:val="18"/>
              </w:rPr>
              <w:t>135,819</w:t>
            </w:r>
          </w:p>
        </w:tc>
        <w:tc>
          <w:tcPr>
            <w:tcW w:w="1237" w:type="dxa"/>
          </w:tcPr>
          <w:p w:rsidR="00D11D46" w:rsidRPr="00D11D46" w:rsidRDefault="00D11D46" w:rsidP="00E325B5">
            <w:pPr>
              <w:pStyle w:val="ListParagraph"/>
              <w:ind w:left="0"/>
              <w:jc w:val="right"/>
              <w:rPr>
                <w:rFonts w:cs="Arial"/>
                <w:b/>
                <w:sz w:val="18"/>
                <w:szCs w:val="18"/>
              </w:rPr>
            </w:pPr>
            <w:r w:rsidRPr="00D11D46">
              <w:rPr>
                <w:rFonts w:cs="Arial"/>
                <w:b/>
                <w:sz w:val="18"/>
                <w:szCs w:val="18"/>
              </w:rPr>
              <w:t>3,949,159</w:t>
            </w:r>
          </w:p>
        </w:tc>
        <w:tc>
          <w:tcPr>
            <w:tcW w:w="1238" w:type="dxa"/>
          </w:tcPr>
          <w:p w:rsidR="00D11D46" w:rsidRPr="00D11D46" w:rsidRDefault="00D11D46" w:rsidP="00E325B5">
            <w:pPr>
              <w:jc w:val="right"/>
              <w:rPr>
                <w:b/>
                <w:sz w:val="18"/>
                <w:szCs w:val="18"/>
              </w:rPr>
            </w:pPr>
            <w:r w:rsidRPr="00D11D46">
              <w:rPr>
                <w:b/>
                <w:sz w:val="18"/>
                <w:szCs w:val="18"/>
              </w:rPr>
              <w:t>3,949,159</w:t>
            </w:r>
          </w:p>
        </w:tc>
      </w:tr>
    </w:tbl>
    <w:p w:rsidR="00A10487" w:rsidRPr="0059798C" w:rsidRDefault="00A10487" w:rsidP="00A10487">
      <w:pPr>
        <w:pStyle w:val="ListParagraph"/>
        <w:ind w:left="1430"/>
        <w:jc w:val="both"/>
        <w:rPr>
          <w:rFonts w:cs="Arial"/>
        </w:rPr>
      </w:pPr>
    </w:p>
    <w:p w:rsidR="00DA5F21" w:rsidRPr="0059798C" w:rsidRDefault="00DA5F21" w:rsidP="00DA5F21">
      <w:pPr>
        <w:pStyle w:val="ListParagraph"/>
        <w:rPr>
          <w:rFonts w:cs="Arial"/>
        </w:rPr>
      </w:pPr>
    </w:p>
    <w:p w:rsidR="00DA5F21" w:rsidRDefault="00DA5F21" w:rsidP="008658AB">
      <w:pPr>
        <w:pStyle w:val="ListParagraph"/>
        <w:numPr>
          <w:ilvl w:val="1"/>
          <w:numId w:val="23"/>
        </w:numPr>
        <w:ind w:left="709" w:hanging="709"/>
        <w:jc w:val="both"/>
        <w:rPr>
          <w:rFonts w:cs="Arial"/>
        </w:rPr>
      </w:pPr>
      <w:r w:rsidRPr="0059798C">
        <w:rPr>
          <w:rFonts w:cs="Arial"/>
        </w:rPr>
        <w:t xml:space="preserve">Continuing with the exiting </w:t>
      </w:r>
      <w:r w:rsidR="001B20F6" w:rsidRPr="0059798C">
        <w:rPr>
          <w:rFonts w:cs="Arial"/>
        </w:rPr>
        <w:t xml:space="preserve">primary secondary </w:t>
      </w:r>
      <w:r w:rsidRPr="0059798C">
        <w:rPr>
          <w:rFonts w:cs="Arial"/>
        </w:rPr>
        <w:t xml:space="preserve">ratio is problematic as the lack of convergence toward the NFF means that disparity between local and national formula are not being addressed.   Therefore, the schools would continue to operate on a different funding trajectory </w:t>
      </w:r>
      <w:r w:rsidR="00EB27D2">
        <w:rPr>
          <w:rFonts w:cs="Arial"/>
        </w:rPr>
        <w:t>and opportunities</w:t>
      </w:r>
      <w:r w:rsidR="0075109D" w:rsidRPr="0059798C">
        <w:rPr>
          <w:rFonts w:cs="Arial"/>
        </w:rPr>
        <w:t xml:space="preserve"> to take incremental remedial measures are lost.</w:t>
      </w:r>
    </w:p>
    <w:p w:rsidR="00BB44E4" w:rsidRPr="00BB44E4" w:rsidRDefault="00BB44E4" w:rsidP="00BB44E4">
      <w:pPr>
        <w:pStyle w:val="ListParagraph"/>
        <w:rPr>
          <w:rFonts w:cs="Arial"/>
        </w:rPr>
      </w:pPr>
    </w:p>
    <w:p w:rsidR="00BB44E4" w:rsidRPr="0035613F" w:rsidRDefault="00EB27D2" w:rsidP="008658AB">
      <w:pPr>
        <w:pStyle w:val="ListParagraph"/>
        <w:numPr>
          <w:ilvl w:val="1"/>
          <w:numId w:val="23"/>
        </w:numPr>
        <w:ind w:left="709" w:hanging="709"/>
        <w:jc w:val="both"/>
        <w:rPr>
          <w:rFonts w:cs="Arial"/>
          <w:b/>
        </w:rPr>
      </w:pPr>
      <w:r>
        <w:rPr>
          <w:rFonts w:cs="Arial"/>
        </w:rPr>
        <w:t>The consultation outcome was not conclusive between Options 1 and 2</w:t>
      </w:r>
      <w:r w:rsidR="004F3E77">
        <w:rPr>
          <w:rFonts w:cs="Arial"/>
        </w:rPr>
        <w:t xml:space="preserve">, and the expectation is that in the ‘soft’ years local authorities move towards the NFF.  Therefore, in readiness for </w:t>
      </w:r>
      <w:r w:rsidR="00FE34F3">
        <w:rPr>
          <w:rFonts w:cs="Arial"/>
        </w:rPr>
        <w:t xml:space="preserve">the </w:t>
      </w:r>
      <w:r w:rsidR="004F3E77">
        <w:rPr>
          <w:rFonts w:cs="Arial"/>
        </w:rPr>
        <w:t xml:space="preserve">changeover to NFF, </w:t>
      </w:r>
      <w:r w:rsidR="004F3E77" w:rsidRPr="0035613F">
        <w:rPr>
          <w:rFonts w:cs="Arial"/>
          <w:b/>
        </w:rPr>
        <w:t>it is recommended that Schools Forum agree Option 2.</w:t>
      </w:r>
    </w:p>
    <w:p w:rsidR="004F3E77" w:rsidRPr="004F3E77" w:rsidRDefault="004F3E77" w:rsidP="004F3E77">
      <w:pPr>
        <w:pStyle w:val="ListParagraph"/>
        <w:rPr>
          <w:rFonts w:cs="Arial"/>
        </w:rPr>
      </w:pPr>
    </w:p>
    <w:p w:rsidR="004F3E77" w:rsidRPr="0059798C" w:rsidRDefault="004F3E77" w:rsidP="008658AB">
      <w:pPr>
        <w:pStyle w:val="ListParagraph"/>
        <w:numPr>
          <w:ilvl w:val="1"/>
          <w:numId w:val="23"/>
        </w:numPr>
        <w:ind w:left="709" w:hanging="709"/>
        <w:jc w:val="both"/>
        <w:rPr>
          <w:rFonts w:cs="Arial"/>
        </w:rPr>
      </w:pPr>
      <w:r>
        <w:rPr>
          <w:rFonts w:cs="Arial"/>
        </w:rPr>
        <w:t xml:space="preserve">The data used to calculate 2018/19 budgets would be different from the data used to model the funding options, and therefore the actual funding would be different from the illustrative amounts shown in the models.  However, </w:t>
      </w:r>
      <w:r w:rsidR="00F551EF">
        <w:rPr>
          <w:rFonts w:cs="Arial"/>
        </w:rPr>
        <w:t>the</w:t>
      </w:r>
      <w:r>
        <w:rPr>
          <w:rFonts w:cs="Arial"/>
        </w:rPr>
        <w:t xml:space="preserve"> same broad principles, set out in this report, </w:t>
      </w:r>
      <w:r w:rsidR="00F551EF">
        <w:rPr>
          <w:rFonts w:cs="Arial"/>
        </w:rPr>
        <w:t xml:space="preserve">would be applied </w:t>
      </w:r>
      <w:r>
        <w:rPr>
          <w:rFonts w:cs="Arial"/>
        </w:rPr>
        <w:t xml:space="preserve">for calculating the actual budgets </w:t>
      </w:r>
      <w:r w:rsidR="00F551EF">
        <w:rPr>
          <w:rFonts w:cs="Arial"/>
        </w:rPr>
        <w:t xml:space="preserve">for 2018/19.  </w:t>
      </w:r>
    </w:p>
    <w:p w:rsidR="00DA5F21" w:rsidRDefault="00DA5F21" w:rsidP="00DA5F21">
      <w:pPr>
        <w:pStyle w:val="ListParagraph"/>
        <w:rPr>
          <w:rFonts w:cs="Arial"/>
        </w:rPr>
      </w:pPr>
    </w:p>
    <w:p w:rsidR="00560DBE" w:rsidRPr="0059798C" w:rsidRDefault="00560DBE" w:rsidP="00560DBE">
      <w:pPr>
        <w:pStyle w:val="ListParagraph"/>
        <w:numPr>
          <w:ilvl w:val="0"/>
          <w:numId w:val="23"/>
        </w:numPr>
        <w:ind w:left="709" w:hanging="709"/>
        <w:rPr>
          <w:rFonts w:cs="Arial"/>
          <w:b/>
        </w:rPr>
      </w:pPr>
      <w:r w:rsidRPr="0059798C">
        <w:rPr>
          <w:rFonts w:cs="Arial"/>
          <w:b/>
        </w:rPr>
        <w:t xml:space="preserve">Formula Funding Factors </w:t>
      </w:r>
    </w:p>
    <w:p w:rsidR="00560DBE" w:rsidRPr="0059798C" w:rsidRDefault="00560DBE" w:rsidP="00560DBE">
      <w:pPr>
        <w:jc w:val="both"/>
        <w:rPr>
          <w:rFonts w:cs="Arial"/>
        </w:rPr>
      </w:pPr>
    </w:p>
    <w:p w:rsidR="001B20F6" w:rsidRPr="0059798C" w:rsidRDefault="00C060CB" w:rsidP="00C060CB">
      <w:pPr>
        <w:pStyle w:val="ListParagraph"/>
        <w:numPr>
          <w:ilvl w:val="1"/>
          <w:numId w:val="23"/>
        </w:numPr>
        <w:ind w:left="709" w:hanging="709"/>
        <w:jc w:val="both"/>
        <w:rPr>
          <w:rFonts w:cs="Arial"/>
        </w:rPr>
      </w:pPr>
      <w:r w:rsidRPr="0059798C">
        <w:rPr>
          <w:rFonts w:cs="Arial"/>
        </w:rPr>
        <w:t xml:space="preserve">The options have been modelled on NFF rates uplifted for </w:t>
      </w:r>
      <w:r w:rsidR="00E057D9">
        <w:rPr>
          <w:rFonts w:cs="Arial"/>
        </w:rPr>
        <w:t>Area Cost Adjustment (</w:t>
      </w:r>
      <w:r w:rsidRPr="0059798C">
        <w:rPr>
          <w:rFonts w:cs="Arial"/>
        </w:rPr>
        <w:t>ACA</w:t>
      </w:r>
      <w:r w:rsidR="00E057D9">
        <w:rPr>
          <w:rFonts w:cs="Arial"/>
        </w:rPr>
        <w:t>)</w:t>
      </w:r>
      <w:r w:rsidRPr="0059798C">
        <w:rPr>
          <w:rFonts w:cs="Arial"/>
        </w:rPr>
        <w:t xml:space="preserve"> for AWPU, deprivation, low prior attainment, English as an Additional Language.  The changes in APWU, largely account for the movement in funding between the primary and secondary phases.  </w:t>
      </w:r>
    </w:p>
    <w:p w:rsidR="001B20F6" w:rsidRPr="0059798C" w:rsidRDefault="001B20F6" w:rsidP="001B20F6">
      <w:pPr>
        <w:pStyle w:val="ListParagraph"/>
        <w:ind w:left="709"/>
        <w:jc w:val="both"/>
        <w:rPr>
          <w:rFonts w:cs="Arial"/>
        </w:rPr>
      </w:pPr>
    </w:p>
    <w:p w:rsidR="001B20F6" w:rsidRPr="0059798C" w:rsidRDefault="00C060CB" w:rsidP="00C060CB">
      <w:pPr>
        <w:pStyle w:val="ListParagraph"/>
        <w:numPr>
          <w:ilvl w:val="1"/>
          <w:numId w:val="23"/>
        </w:numPr>
        <w:ind w:left="709" w:hanging="709"/>
        <w:jc w:val="both"/>
        <w:rPr>
          <w:rFonts w:cs="Arial"/>
        </w:rPr>
      </w:pPr>
      <w:r w:rsidRPr="0059798C">
        <w:rPr>
          <w:rFonts w:cs="Arial"/>
        </w:rPr>
        <w:t>Under the NFF, the reduction in Primary AWPU is just over 20% compare</w:t>
      </w:r>
      <w:r w:rsidR="001B20F6" w:rsidRPr="0059798C">
        <w:rPr>
          <w:rFonts w:cs="Arial"/>
        </w:rPr>
        <w:t>d to 7% for KS3 and 12% for KS4 compared to 2017/18 rates.</w:t>
      </w:r>
      <w:r w:rsidRPr="0059798C">
        <w:rPr>
          <w:rFonts w:cs="Arial"/>
        </w:rPr>
        <w:t xml:space="preserve">  To model the different options, the AWPU rates have been flexed to achieve the target </w:t>
      </w:r>
      <w:r w:rsidR="001B20F6" w:rsidRPr="0059798C">
        <w:rPr>
          <w:rFonts w:cs="Arial"/>
        </w:rPr>
        <w:t>primary secondary ratios</w:t>
      </w:r>
      <w:r w:rsidRPr="0059798C">
        <w:rPr>
          <w:rFonts w:cs="Arial"/>
        </w:rPr>
        <w:t xml:space="preserve">.  </w:t>
      </w:r>
      <w:r w:rsidR="001B20F6" w:rsidRPr="0059798C">
        <w:rPr>
          <w:rFonts w:cs="Arial"/>
        </w:rPr>
        <w:t>The different rates used in the fundi</w:t>
      </w:r>
      <w:r w:rsidR="00FE34F3">
        <w:rPr>
          <w:rFonts w:cs="Arial"/>
        </w:rPr>
        <w:t>ng models are set out in table 3</w:t>
      </w:r>
      <w:r w:rsidR="001B20F6" w:rsidRPr="0059798C">
        <w:rPr>
          <w:rFonts w:cs="Arial"/>
        </w:rPr>
        <w:t xml:space="preserve"> below. </w:t>
      </w:r>
    </w:p>
    <w:p w:rsidR="001B20F6" w:rsidRPr="0059798C" w:rsidRDefault="001B20F6">
      <w:pPr>
        <w:rPr>
          <w:rFonts w:cs="Arial"/>
        </w:rPr>
      </w:pPr>
    </w:p>
    <w:p w:rsidR="00876C3D" w:rsidRDefault="00876C3D">
      <w:pPr>
        <w:rPr>
          <w:rFonts w:cs="Arial"/>
          <w:b/>
        </w:rPr>
      </w:pPr>
      <w:r>
        <w:rPr>
          <w:rFonts w:cs="Arial"/>
          <w:b/>
        </w:rPr>
        <w:br w:type="page"/>
      </w:r>
    </w:p>
    <w:p w:rsidR="00045F76" w:rsidRDefault="00FE34F3" w:rsidP="00045F76">
      <w:pPr>
        <w:pStyle w:val="ListParagraph"/>
        <w:rPr>
          <w:rFonts w:cs="Arial"/>
          <w:b/>
        </w:rPr>
      </w:pPr>
      <w:r>
        <w:rPr>
          <w:rFonts w:cs="Arial"/>
          <w:b/>
        </w:rPr>
        <w:t>Table 3</w:t>
      </w:r>
      <w:r w:rsidR="00045F76" w:rsidRPr="00045F76">
        <w:rPr>
          <w:rFonts w:cs="Arial"/>
          <w:b/>
        </w:rPr>
        <w:t>: AWPU rates under different options</w:t>
      </w:r>
      <w:r w:rsidR="00876C3D">
        <w:rPr>
          <w:rFonts w:cs="Arial"/>
          <w:b/>
        </w:rPr>
        <w:t xml:space="preserve"> (includes ACA)</w:t>
      </w:r>
    </w:p>
    <w:p w:rsidR="00876C3D" w:rsidRPr="00045F76" w:rsidRDefault="00876C3D" w:rsidP="00045F76">
      <w:pPr>
        <w:pStyle w:val="ListParagraph"/>
        <w:rPr>
          <w:rFonts w:cs="Arial"/>
          <w:b/>
        </w:rPr>
      </w:pPr>
    </w:p>
    <w:p w:rsidR="00C060CB" w:rsidRDefault="000F7DDF" w:rsidP="00C060CB">
      <w:pPr>
        <w:pStyle w:val="ListParagraph"/>
        <w:rPr>
          <w:rFonts w:cs="Arial"/>
        </w:rPr>
      </w:pPr>
      <w:r w:rsidRPr="000F7DDF">
        <w:rPr>
          <w:noProof/>
        </w:rPr>
        <w:drawing>
          <wp:inline distT="0" distB="0" distL="0" distR="0">
            <wp:extent cx="5600700" cy="14224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0700" cy="1422400"/>
                    </a:xfrm>
                    <a:prstGeom prst="rect">
                      <a:avLst/>
                    </a:prstGeom>
                    <a:noFill/>
                    <a:ln>
                      <a:noFill/>
                    </a:ln>
                  </pic:spPr>
                </pic:pic>
              </a:graphicData>
            </a:graphic>
          </wp:inline>
        </w:drawing>
      </w:r>
    </w:p>
    <w:p w:rsidR="00045F76" w:rsidRDefault="00045F76" w:rsidP="00C060CB">
      <w:pPr>
        <w:pStyle w:val="ListParagraph"/>
        <w:rPr>
          <w:rFonts w:cs="Arial"/>
        </w:rPr>
      </w:pPr>
    </w:p>
    <w:p w:rsidR="001B20F6" w:rsidRPr="00F41848" w:rsidRDefault="001B20F6" w:rsidP="00F41848">
      <w:pPr>
        <w:rPr>
          <w:rFonts w:cs="Arial"/>
        </w:rPr>
      </w:pPr>
    </w:p>
    <w:p w:rsidR="001B20F6" w:rsidRDefault="001B20F6" w:rsidP="001B20F6">
      <w:pPr>
        <w:pStyle w:val="ListParagraph"/>
        <w:numPr>
          <w:ilvl w:val="1"/>
          <w:numId w:val="23"/>
        </w:numPr>
        <w:ind w:left="709" w:hanging="709"/>
        <w:jc w:val="both"/>
        <w:rPr>
          <w:rFonts w:cs="Arial"/>
        </w:rPr>
      </w:pPr>
      <w:r w:rsidRPr="0059798C">
        <w:rPr>
          <w:rFonts w:cs="Arial"/>
        </w:rPr>
        <w:t xml:space="preserve">The total funding that would be passing though the AWPU rates under the different </w:t>
      </w:r>
      <w:r w:rsidR="00555B03">
        <w:rPr>
          <w:rFonts w:cs="Arial"/>
        </w:rPr>
        <w:t>ratios</w:t>
      </w:r>
      <w:r w:rsidR="004B7C9F">
        <w:rPr>
          <w:rFonts w:cs="Arial"/>
        </w:rPr>
        <w:t xml:space="preserve"> are shown under Table 4</w:t>
      </w:r>
      <w:r w:rsidRPr="0059798C">
        <w:rPr>
          <w:rFonts w:cs="Arial"/>
        </w:rPr>
        <w:t xml:space="preserve">. </w:t>
      </w:r>
      <w:r w:rsidR="009007FC" w:rsidRPr="0059798C">
        <w:rPr>
          <w:rFonts w:cs="Arial"/>
        </w:rPr>
        <w:t xml:space="preserve">  Under the full NFF, there are reductions of £19,757K (20%) in primary the AWPU, £3,159K (9%) in KS3, and £2,771K in KS4 (11%) compared to 2017/18 quantum.</w:t>
      </w:r>
    </w:p>
    <w:p w:rsidR="00F41848" w:rsidRDefault="00F41848" w:rsidP="00F41848">
      <w:pPr>
        <w:jc w:val="both"/>
        <w:rPr>
          <w:rFonts w:cs="Arial"/>
        </w:rPr>
      </w:pPr>
    </w:p>
    <w:p w:rsidR="00F41848" w:rsidRPr="00F41848" w:rsidRDefault="004B7C9F" w:rsidP="00F41848">
      <w:pPr>
        <w:pStyle w:val="ListParagraph"/>
        <w:rPr>
          <w:rFonts w:cs="Arial"/>
          <w:b/>
        </w:rPr>
      </w:pPr>
      <w:r>
        <w:rPr>
          <w:rFonts w:cs="Arial"/>
          <w:b/>
        </w:rPr>
        <w:t>Table 4</w:t>
      </w:r>
      <w:r w:rsidR="00F41848" w:rsidRPr="00F41848">
        <w:rPr>
          <w:rFonts w:cs="Arial"/>
          <w:b/>
        </w:rPr>
        <w:t>: Funding passing through AWPU under different options (in £’000s)</w:t>
      </w:r>
    </w:p>
    <w:p w:rsidR="00F41848" w:rsidRPr="00F41848" w:rsidRDefault="00F41848" w:rsidP="00F41848">
      <w:pPr>
        <w:jc w:val="both"/>
        <w:rPr>
          <w:rFonts w:cs="Arial"/>
        </w:rPr>
      </w:pPr>
    </w:p>
    <w:p w:rsidR="00F41848" w:rsidRDefault="00F41848" w:rsidP="00C060CB">
      <w:pPr>
        <w:pStyle w:val="ListParagraph"/>
        <w:rPr>
          <w:rFonts w:cs="Arial"/>
        </w:rPr>
      </w:pPr>
      <w:r w:rsidRPr="00F41848">
        <w:rPr>
          <w:noProof/>
        </w:rPr>
        <w:drawing>
          <wp:inline distT="0" distB="0" distL="0" distR="0">
            <wp:extent cx="5600700" cy="1428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0700" cy="1428750"/>
                    </a:xfrm>
                    <a:prstGeom prst="rect">
                      <a:avLst/>
                    </a:prstGeom>
                    <a:noFill/>
                    <a:ln>
                      <a:noFill/>
                    </a:ln>
                  </pic:spPr>
                </pic:pic>
              </a:graphicData>
            </a:graphic>
          </wp:inline>
        </w:drawing>
      </w:r>
    </w:p>
    <w:p w:rsidR="00F41848" w:rsidRDefault="00F41848" w:rsidP="00C060CB">
      <w:pPr>
        <w:pStyle w:val="ListParagraph"/>
        <w:rPr>
          <w:rFonts w:cs="Arial"/>
        </w:rPr>
      </w:pPr>
    </w:p>
    <w:p w:rsidR="00C060CB" w:rsidRPr="0059798C" w:rsidRDefault="00C060CB" w:rsidP="00C060CB">
      <w:pPr>
        <w:pStyle w:val="ListParagraph"/>
        <w:ind w:left="1430"/>
        <w:jc w:val="both"/>
        <w:rPr>
          <w:rFonts w:cs="Arial"/>
          <w:b/>
        </w:rPr>
      </w:pPr>
    </w:p>
    <w:p w:rsidR="00C060CB" w:rsidRPr="0059798C" w:rsidRDefault="009007FC" w:rsidP="00C060CB">
      <w:pPr>
        <w:pStyle w:val="ListParagraph"/>
        <w:numPr>
          <w:ilvl w:val="1"/>
          <w:numId w:val="23"/>
        </w:numPr>
        <w:ind w:left="709" w:hanging="709"/>
        <w:jc w:val="both"/>
        <w:rPr>
          <w:rFonts w:cs="Arial"/>
          <w:b/>
        </w:rPr>
      </w:pPr>
      <w:r w:rsidRPr="0059798C">
        <w:rPr>
          <w:rFonts w:cs="Arial"/>
        </w:rPr>
        <w:t xml:space="preserve">Detailed </w:t>
      </w:r>
      <w:r w:rsidR="00C060CB" w:rsidRPr="0059798C">
        <w:rPr>
          <w:rFonts w:cs="Arial"/>
        </w:rPr>
        <w:t xml:space="preserve">illustrative quantum values and percentages of funding passing through the </w:t>
      </w:r>
      <w:r w:rsidRPr="0059798C">
        <w:rPr>
          <w:rFonts w:cs="Arial"/>
        </w:rPr>
        <w:t xml:space="preserve">different </w:t>
      </w:r>
      <w:r w:rsidR="00C060CB" w:rsidRPr="0059798C">
        <w:rPr>
          <w:rFonts w:cs="Arial"/>
        </w:rPr>
        <w:t xml:space="preserve">factors are set out in </w:t>
      </w:r>
      <w:r w:rsidR="00822D93">
        <w:rPr>
          <w:rFonts w:cs="Arial"/>
          <w:b/>
        </w:rPr>
        <w:t>Appendix 3</w:t>
      </w:r>
      <w:r w:rsidR="00DA5F21" w:rsidRPr="0059798C">
        <w:rPr>
          <w:rFonts w:cs="Arial"/>
          <w:b/>
        </w:rPr>
        <w:t>.</w:t>
      </w:r>
    </w:p>
    <w:p w:rsidR="00C060CB" w:rsidRPr="0059798C" w:rsidRDefault="00C060CB" w:rsidP="00DA5F21">
      <w:pPr>
        <w:pStyle w:val="ListParagraph"/>
        <w:ind w:left="709"/>
        <w:jc w:val="both"/>
        <w:rPr>
          <w:rFonts w:cs="Arial"/>
        </w:rPr>
      </w:pPr>
    </w:p>
    <w:p w:rsidR="009007FC" w:rsidRPr="0059798C" w:rsidRDefault="0088637C" w:rsidP="00C060CB">
      <w:pPr>
        <w:pStyle w:val="ListParagraph"/>
        <w:numPr>
          <w:ilvl w:val="1"/>
          <w:numId w:val="23"/>
        </w:numPr>
        <w:ind w:left="709" w:hanging="709"/>
        <w:jc w:val="both"/>
        <w:rPr>
          <w:rFonts w:cs="Arial"/>
        </w:rPr>
      </w:pPr>
      <w:r w:rsidRPr="0059798C">
        <w:rPr>
          <w:rFonts w:cs="Arial"/>
        </w:rPr>
        <w:t>The f</w:t>
      </w:r>
      <w:r w:rsidR="009007FC" w:rsidRPr="0059798C">
        <w:rPr>
          <w:rFonts w:cs="Arial"/>
        </w:rPr>
        <w:t xml:space="preserve">unding </w:t>
      </w:r>
      <w:r w:rsidRPr="0059798C">
        <w:rPr>
          <w:rFonts w:cs="Arial"/>
        </w:rPr>
        <w:t xml:space="preserve">for </w:t>
      </w:r>
      <w:r w:rsidR="009007FC" w:rsidRPr="0059798C">
        <w:rPr>
          <w:rFonts w:cs="Arial"/>
        </w:rPr>
        <w:t xml:space="preserve">Looked After </w:t>
      </w:r>
      <w:r w:rsidRPr="0059798C">
        <w:rPr>
          <w:rFonts w:cs="Arial"/>
        </w:rPr>
        <w:t xml:space="preserve">Children (LAC) has been transferred out of the DSG into the Pupil Premium Plus by the Department for Education (DfE). To reflect this change, in the funding model LAC factor has been removed.  </w:t>
      </w:r>
    </w:p>
    <w:p w:rsidR="009007FC" w:rsidRPr="0059798C" w:rsidRDefault="009007FC" w:rsidP="009007FC">
      <w:pPr>
        <w:pStyle w:val="ListParagraph"/>
        <w:rPr>
          <w:rFonts w:cs="Arial"/>
        </w:rPr>
      </w:pPr>
    </w:p>
    <w:p w:rsidR="00560DBE" w:rsidRPr="0059798C" w:rsidRDefault="00560DBE" w:rsidP="00C060CB">
      <w:pPr>
        <w:pStyle w:val="ListParagraph"/>
        <w:numPr>
          <w:ilvl w:val="1"/>
          <w:numId w:val="23"/>
        </w:numPr>
        <w:ind w:left="709" w:hanging="709"/>
        <w:jc w:val="both"/>
        <w:rPr>
          <w:rFonts w:cs="Arial"/>
        </w:rPr>
      </w:pPr>
      <w:r w:rsidRPr="0059798C">
        <w:rPr>
          <w:rFonts w:cs="Arial"/>
        </w:rPr>
        <w:t>The 2018/19 funding for split sites, rates and PFI will be based</w:t>
      </w:r>
      <w:r w:rsidR="00D40DCB" w:rsidRPr="0059798C">
        <w:rPr>
          <w:rFonts w:cs="Arial"/>
        </w:rPr>
        <w:t xml:space="preserve"> </w:t>
      </w:r>
      <w:r w:rsidR="004B7C9F">
        <w:rPr>
          <w:rFonts w:cs="Arial"/>
        </w:rPr>
        <w:t xml:space="preserve">on </w:t>
      </w:r>
      <w:r w:rsidR="0088637C" w:rsidRPr="0059798C">
        <w:rPr>
          <w:rFonts w:cs="Arial"/>
        </w:rPr>
        <w:t xml:space="preserve">the </w:t>
      </w:r>
      <w:r w:rsidRPr="0059798C">
        <w:rPr>
          <w:rFonts w:cs="Arial"/>
        </w:rPr>
        <w:t xml:space="preserve">local </w:t>
      </w:r>
      <w:r w:rsidR="0088637C" w:rsidRPr="0059798C">
        <w:rPr>
          <w:rFonts w:cs="Arial"/>
        </w:rPr>
        <w:t>authority’s</w:t>
      </w:r>
      <w:r w:rsidRPr="0059798C">
        <w:rPr>
          <w:rFonts w:cs="Arial"/>
        </w:rPr>
        <w:t xml:space="preserve"> </w:t>
      </w:r>
      <w:r w:rsidR="0088637C" w:rsidRPr="0059798C">
        <w:rPr>
          <w:rFonts w:cs="Arial"/>
        </w:rPr>
        <w:t xml:space="preserve">planned </w:t>
      </w:r>
      <w:r w:rsidRPr="0059798C">
        <w:rPr>
          <w:rFonts w:cs="Arial"/>
        </w:rPr>
        <w:t>spend in 2017/18.   There are no prescribed rates for split sites under the national funding formula</w:t>
      </w:r>
      <w:r w:rsidR="00DA5F21" w:rsidRPr="0059798C">
        <w:rPr>
          <w:rFonts w:cs="Arial"/>
        </w:rPr>
        <w:t xml:space="preserve">. </w:t>
      </w:r>
      <w:r w:rsidRPr="0059798C">
        <w:rPr>
          <w:rFonts w:cs="Arial"/>
        </w:rPr>
        <w:t>The proposed funding model</w:t>
      </w:r>
      <w:r w:rsidR="00DA5F21" w:rsidRPr="0059798C">
        <w:rPr>
          <w:rFonts w:cs="Arial"/>
        </w:rPr>
        <w:t>s</w:t>
      </w:r>
      <w:r w:rsidR="0075109D" w:rsidRPr="0059798C">
        <w:rPr>
          <w:rFonts w:cs="Arial"/>
        </w:rPr>
        <w:t xml:space="preserve"> </w:t>
      </w:r>
      <w:r w:rsidRPr="0059798C">
        <w:rPr>
          <w:rFonts w:cs="Arial"/>
        </w:rPr>
        <w:t>assumes that, primary schools with split sites will continue to receive £160k and secondary schools £200K.  The criteria for split sites to remain</w:t>
      </w:r>
      <w:r w:rsidR="0088637C" w:rsidRPr="0059798C">
        <w:rPr>
          <w:rFonts w:cs="Arial"/>
        </w:rPr>
        <w:t>s</w:t>
      </w:r>
      <w:r w:rsidRPr="0059798C">
        <w:rPr>
          <w:rFonts w:cs="Arial"/>
        </w:rPr>
        <w:t xml:space="preserve"> unchanged.</w:t>
      </w:r>
    </w:p>
    <w:p w:rsidR="00560DBE" w:rsidRPr="0059798C" w:rsidRDefault="00560DBE" w:rsidP="00DA5F21">
      <w:pPr>
        <w:pStyle w:val="ListParagraph"/>
        <w:ind w:left="846"/>
        <w:jc w:val="both"/>
        <w:rPr>
          <w:rFonts w:cs="Arial"/>
        </w:rPr>
      </w:pPr>
    </w:p>
    <w:p w:rsidR="0075109D" w:rsidRPr="0059798C" w:rsidRDefault="006E53E9" w:rsidP="008658AB">
      <w:pPr>
        <w:pStyle w:val="ListParagraph"/>
        <w:numPr>
          <w:ilvl w:val="1"/>
          <w:numId w:val="23"/>
        </w:numPr>
        <w:ind w:left="709" w:hanging="709"/>
        <w:jc w:val="both"/>
        <w:rPr>
          <w:rFonts w:cs="Arial"/>
          <w:b/>
        </w:rPr>
      </w:pPr>
      <w:r w:rsidRPr="0059798C">
        <w:rPr>
          <w:rFonts w:cs="Arial"/>
        </w:rPr>
        <w:t xml:space="preserve">At a national level, there is no robust data to allocate </w:t>
      </w:r>
      <w:r w:rsidR="0075109D" w:rsidRPr="0059798C">
        <w:rPr>
          <w:rFonts w:cs="Arial"/>
        </w:rPr>
        <w:t xml:space="preserve">mobility </w:t>
      </w:r>
      <w:r w:rsidRPr="0059798C">
        <w:rPr>
          <w:rFonts w:cs="Arial"/>
        </w:rPr>
        <w:t>funding on a formulaic basis</w:t>
      </w:r>
      <w:r w:rsidR="0088637C" w:rsidRPr="0059798C">
        <w:rPr>
          <w:rFonts w:cs="Arial"/>
        </w:rPr>
        <w:t>.  T</w:t>
      </w:r>
      <w:r w:rsidRPr="0059798C">
        <w:rPr>
          <w:rFonts w:cs="Arial"/>
        </w:rPr>
        <w:t>herefore</w:t>
      </w:r>
      <w:r w:rsidR="0088637C" w:rsidRPr="0059798C">
        <w:rPr>
          <w:rFonts w:cs="Arial"/>
        </w:rPr>
        <w:t>,</w:t>
      </w:r>
      <w:r w:rsidRPr="0059798C">
        <w:rPr>
          <w:rFonts w:cs="Arial"/>
        </w:rPr>
        <w:t xml:space="preserve"> local authorities have been allocated funding on a historic basis. </w:t>
      </w:r>
      <w:r w:rsidR="0088637C" w:rsidRPr="0059798C">
        <w:rPr>
          <w:rFonts w:cs="Arial"/>
        </w:rPr>
        <w:t>In the local funding models,</w:t>
      </w:r>
      <w:r w:rsidRPr="0059798C">
        <w:rPr>
          <w:rFonts w:cs="Arial"/>
        </w:rPr>
        <w:t xml:space="preserve"> </w:t>
      </w:r>
      <w:r w:rsidR="0088637C" w:rsidRPr="0059798C">
        <w:rPr>
          <w:rFonts w:cs="Arial"/>
        </w:rPr>
        <w:t>mobility</w:t>
      </w:r>
      <w:r w:rsidRPr="0059798C">
        <w:rPr>
          <w:rFonts w:cs="Arial"/>
        </w:rPr>
        <w:t xml:space="preserve"> rates have been adjusted to maintain the existing </w:t>
      </w:r>
      <w:r w:rsidR="008C4807" w:rsidRPr="0059798C">
        <w:rPr>
          <w:rFonts w:cs="Arial"/>
        </w:rPr>
        <w:t>quantum</w:t>
      </w:r>
      <w:r w:rsidRPr="0059798C">
        <w:rPr>
          <w:rFonts w:cs="Arial"/>
        </w:rPr>
        <w:t xml:space="preserve">.  </w:t>
      </w:r>
    </w:p>
    <w:p w:rsidR="0075109D" w:rsidRPr="0059798C" w:rsidRDefault="0075109D" w:rsidP="0075109D">
      <w:pPr>
        <w:pStyle w:val="ListParagraph"/>
        <w:rPr>
          <w:rFonts w:cs="Arial"/>
        </w:rPr>
      </w:pPr>
    </w:p>
    <w:p w:rsidR="00C060CB" w:rsidRPr="0059798C" w:rsidRDefault="008C4807" w:rsidP="008658AB">
      <w:pPr>
        <w:pStyle w:val="ListParagraph"/>
        <w:numPr>
          <w:ilvl w:val="1"/>
          <w:numId w:val="23"/>
        </w:numPr>
        <w:ind w:left="709" w:hanging="709"/>
        <w:jc w:val="both"/>
        <w:rPr>
          <w:rFonts w:cs="Arial"/>
          <w:b/>
        </w:rPr>
      </w:pPr>
      <w:r w:rsidRPr="0059798C">
        <w:rPr>
          <w:rFonts w:cs="Arial"/>
        </w:rPr>
        <w:t>To</w:t>
      </w:r>
      <w:r w:rsidR="0075109D" w:rsidRPr="0059798C">
        <w:rPr>
          <w:rFonts w:cs="Arial"/>
        </w:rPr>
        <w:t xml:space="preserve"> enable year on year comparisons, </w:t>
      </w:r>
      <w:r w:rsidRPr="0059798C">
        <w:rPr>
          <w:rFonts w:cs="Arial"/>
        </w:rPr>
        <w:t xml:space="preserve">uplifts have not been applied to </w:t>
      </w:r>
      <w:r w:rsidR="004B7C9F">
        <w:rPr>
          <w:rFonts w:cs="Arial"/>
        </w:rPr>
        <w:t>rates</w:t>
      </w:r>
      <w:r w:rsidR="0075109D" w:rsidRPr="0059798C">
        <w:rPr>
          <w:rFonts w:cs="Arial"/>
        </w:rPr>
        <w:t xml:space="preserve"> and PFI in the </w:t>
      </w:r>
      <w:r w:rsidRPr="0059798C">
        <w:rPr>
          <w:rFonts w:cs="Arial"/>
        </w:rPr>
        <w:t xml:space="preserve">funding </w:t>
      </w:r>
      <w:r w:rsidR="0075109D" w:rsidRPr="0059798C">
        <w:rPr>
          <w:rFonts w:cs="Arial"/>
        </w:rPr>
        <w:t>model</w:t>
      </w:r>
      <w:r w:rsidR="004B7C9F">
        <w:rPr>
          <w:rFonts w:cs="Arial"/>
        </w:rPr>
        <w:t>s</w:t>
      </w:r>
      <w:r w:rsidR="0075109D" w:rsidRPr="0059798C">
        <w:rPr>
          <w:rFonts w:cs="Arial"/>
        </w:rPr>
        <w:t>.  However, budgetary provisions have been set aside for these to be built into the final funding model</w:t>
      </w:r>
      <w:r w:rsidRPr="0059798C">
        <w:rPr>
          <w:rFonts w:cs="Arial"/>
        </w:rPr>
        <w:t xml:space="preserve"> to be submitted to the DfE</w:t>
      </w:r>
      <w:r w:rsidR="0075109D" w:rsidRPr="0059798C">
        <w:rPr>
          <w:rFonts w:cs="Arial"/>
        </w:rPr>
        <w:t xml:space="preserve">. Business rates </w:t>
      </w:r>
      <w:r w:rsidR="00C060CB" w:rsidRPr="0059798C">
        <w:rPr>
          <w:rFonts w:cs="Arial"/>
        </w:rPr>
        <w:t>will be allocated on estimated liability for 2018/19 plus adjustment</w:t>
      </w:r>
      <w:r w:rsidRPr="0059798C">
        <w:rPr>
          <w:rFonts w:cs="Arial"/>
        </w:rPr>
        <w:t>s</w:t>
      </w:r>
      <w:r w:rsidR="00C060CB" w:rsidRPr="0059798C">
        <w:rPr>
          <w:rFonts w:cs="Arial"/>
        </w:rPr>
        <w:t xml:space="preserve"> for </w:t>
      </w:r>
      <w:r w:rsidRPr="0059798C">
        <w:rPr>
          <w:rFonts w:cs="Arial"/>
        </w:rPr>
        <w:t>any</w:t>
      </w:r>
      <w:r w:rsidR="00C060CB" w:rsidRPr="0059798C">
        <w:rPr>
          <w:rFonts w:cs="Arial"/>
        </w:rPr>
        <w:t xml:space="preserve"> difference between 2017/18 allocation</w:t>
      </w:r>
      <w:r w:rsidRPr="0059798C">
        <w:rPr>
          <w:rFonts w:cs="Arial"/>
        </w:rPr>
        <w:t>s</w:t>
      </w:r>
      <w:r w:rsidR="00C060CB" w:rsidRPr="0059798C">
        <w:rPr>
          <w:rFonts w:cs="Arial"/>
        </w:rPr>
        <w:t xml:space="preserve"> and actual liabilit</w:t>
      </w:r>
      <w:r w:rsidRPr="0059798C">
        <w:rPr>
          <w:rFonts w:cs="Arial"/>
        </w:rPr>
        <w:t>ies</w:t>
      </w:r>
      <w:r w:rsidR="00C060CB" w:rsidRPr="0059798C">
        <w:rPr>
          <w:rFonts w:cs="Arial"/>
        </w:rPr>
        <w:t xml:space="preserve">.  </w:t>
      </w:r>
    </w:p>
    <w:p w:rsidR="00165EB3" w:rsidRPr="0059798C" w:rsidRDefault="00165EB3" w:rsidP="00165EB3">
      <w:pPr>
        <w:pStyle w:val="ListParagraph"/>
        <w:rPr>
          <w:rFonts w:cs="Arial"/>
          <w:b/>
        </w:rPr>
      </w:pPr>
    </w:p>
    <w:p w:rsidR="00165EB3" w:rsidRPr="0059798C" w:rsidRDefault="00165EB3" w:rsidP="00F61B71">
      <w:pPr>
        <w:pStyle w:val="ListParagraph"/>
        <w:numPr>
          <w:ilvl w:val="0"/>
          <w:numId w:val="24"/>
        </w:numPr>
        <w:pBdr>
          <w:top w:val="single" w:sz="4" w:space="1" w:color="auto"/>
          <w:left w:val="single" w:sz="4" w:space="0" w:color="auto"/>
          <w:bottom w:val="single" w:sz="4" w:space="1" w:color="auto"/>
          <w:right w:val="single" w:sz="4" w:space="4" w:color="auto"/>
        </w:pBdr>
        <w:ind w:left="1134" w:hanging="436"/>
        <w:jc w:val="both"/>
        <w:rPr>
          <w:b/>
        </w:rPr>
      </w:pPr>
      <w:r w:rsidRPr="0059798C">
        <w:rPr>
          <w:rFonts w:cs="Arial"/>
          <w:b/>
        </w:rPr>
        <w:t xml:space="preserve">Decision required – Schools Forum </w:t>
      </w:r>
      <w:r w:rsidR="00583632">
        <w:rPr>
          <w:rFonts w:cs="Arial"/>
          <w:b/>
        </w:rPr>
        <w:t xml:space="preserve">is asked </w:t>
      </w:r>
      <w:r w:rsidRPr="0059798C">
        <w:rPr>
          <w:rFonts w:cs="Arial"/>
          <w:b/>
        </w:rPr>
        <w:t>to agree the funding model option for 2018/19.</w:t>
      </w:r>
    </w:p>
    <w:p w:rsidR="00480057" w:rsidRPr="0059798C" w:rsidRDefault="00480057" w:rsidP="00480057">
      <w:pPr>
        <w:ind w:left="720"/>
        <w:rPr>
          <w:rFonts w:cs="Arial"/>
        </w:rPr>
      </w:pPr>
    </w:p>
    <w:p w:rsidR="005F40E6" w:rsidRPr="0059798C" w:rsidRDefault="005F40E6" w:rsidP="005F40E6">
      <w:pPr>
        <w:pStyle w:val="ListParagraph"/>
        <w:numPr>
          <w:ilvl w:val="0"/>
          <w:numId w:val="23"/>
        </w:numPr>
        <w:ind w:left="709" w:hanging="709"/>
        <w:rPr>
          <w:rFonts w:cs="Arial"/>
          <w:b/>
        </w:rPr>
      </w:pPr>
      <w:r w:rsidRPr="0059798C">
        <w:rPr>
          <w:rFonts w:cs="Arial"/>
          <w:b/>
        </w:rPr>
        <w:t>Growth Fund</w:t>
      </w:r>
    </w:p>
    <w:p w:rsidR="005F40E6" w:rsidRPr="0059798C" w:rsidRDefault="005F40E6" w:rsidP="005F40E6">
      <w:pPr>
        <w:pStyle w:val="ListParagraph"/>
        <w:rPr>
          <w:rFonts w:cs="Arial"/>
        </w:rPr>
      </w:pPr>
    </w:p>
    <w:p w:rsidR="005F40E6" w:rsidRPr="0059798C" w:rsidRDefault="005F40E6" w:rsidP="005F40E6">
      <w:pPr>
        <w:pStyle w:val="ListParagraph"/>
        <w:numPr>
          <w:ilvl w:val="1"/>
          <w:numId w:val="23"/>
        </w:numPr>
        <w:ind w:left="709" w:hanging="709"/>
        <w:jc w:val="both"/>
        <w:rPr>
          <w:rFonts w:cs="Arial"/>
        </w:rPr>
      </w:pPr>
      <w:r w:rsidRPr="0059798C">
        <w:rPr>
          <w:rFonts w:cs="Arial"/>
        </w:rPr>
        <w:t>The demand for school places continue</w:t>
      </w:r>
      <w:r w:rsidR="00D40DCB" w:rsidRPr="0059798C">
        <w:rPr>
          <w:rFonts w:cs="Arial"/>
        </w:rPr>
        <w:t xml:space="preserve">s to </w:t>
      </w:r>
      <w:r w:rsidRPr="0059798C">
        <w:rPr>
          <w:rFonts w:cs="Arial"/>
        </w:rPr>
        <w:t xml:space="preserve">grow, driven </w:t>
      </w:r>
      <w:r w:rsidR="00D40DCB" w:rsidRPr="0059798C">
        <w:rPr>
          <w:rFonts w:cs="Arial"/>
        </w:rPr>
        <w:t xml:space="preserve">by </w:t>
      </w:r>
      <w:r w:rsidRPr="0059798C">
        <w:rPr>
          <w:rFonts w:cs="Arial"/>
        </w:rPr>
        <w:t xml:space="preserve">increases in birth rates and inwards migration / new housing developments.   It is anticipated that 1,470 new places will have to be funded </w:t>
      </w:r>
      <w:r w:rsidR="00391D9D" w:rsidRPr="0059798C">
        <w:rPr>
          <w:rFonts w:cs="Arial"/>
        </w:rPr>
        <w:t>that</w:t>
      </w:r>
      <w:r w:rsidRPr="0059798C">
        <w:rPr>
          <w:rFonts w:cs="Arial"/>
        </w:rPr>
        <w:t xml:space="preserve"> are not on the October 2017 headcount.  </w:t>
      </w:r>
      <w:r w:rsidR="00E45E73" w:rsidRPr="0059798C">
        <w:rPr>
          <w:rFonts w:cs="Arial"/>
        </w:rPr>
        <w:t xml:space="preserve">  Growth consists of new growing schools, schools that are extending the age range, as well </w:t>
      </w:r>
      <w:r w:rsidR="00BE6578" w:rsidRPr="0059798C">
        <w:rPr>
          <w:rFonts w:cs="Arial"/>
        </w:rPr>
        <w:t xml:space="preserve">on-going </w:t>
      </w:r>
      <w:r w:rsidR="00E45E73" w:rsidRPr="0059798C">
        <w:rPr>
          <w:rFonts w:cs="Arial"/>
        </w:rPr>
        <w:t>permanent expansions undertaken at the</w:t>
      </w:r>
      <w:r w:rsidR="00BE6578" w:rsidRPr="0059798C">
        <w:rPr>
          <w:rFonts w:cs="Arial"/>
        </w:rPr>
        <w:t xml:space="preserve"> request of the local authority to </w:t>
      </w:r>
      <w:r w:rsidR="004B7C9F">
        <w:rPr>
          <w:rFonts w:cs="Arial"/>
        </w:rPr>
        <w:t xml:space="preserve">meet </w:t>
      </w:r>
      <w:r w:rsidR="00BE6578" w:rsidRPr="0059798C">
        <w:rPr>
          <w:rFonts w:cs="Arial"/>
        </w:rPr>
        <w:t>basic needs.</w:t>
      </w:r>
      <w:r w:rsidR="00E45E73" w:rsidRPr="0059798C">
        <w:rPr>
          <w:rFonts w:cs="Arial"/>
        </w:rPr>
        <w:t xml:space="preserve">   </w:t>
      </w:r>
    </w:p>
    <w:p w:rsidR="00A10487" w:rsidRDefault="00A10487">
      <w:pPr>
        <w:rPr>
          <w:rFonts w:cs="Arial"/>
        </w:rPr>
      </w:pPr>
    </w:p>
    <w:p w:rsidR="00E45E73" w:rsidRPr="0059798C" w:rsidRDefault="00E45E73" w:rsidP="00E45E73">
      <w:pPr>
        <w:jc w:val="both"/>
        <w:rPr>
          <w:rFonts w:cs="Arial"/>
        </w:rPr>
      </w:pPr>
    </w:p>
    <w:p w:rsidR="00C117B9" w:rsidRPr="00C117B9" w:rsidRDefault="006412B4" w:rsidP="00C117B9">
      <w:pPr>
        <w:ind w:firstLine="709"/>
        <w:jc w:val="both"/>
        <w:rPr>
          <w:rFonts w:cs="Arial"/>
          <w:b/>
        </w:rPr>
      </w:pPr>
      <w:r>
        <w:rPr>
          <w:rFonts w:cs="Arial"/>
          <w:b/>
        </w:rPr>
        <w:t>Table 5</w:t>
      </w:r>
      <w:r w:rsidR="00C117B9" w:rsidRPr="00C117B9">
        <w:rPr>
          <w:rFonts w:cs="Arial"/>
          <w:b/>
        </w:rPr>
        <w:t xml:space="preserve">: Growth fund requirement for 2018/19 </w:t>
      </w:r>
    </w:p>
    <w:p w:rsidR="00C117B9" w:rsidRPr="0059798C" w:rsidRDefault="00C117B9" w:rsidP="00E45E73">
      <w:pPr>
        <w:jc w:val="both"/>
        <w:rPr>
          <w:rFonts w:cs="Arial"/>
        </w:rPr>
      </w:pPr>
    </w:p>
    <w:tbl>
      <w:tblPr>
        <w:tblStyle w:val="TableGrid"/>
        <w:tblW w:w="8912" w:type="dxa"/>
        <w:tblInd w:w="704"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59"/>
        <w:gridCol w:w="1488"/>
        <w:gridCol w:w="1488"/>
        <w:gridCol w:w="1488"/>
        <w:gridCol w:w="1489"/>
      </w:tblGrid>
      <w:tr w:rsidR="009A6E98" w:rsidRPr="000341DE" w:rsidTr="000341DE">
        <w:tc>
          <w:tcPr>
            <w:tcW w:w="2959" w:type="dxa"/>
            <w:shd w:val="clear" w:color="auto" w:fill="FABF8F" w:themeFill="accent6" w:themeFillTint="99"/>
          </w:tcPr>
          <w:p w:rsidR="009A6E98" w:rsidRPr="000341DE" w:rsidRDefault="009A6E98" w:rsidP="00E45E73">
            <w:pPr>
              <w:jc w:val="both"/>
              <w:rPr>
                <w:rFonts w:cs="Arial"/>
                <w:b/>
                <w:sz w:val="22"/>
                <w:szCs w:val="22"/>
              </w:rPr>
            </w:pPr>
            <w:r w:rsidRPr="000341DE">
              <w:rPr>
                <w:rFonts w:cs="Arial"/>
                <w:b/>
                <w:sz w:val="22"/>
                <w:szCs w:val="22"/>
              </w:rPr>
              <w:t>School Type</w:t>
            </w:r>
          </w:p>
        </w:tc>
        <w:tc>
          <w:tcPr>
            <w:tcW w:w="1488" w:type="dxa"/>
            <w:shd w:val="clear" w:color="auto" w:fill="FABF8F" w:themeFill="accent6" w:themeFillTint="99"/>
          </w:tcPr>
          <w:p w:rsidR="009A6E98" w:rsidRPr="000341DE" w:rsidRDefault="009A6E98" w:rsidP="008658AB">
            <w:pPr>
              <w:jc w:val="right"/>
              <w:rPr>
                <w:rFonts w:cs="Arial"/>
                <w:b/>
                <w:sz w:val="22"/>
                <w:szCs w:val="22"/>
              </w:rPr>
            </w:pPr>
            <w:r w:rsidRPr="000341DE">
              <w:rPr>
                <w:rFonts w:cs="Arial"/>
                <w:b/>
                <w:sz w:val="22"/>
                <w:szCs w:val="22"/>
              </w:rPr>
              <w:t>PAN Increase</w:t>
            </w:r>
          </w:p>
        </w:tc>
        <w:tc>
          <w:tcPr>
            <w:tcW w:w="1488" w:type="dxa"/>
            <w:shd w:val="clear" w:color="auto" w:fill="FABF8F" w:themeFill="accent6" w:themeFillTint="99"/>
          </w:tcPr>
          <w:p w:rsidR="009A6E98" w:rsidRPr="000341DE" w:rsidRDefault="009A6E98" w:rsidP="008658AB">
            <w:pPr>
              <w:jc w:val="right"/>
              <w:rPr>
                <w:rFonts w:cs="Arial"/>
                <w:b/>
                <w:sz w:val="22"/>
                <w:szCs w:val="22"/>
              </w:rPr>
            </w:pPr>
            <w:r w:rsidRPr="000341DE">
              <w:rPr>
                <w:rFonts w:cs="Arial"/>
                <w:b/>
                <w:sz w:val="22"/>
                <w:szCs w:val="22"/>
              </w:rPr>
              <w:t>No of Primary Additional Classes</w:t>
            </w:r>
          </w:p>
        </w:tc>
        <w:tc>
          <w:tcPr>
            <w:tcW w:w="1488" w:type="dxa"/>
            <w:shd w:val="clear" w:color="auto" w:fill="FABF8F" w:themeFill="accent6" w:themeFillTint="99"/>
          </w:tcPr>
          <w:p w:rsidR="009A6E98" w:rsidRPr="000341DE" w:rsidRDefault="009A6E98" w:rsidP="008658AB">
            <w:pPr>
              <w:jc w:val="right"/>
              <w:rPr>
                <w:rFonts w:cs="Arial"/>
                <w:b/>
                <w:sz w:val="22"/>
                <w:szCs w:val="22"/>
              </w:rPr>
            </w:pPr>
            <w:r w:rsidRPr="000341DE">
              <w:rPr>
                <w:rFonts w:cs="Arial"/>
                <w:b/>
                <w:sz w:val="22"/>
                <w:szCs w:val="22"/>
              </w:rPr>
              <w:t>No of Secondary</w:t>
            </w:r>
          </w:p>
          <w:p w:rsidR="009A6E98" w:rsidRPr="000341DE" w:rsidRDefault="009A6E98" w:rsidP="008658AB">
            <w:pPr>
              <w:jc w:val="right"/>
              <w:rPr>
                <w:rFonts w:cs="Arial"/>
                <w:b/>
                <w:sz w:val="22"/>
                <w:szCs w:val="22"/>
              </w:rPr>
            </w:pPr>
            <w:r w:rsidRPr="000341DE">
              <w:rPr>
                <w:rFonts w:cs="Arial"/>
                <w:b/>
                <w:sz w:val="22"/>
                <w:szCs w:val="22"/>
              </w:rPr>
              <w:t>Additional Classes</w:t>
            </w:r>
          </w:p>
        </w:tc>
        <w:tc>
          <w:tcPr>
            <w:tcW w:w="1489" w:type="dxa"/>
            <w:shd w:val="clear" w:color="auto" w:fill="FABF8F" w:themeFill="accent6" w:themeFillTint="99"/>
          </w:tcPr>
          <w:p w:rsidR="009A6E98" w:rsidRPr="000341DE" w:rsidRDefault="009A6E98" w:rsidP="008658AB">
            <w:pPr>
              <w:jc w:val="right"/>
              <w:rPr>
                <w:rFonts w:cs="Arial"/>
                <w:b/>
                <w:sz w:val="22"/>
                <w:szCs w:val="22"/>
              </w:rPr>
            </w:pPr>
            <w:r w:rsidRPr="000341DE">
              <w:rPr>
                <w:rFonts w:cs="Arial"/>
                <w:b/>
                <w:sz w:val="22"/>
                <w:szCs w:val="22"/>
              </w:rPr>
              <w:t xml:space="preserve">Growth Fund </w:t>
            </w:r>
          </w:p>
        </w:tc>
      </w:tr>
      <w:tr w:rsidR="009A6E98" w:rsidRPr="0059798C" w:rsidTr="009A6E98">
        <w:tc>
          <w:tcPr>
            <w:tcW w:w="2959" w:type="dxa"/>
          </w:tcPr>
          <w:p w:rsidR="009A6E98" w:rsidRPr="0059798C" w:rsidRDefault="009A6E98" w:rsidP="00E45E73">
            <w:pPr>
              <w:jc w:val="both"/>
              <w:rPr>
                <w:rFonts w:cs="Arial"/>
                <w:sz w:val="22"/>
                <w:szCs w:val="22"/>
              </w:rPr>
            </w:pPr>
            <w:r w:rsidRPr="0059798C">
              <w:rPr>
                <w:rFonts w:cs="Arial"/>
                <w:sz w:val="22"/>
                <w:szCs w:val="22"/>
              </w:rPr>
              <w:t>Primary - LA</w:t>
            </w:r>
          </w:p>
        </w:tc>
        <w:tc>
          <w:tcPr>
            <w:tcW w:w="1488" w:type="dxa"/>
          </w:tcPr>
          <w:p w:rsidR="009A6E98" w:rsidRPr="0059798C" w:rsidRDefault="009A6E98" w:rsidP="008658AB">
            <w:pPr>
              <w:jc w:val="right"/>
              <w:rPr>
                <w:rFonts w:cs="Arial"/>
                <w:sz w:val="22"/>
                <w:szCs w:val="22"/>
              </w:rPr>
            </w:pPr>
            <w:r w:rsidRPr="0059798C">
              <w:rPr>
                <w:rFonts w:cs="Arial"/>
                <w:sz w:val="22"/>
                <w:szCs w:val="22"/>
              </w:rPr>
              <w:t>150</w:t>
            </w:r>
          </w:p>
        </w:tc>
        <w:tc>
          <w:tcPr>
            <w:tcW w:w="1488" w:type="dxa"/>
          </w:tcPr>
          <w:p w:rsidR="009A6E98" w:rsidRPr="0059798C" w:rsidRDefault="00C12735" w:rsidP="008658AB">
            <w:pPr>
              <w:jc w:val="right"/>
              <w:rPr>
                <w:rFonts w:cs="Arial"/>
                <w:sz w:val="22"/>
                <w:szCs w:val="22"/>
              </w:rPr>
            </w:pPr>
            <w:r>
              <w:rPr>
                <w:rFonts w:cs="Arial"/>
                <w:sz w:val="22"/>
                <w:szCs w:val="22"/>
              </w:rPr>
              <w:t>5</w:t>
            </w:r>
          </w:p>
        </w:tc>
        <w:tc>
          <w:tcPr>
            <w:tcW w:w="1488" w:type="dxa"/>
          </w:tcPr>
          <w:p w:rsidR="009A6E98" w:rsidRPr="0059798C" w:rsidRDefault="009A6E98" w:rsidP="008658AB">
            <w:pPr>
              <w:jc w:val="right"/>
              <w:rPr>
                <w:rFonts w:cs="Arial"/>
                <w:sz w:val="22"/>
                <w:szCs w:val="22"/>
              </w:rPr>
            </w:pPr>
            <w:r w:rsidRPr="0059798C">
              <w:rPr>
                <w:rFonts w:cs="Arial"/>
                <w:sz w:val="22"/>
                <w:szCs w:val="22"/>
              </w:rPr>
              <w:t>0</w:t>
            </w:r>
          </w:p>
        </w:tc>
        <w:tc>
          <w:tcPr>
            <w:tcW w:w="1489" w:type="dxa"/>
          </w:tcPr>
          <w:p w:rsidR="009A6E98" w:rsidRPr="0059798C" w:rsidRDefault="009A6E98" w:rsidP="008658AB">
            <w:pPr>
              <w:jc w:val="right"/>
              <w:rPr>
                <w:rFonts w:cs="Arial"/>
                <w:sz w:val="22"/>
                <w:szCs w:val="22"/>
              </w:rPr>
            </w:pPr>
            <w:r w:rsidRPr="0059798C">
              <w:rPr>
                <w:rFonts w:cs="Arial"/>
                <w:sz w:val="22"/>
                <w:szCs w:val="22"/>
              </w:rPr>
              <w:t>290,063</w:t>
            </w:r>
          </w:p>
        </w:tc>
      </w:tr>
      <w:tr w:rsidR="009A6E98" w:rsidRPr="0059798C" w:rsidTr="009A6E98">
        <w:tc>
          <w:tcPr>
            <w:tcW w:w="2959" w:type="dxa"/>
          </w:tcPr>
          <w:p w:rsidR="009A6E98" w:rsidRPr="0059798C" w:rsidRDefault="009A6E98" w:rsidP="00E45E73">
            <w:pPr>
              <w:jc w:val="both"/>
              <w:rPr>
                <w:rFonts w:cs="Arial"/>
                <w:sz w:val="22"/>
                <w:szCs w:val="22"/>
              </w:rPr>
            </w:pPr>
            <w:r w:rsidRPr="0059798C">
              <w:rPr>
                <w:rFonts w:cs="Arial"/>
                <w:sz w:val="22"/>
                <w:szCs w:val="22"/>
              </w:rPr>
              <w:t>Primary - Academies</w:t>
            </w:r>
          </w:p>
        </w:tc>
        <w:tc>
          <w:tcPr>
            <w:tcW w:w="1488" w:type="dxa"/>
          </w:tcPr>
          <w:p w:rsidR="009A6E98" w:rsidRPr="0059798C" w:rsidRDefault="009A6E98" w:rsidP="008658AB">
            <w:pPr>
              <w:jc w:val="right"/>
              <w:rPr>
                <w:rFonts w:cs="Arial"/>
                <w:sz w:val="22"/>
                <w:szCs w:val="22"/>
              </w:rPr>
            </w:pPr>
            <w:r w:rsidRPr="0059798C">
              <w:rPr>
                <w:rFonts w:cs="Arial"/>
                <w:sz w:val="22"/>
                <w:szCs w:val="22"/>
              </w:rPr>
              <w:t>60</w:t>
            </w:r>
          </w:p>
        </w:tc>
        <w:tc>
          <w:tcPr>
            <w:tcW w:w="1488" w:type="dxa"/>
          </w:tcPr>
          <w:p w:rsidR="009A6E98" w:rsidRPr="0059798C" w:rsidRDefault="009A6E98" w:rsidP="008658AB">
            <w:pPr>
              <w:jc w:val="right"/>
              <w:rPr>
                <w:rFonts w:cs="Arial"/>
                <w:sz w:val="22"/>
                <w:szCs w:val="22"/>
              </w:rPr>
            </w:pPr>
            <w:r w:rsidRPr="0059798C">
              <w:rPr>
                <w:rFonts w:cs="Arial"/>
                <w:sz w:val="22"/>
                <w:szCs w:val="22"/>
              </w:rPr>
              <w:t>2</w:t>
            </w:r>
          </w:p>
        </w:tc>
        <w:tc>
          <w:tcPr>
            <w:tcW w:w="1488" w:type="dxa"/>
          </w:tcPr>
          <w:p w:rsidR="009A6E98" w:rsidRPr="0059798C" w:rsidRDefault="009A6E98" w:rsidP="008658AB">
            <w:pPr>
              <w:jc w:val="right"/>
              <w:rPr>
                <w:rFonts w:cs="Arial"/>
                <w:sz w:val="22"/>
                <w:szCs w:val="22"/>
              </w:rPr>
            </w:pPr>
            <w:r w:rsidRPr="0059798C">
              <w:rPr>
                <w:rFonts w:cs="Arial"/>
                <w:sz w:val="22"/>
                <w:szCs w:val="22"/>
              </w:rPr>
              <w:t>0</w:t>
            </w:r>
          </w:p>
        </w:tc>
        <w:tc>
          <w:tcPr>
            <w:tcW w:w="1489" w:type="dxa"/>
          </w:tcPr>
          <w:p w:rsidR="009A6E98" w:rsidRPr="0059798C" w:rsidRDefault="009A6E98" w:rsidP="008658AB">
            <w:pPr>
              <w:jc w:val="right"/>
              <w:rPr>
                <w:rFonts w:cs="Arial"/>
                <w:sz w:val="22"/>
                <w:szCs w:val="22"/>
              </w:rPr>
            </w:pPr>
            <w:r w:rsidRPr="0059798C">
              <w:rPr>
                <w:rFonts w:cs="Arial"/>
                <w:sz w:val="22"/>
                <w:szCs w:val="22"/>
              </w:rPr>
              <w:t>116,025</w:t>
            </w:r>
          </w:p>
        </w:tc>
      </w:tr>
      <w:tr w:rsidR="009A6E98" w:rsidRPr="0059798C" w:rsidTr="009A6E98">
        <w:tc>
          <w:tcPr>
            <w:tcW w:w="2959" w:type="dxa"/>
          </w:tcPr>
          <w:p w:rsidR="009A6E98" w:rsidRPr="0059798C" w:rsidRDefault="009A6E98" w:rsidP="00E45E73">
            <w:pPr>
              <w:jc w:val="both"/>
              <w:rPr>
                <w:rFonts w:cs="Arial"/>
                <w:sz w:val="22"/>
                <w:szCs w:val="22"/>
              </w:rPr>
            </w:pPr>
            <w:r w:rsidRPr="0059798C">
              <w:rPr>
                <w:rFonts w:cs="Arial"/>
                <w:sz w:val="22"/>
                <w:szCs w:val="22"/>
              </w:rPr>
              <w:t>Secondary - LA</w:t>
            </w:r>
          </w:p>
        </w:tc>
        <w:tc>
          <w:tcPr>
            <w:tcW w:w="1488" w:type="dxa"/>
          </w:tcPr>
          <w:p w:rsidR="009A6E98" w:rsidRPr="0059798C" w:rsidRDefault="009A6E98" w:rsidP="008658AB">
            <w:pPr>
              <w:jc w:val="right"/>
              <w:rPr>
                <w:rFonts w:cs="Arial"/>
                <w:sz w:val="22"/>
                <w:szCs w:val="22"/>
              </w:rPr>
            </w:pPr>
            <w:r w:rsidRPr="0059798C">
              <w:rPr>
                <w:rFonts w:cs="Arial"/>
                <w:sz w:val="22"/>
                <w:szCs w:val="22"/>
              </w:rPr>
              <w:t>270</w:t>
            </w:r>
          </w:p>
        </w:tc>
        <w:tc>
          <w:tcPr>
            <w:tcW w:w="1488" w:type="dxa"/>
          </w:tcPr>
          <w:p w:rsidR="009A6E98" w:rsidRPr="0059798C" w:rsidRDefault="009A6E98" w:rsidP="008658AB">
            <w:pPr>
              <w:jc w:val="right"/>
              <w:rPr>
                <w:rFonts w:cs="Arial"/>
                <w:sz w:val="22"/>
                <w:szCs w:val="22"/>
              </w:rPr>
            </w:pPr>
            <w:r w:rsidRPr="0059798C">
              <w:rPr>
                <w:rFonts w:cs="Arial"/>
                <w:sz w:val="22"/>
                <w:szCs w:val="22"/>
              </w:rPr>
              <w:t>0</w:t>
            </w:r>
          </w:p>
        </w:tc>
        <w:tc>
          <w:tcPr>
            <w:tcW w:w="1488" w:type="dxa"/>
          </w:tcPr>
          <w:p w:rsidR="009A6E98" w:rsidRPr="0059798C" w:rsidRDefault="009A6E98" w:rsidP="008658AB">
            <w:pPr>
              <w:jc w:val="right"/>
              <w:rPr>
                <w:rFonts w:cs="Arial"/>
                <w:sz w:val="22"/>
                <w:szCs w:val="22"/>
              </w:rPr>
            </w:pPr>
            <w:r w:rsidRPr="0059798C">
              <w:rPr>
                <w:rFonts w:cs="Arial"/>
                <w:sz w:val="22"/>
                <w:szCs w:val="22"/>
              </w:rPr>
              <w:t>9</w:t>
            </w:r>
          </w:p>
        </w:tc>
        <w:tc>
          <w:tcPr>
            <w:tcW w:w="1489" w:type="dxa"/>
          </w:tcPr>
          <w:p w:rsidR="009A6E98" w:rsidRPr="0059798C" w:rsidRDefault="009A6E98" w:rsidP="008658AB">
            <w:pPr>
              <w:jc w:val="right"/>
              <w:rPr>
                <w:rFonts w:cs="Arial"/>
                <w:sz w:val="22"/>
                <w:szCs w:val="22"/>
              </w:rPr>
            </w:pPr>
            <w:r w:rsidRPr="0059798C">
              <w:rPr>
                <w:rFonts w:cs="Arial"/>
                <w:sz w:val="22"/>
                <w:szCs w:val="22"/>
              </w:rPr>
              <w:t>667,013</w:t>
            </w:r>
          </w:p>
        </w:tc>
      </w:tr>
      <w:tr w:rsidR="009A6E98" w:rsidRPr="0059798C" w:rsidTr="009A6E98">
        <w:tc>
          <w:tcPr>
            <w:tcW w:w="2959" w:type="dxa"/>
          </w:tcPr>
          <w:p w:rsidR="009A6E98" w:rsidRPr="0059798C" w:rsidRDefault="009A6E98" w:rsidP="00E45E73">
            <w:pPr>
              <w:jc w:val="both"/>
              <w:rPr>
                <w:rFonts w:cs="Arial"/>
                <w:sz w:val="22"/>
                <w:szCs w:val="22"/>
              </w:rPr>
            </w:pPr>
            <w:r w:rsidRPr="0059798C">
              <w:rPr>
                <w:rFonts w:cs="Arial"/>
                <w:sz w:val="22"/>
                <w:szCs w:val="22"/>
              </w:rPr>
              <w:t>Secondary –Academies</w:t>
            </w:r>
          </w:p>
        </w:tc>
        <w:tc>
          <w:tcPr>
            <w:tcW w:w="1488" w:type="dxa"/>
          </w:tcPr>
          <w:p w:rsidR="009A6E98" w:rsidRPr="0059798C" w:rsidRDefault="009A6E98" w:rsidP="008658AB">
            <w:pPr>
              <w:jc w:val="right"/>
              <w:rPr>
                <w:rFonts w:cs="Arial"/>
                <w:sz w:val="22"/>
                <w:szCs w:val="22"/>
              </w:rPr>
            </w:pPr>
            <w:r w:rsidRPr="0059798C">
              <w:rPr>
                <w:rFonts w:cs="Arial"/>
                <w:sz w:val="22"/>
                <w:szCs w:val="22"/>
              </w:rPr>
              <w:t>360</w:t>
            </w:r>
          </w:p>
        </w:tc>
        <w:tc>
          <w:tcPr>
            <w:tcW w:w="1488" w:type="dxa"/>
          </w:tcPr>
          <w:p w:rsidR="009A6E98" w:rsidRPr="0059798C" w:rsidRDefault="009A6E98" w:rsidP="008658AB">
            <w:pPr>
              <w:jc w:val="right"/>
              <w:rPr>
                <w:rFonts w:cs="Arial"/>
                <w:sz w:val="22"/>
                <w:szCs w:val="22"/>
              </w:rPr>
            </w:pPr>
            <w:r w:rsidRPr="0059798C">
              <w:rPr>
                <w:rFonts w:cs="Arial"/>
                <w:sz w:val="22"/>
                <w:szCs w:val="22"/>
              </w:rPr>
              <w:t>0</w:t>
            </w:r>
          </w:p>
        </w:tc>
        <w:tc>
          <w:tcPr>
            <w:tcW w:w="1488" w:type="dxa"/>
          </w:tcPr>
          <w:p w:rsidR="009A6E98" w:rsidRPr="0059798C" w:rsidRDefault="009A6E98" w:rsidP="008658AB">
            <w:pPr>
              <w:jc w:val="right"/>
              <w:rPr>
                <w:rFonts w:cs="Arial"/>
                <w:sz w:val="22"/>
                <w:szCs w:val="22"/>
              </w:rPr>
            </w:pPr>
            <w:r w:rsidRPr="0059798C">
              <w:rPr>
                <w:rFonts w:cs="Arial"/>
                <w:sz w:val="22"/>
                <w:szCs w:val="22"/>
              </w:rPr>
              <w:t>12</w:t>
            </w:r>
          </w:p>
        </w:tc>
        <w:tc>
          <w:tcPr>
            <w:tcW w:w="1489" w:type="dxa"/>
          </w:tcPr>
          <w:p w:rsidR="009A6E98" w:rsidRPr="0059798C" w:rsidRDefault="009A6E98" w:rsidP="008658AB">
            <w:pPr>
              <w:jc w:val="right"/>
              <w:rPr>
                <w:rFonts w:cs="Arial"/>
                <w:sz w:val="22"/>
                <w:szCs w:val="22"/>
              </w:rPr>
            </w:pPr>
            <w:r w:rsidRPr="0059798C">
              <w:rPr>
                <w:rFonts w:cs="Arial"/>
                <w:sz w:val="22"/>
                <w:szCs w:val="22"/>
              </w:rPr>
              <w:t>889,350</w:t>
            </w:r>
          </w:p>
        </w:tc>
      </w:tr>
      <w:tr w:rsidR="009A6E98" w:rsidRPr="0059798C" w:rsidTr="009A6E98">
        <w:tc>
          <w:tcPr>
            <w:tcW w:w="2959" w:type="dxa"/>
          </w:tcPr>
          <w:p w:rsidR="009A6E98" w:rsidRPr="0059798C" w:rsidRDefault="009A6E98" w:rsidP="00E45E73">
            <w:pPr>
              <w:jc w:val="both"/>
              <w:rPr>
                <w:rFonts w:cs="Arial"/>
                <w:sz w:val="22"/>
                <w:szCs w:val="22"/>
              </w:rPr>
            </w:pPr>
            <w:r w:rsidRPr="0059798C">
              <w:rPr>
                <w:rFonts w:cs="Arial"/>
                <w:sz w:val="22"/>
                <w:szCs w:val="22"/>
              </w:rPr>
              <w:t>All-thorough - LA</w:t>
            </w:r>
          </w:p>
        </w:tc>
        <w:tc>
          <w:tcPr>
            <w:tcW w:w="1488" w:type="dxa"/>
          </w:tcPr>
          <w:p w:rsidR="009A6E98" w:rsidRPr="0059798C" w:rsidRDefault="009A6E98" w:rsidP="008658AB">
            <w:pPr>
              <w:jc w:val="right"/>
              <w:rPr>
                <w:rFonts w:cs="Arial"/>
                <w:sz w:val="22"/>
                <w:szCs w:val="22"/>
              </w:rPr>
            </w:pPr>
            <w:r w:rsidRPr="0059798C">
              <w:rPr>
                <w:rFonts w:cs="Arial"/>
                <w:sz w:val="22"/>
                <w:szCs w:val="22"/>
              </w:rPr>
              <w:t>330</w:t>
            </w:r>
          </w:p>
        </w:tc>
        <w:tc>
          <w:tcPr>
            <w:tcW w:w="1488" w:type="dxa"/>
          </w:tcPr>
          <w:p w:rsidR="009A6E98" w:rsidRPr="0059798C" w:rsidRDefault="009A6E98" w:rsidP="008658AB">
            <w:pPr>
              <w:jc w:val="right"/>
              <w:rPr>
                <w:rFonts w:cs="Arial"/>
                <w:sz w:val="22"/>
                <w:szCs w:val="22"/>
              </w:rPr>
            </w:pPr>
            <w:r w:rsidRPr="0059798C">
              <w:rPr>
                <w:rFonts w:cs="Arial"/>
                <w:sz w:val="22"/>
                <w:szCs w:val="22"/>
              </w:rPr>
              <w:t>6</w:t>
            </w:r>
          </w:p>
        </w:tc>
        <w:tc>
          <w:tcPr>
            <w:tcW w:w="1488" w:type="dxa"/>
          </w:tcPr>
          <w:p w:rsidR="009A6E98" w:rsidRPr="0059798C" w:rsidRDefault="009A6E98" w:rsidP="008658AB">
            <w:pPr>
              <w:jc w:val="right"/>
              <w:rPr>
                <w:rFonts w:cs="Arial"/>
                <w:sz w:val="22"/>
                <w:szCs w:val="22"/>
              </w:rPr>
            </w:pPr>
            <w:r w:rsidRPr="0059798C">
              <w:rPr>
                <w:rFonts w:cs="Arial"/>
                <w:sz w:val="22"/>
                <w:szCs w:val="22"/>
              </w:rPr>
              <w:t>5</w:t>
            </w:r>
          </w:p>
        </w:tc>
        <w:tc>
          <w:tcPr>
            <w:tcW w:w="1489" w:type="dxa"/>
          </w:tcPr>
          <w:p w:rsidR="009A6E98" w:rsidRPr="0059798C" w:rsidRDefault="009A6E98" w:rsidP="008658AB">
            <w:pPr>
              <w:jc w:val="right"/>
              <w:rPr>
                <w:rFonts w:cs="Arial"/>
                <w:sz w:val="22"/>
                <w:szCs w:val="22"/>
              </w:rPr>
            </w:pPr>
            <w:r w:rsidRPr="0059798C">
              <w:rPr>
                <w:rFonts w:cs="Arial"/>
                <w:sz w:val="22"/>
                <w:szCs w:val="22"/>
              </w:rPr>
              <w:t>718,638</w:t>
            </w:r>
          </w:p>
        </w:tc>
      </w:tr>
      <w:tr w:rsidR="009A6E98" w:rsidRPr="0059798C" w:rsidTr="009A6E98">
        <w:tc>
          <w:tcPr>
            <w:tcW w:w="2959" w:type="dxa"/>
          </w:tcPr>
          <w:p w:rsidR="009A6E98" w:rsidRPr="0059798C" w:rsidRDefault="009A6E98" w:rsidP="00E45E73">
            <w:pPr>
              <w:jc w:val="both"/>
              <w:rPr>
                <w:rFonts w:cs="Arial"/>
                <w:sz w:val="22"/>
                <w:szCs w:val="22"/>
              </w:rPr>
            </w:pPr>
            <w:r w:rsidRPr="0059798C">
              <w:rPr>
                <w:rFonts w:cs="Arial"/>
                <w:sz w:val="22"/>
                <w:szCs w:val="22"/>
              </w:rPr>
              <w:t>All-through - Academies</w:t>
            </w:r>
          </w:p>
        </w:tc>
        <w:tc>
          <w:tcPr>
            <w:tcW w:w="1488" w:type="dxa"/>
          </w:tcPr>
          <w:p w:rsidR="009A6E98" w:rsidRPr="0059798C" w:rsidRDefault="009A6E98" w:rsidP="008658AB">
            <w:pPr>
              <w:jc w:val="right"/>
              <w:rPr>
                <w:rFonts w:cs="Arial"/>
                <w:sz w:val="22"/>
                <w:szCs w:val="22"/>
              </w:rPr>
            </w:pPr>
            <w:r w:rsidRPr="0059798C">
              <w:rPr>
                <w:rFonts w:cs="Arial"/>
                <w:sz w:val="22"/>
                <w:szCs w:val="22"/>
              </w:rPr>
              <w:t>300</w:t>
            </w:r>
          </w:p>
        </w:tc>
        <w:tc>
          <w:tcPr>
            <w:tcW w:w="1488" w:type="dxa"/>
          </w:tcPr>
          <w:p w:rsidR="009A6E98" w:rsidRPr="0059798C" w:rsidRDefault="009A6E98" w:rsidP="008658AB">
            <w:pPr>
              <w:jc w:val="right"/>
              <w:rPr>
                <w:rFonts w:cs="Arial"/>
                <w:sz w:val="22"/>
                <w:szCs w:val="22"/>
              </w:rPr>
            </w:pPr>
            <w:r w:rsidRPr="0059798C">
              <w:rPr>
                <w:rFonts w:cs="Arial"/>
                <w:sz w:val="22"/>
                <w:szCs w:val="22"/>
              </w:rPr>
              <w:t>6</w:t>
            </w:r>
          </w:p>
        </w:tc>
        <w:tc>
          <w:tcPr>
            <w:tcW w:w="1488" w:type="dxa"/>
          </w:tcPr>
          <w:p w:rsidR="009A6E98" w:rsidRPr="0059798C" w:rsidRDefault="009A6E98" w:rsidP="008658AB">
            <w:pPr>
              <w:jc w:val="right"/>
              <w:rPr>
                <w:rFonts w:cs="Arial"/>
                <w:sz w:val="22"/>
                <w:szCs w:val="22"/>
              </w:rPr>
            </w:pPr>
            <w:r w:rsidRPr="0059798C">
              <w:rPr>
                <w:rFonts w:cs="Arial"/>
                <w:sz w:val="22"/>
                <w:szCs w:val="22"/>
              </w:rPr>
              <w:t>4</w:t>
            </w:r>
          </w:p>
        </w:tc>
        <w:tc>
          <w:tcPr>
            <w:tcW w:w="1489" w:type="dxa"/>
          </w:tcPr>
          <w:p w:rsidR="009A6E98" w:rsidRPr="0059798C" w:rsidRDefault="009A6E98" w:rsidP="008658AB">
            <w:pPr>
              <w:jc w:val="right"/>
              <w:rPr>
                <w:rFonts w:cs="Arial"/>
                <w:sz w:val="22"/>
                <w:szCs w:val="22"/>
              </w:rPr>
            </w:pPr>
            <w:r w:rsidRPr="0059798C">
              <w:rPr>
                <w:rFonts w:cs="Arial"/>
                <w:sz w:val="22"/>
                <w:szCs w:val="22"/>
              </w:rPr>
              <w:t>644,525</w:t>
            </w:r>
          </w:p>
        </w:tc>
      </w:tr>
      <w:tr w:rsidR="002F0994" w:rsidRPr="0059798C" w:rsidTr="009A6E98">
        <w:tc>
          <w:tcPr>
            <w:tcW w:w="2959" w:type="dxa"/>
          </w:tcPr>
          <w:p w:rsidR="002F0994" w:rsidRPr="0059798C" w:rsidRDefault="002F0994" w:rsidP="00E45E73">
            <w:pPr>
              <w:jc w:val="both"/>
              <w:rPr>
                <w:rFonts w:cs="Arial"/>
                <w:b/>
                <w:sz w:val="22"/>
                <w:szCs w:val="22"/>
              </w:rPr>
            </w:pPr>
            <w:r w:rsidRPr="0059798C">
              <w:rPr>
                <w:rFonts w:cs="Arial"/>
                <w:b/>
                <w:sz w:val="22"/>
                <w:szCs w:val="22"/>
              </w:rPr>
              <w:t>Contingency</w:t>
            </w:r>
            <w:r w:rsidR="00F56E6A">
              <w:rPr>
                <w:rFonts w:cs="Arial"/>
                <w:b/>
                <w:sz w:val="22"/>
                <w:szCs w:val="22"/>
              </w:rPr>
              <w:t xml:space="preserve"> (estimate)</w:t>
            </w:r>
            <w:r w:rsidRPr="0059798C">
              <w:rPr>
                <w:rFonts w:cs="Arial"/>
                <w:b/>
                <w:sz w:val="22"/>
                <w:szCs w:val="22"/>
              </w:rPr>
              <w:t xml:space="preserve"> </w:t>
            </w:r>
          </w:p>
        </w:tc>
        <w:tc>
          <w:tcPr>
            <w:tcW w:w="1488" w:type="dxa"/>
          </w:tcPr>
          <w:p w:rsidR="002F0994" w:rsidRPr="0059798C" w:rsidRDefault="002F0994" w:rsidP="008658AB">
            <w:pPr>
              <w:jc w:val="right"/>
              <w:rPr>
                <w:rFonts w:cs="Arial"/>
                <w:b/>
                <w:sz w:val="22"/>
                <w:szCs w:val="22"/>
              </w:rPr>
            </w:pPr>
          </w:p>
        </w:tc>
        <w:tc>
          <w:tcPr>
            <w:tcW w:w="1488" w:type="dxa"/>
          </w:tcPr>
          <w:p w:rsidR="002F0994" w:rsidRPr="0059798C" w:rsidRDefault="00F56E6A" w:rsidP="008658AB">
            <w:pPr>
              <w:jc w:val="right"/>
              <w:rPr>
                <w:rFonts w:cs="Arial"/>
                <w:b/>
                <w:sz w:val="22"/>
                <w:szCs w:val="22"/>
              </w:rPr>
            </w:pPr>
            <w:r>
              <w:rPr>
                <w:rFonts w:cs="Arial"/>
                <w:b/>
                <w:sz w:val="22"/>
                <w:szCs w:val="22"/>
              </w:rPr>
              <w:t>1</w:t>
            </w:r>
          </w:p>
        </w:tc>
        <w:tc>
          <w:tcPr>
            <w:tcW w:w="1488" w:type="dxa"/>
          </w:tcPr>
          <w:p w:rsidR="002F0994" w:rsidRPr="0059798C" w:rsidRDefault="00F56E6A" w:rsidP="008658AB">
            <w:pPr>
              <w:jc w:val="right"/>
              <w:rPr>
                <w:rFonts w:cs="Arial"/>
                <w:b/>
                <w:sz w:val="22"/>
                <w:szCs w:val="22"/>
              </w:rPr>
            </w:pPr>
            <w:r>
              <w:rPr>
                <w:rFonts w:cs="Arial"/>
                <w:b/>
                <w:sz w:val="22"/>
                <w:szCs w:val="22"/>
              </w:rPr>
              <w:t>1</w:t>
            </w:r>
          </w:p>
        </w:tc>
        <w:tc>
          <w:tcPr>
            <w:tcW w:w="1489" w:type="dxa"/>
          </w:tcPr>
          <w:p w:rsidR="002F0994" w:rsidRPr="0059798C" w:rsidRDefault="00C117B9" w:rsidP="008658AB">
            <w:pPr>
              <w:jc w:val="right"/>
              <w:rPr>
                <w:rFonts w:cs="Arial"/>
                <w:b/>
                <w:sz w:val="22"/>
                <w:szCs w:val="22"/>
              </w:rPr>
            </w:pPr>
            <w:r>
              <w:rPr>
                <w:rFonts w:cs="Arial"/>
                <w:b/>
                <w:sz w:val="22"/>
                <w:szCs w:val="22"/>
              </w:rPr>
              <w:t>174,386</w:t>
            </w:r>
          </w:p>
        </w:tc>
      </w:tr>
      <w:tr w:rsidR="009A6E98" w:rsidRPr="0059798C" w:rsidTr="009A6E98">
        <w:tc>
          <w:tcPr>
            <w:tcW w:w="2959" w:type="dxa"/>
          </w:tcPr>
          <w:p w:rsidR="009A6E98" w:rsidRPr="0059798C" w:rsidRDefault="009A6E98" w:rsidP="00E45E73">
            <w:pPr>
              <w:jc w:val="both"/>
              <w:rPr>
                <w:rFonts w:cs="Arial"/>
                <w:b/>
                <w:sz w:val="22"/>
                <w:szCs w:val="22"/>
              </w:rPr>
            </w:pPr>
            <w:r w:rsidRPr="0059798C">
              <w:rPr>
                <w:rFonts w:cs="Arial"/>
                <w:b/>
                <w:sz w:val="22"/>
                <w:szCs w:val="22"/>
              </w:rPr>
              <w:t>Total</w:t>
            </w:r>
          </w:p>
        </w:tc>
        <w:tc>
          <w:tcPr>
            <w:tcW w:w="1488" w:type="dxa"/>
          </w:tcPr>
          <w:p w:rsidR="009A6E98" w:rsidRPr="0059798C" w:rsidRDefault="009A6E98" w:rsidP="008658AB">
            <w:pPr>
              <w:jc w:val="right"/>
              <w:rPr>
                <w:rFonts w:cs="Arial"/>
                <w:b/>
                <w:sz w:val="22"/>
                <w:szCs w:val="22"/>
              </w:rPr>
            </w:pPr>
            <w:r w:rsidRPr="0059798C">
              <w:rPr>
                <w:rFonts w:cs="Arial"/>
                <w:b/>
                <w:sz w:val="22"/>
                <w:szCs w:val="22"/>
              </w:rPr>
              <w:t>1,470</w:t>
            </w:r>
          </w:p>
        </w:tc>
        <w:tc>
          <w:tcPr>
            <w:tcW w:w="1488" w:type="dxa"/>
          </w:tcPr>
          <w:p w:rsidR="009A6E98" w:rsidRPr="0059798C" w:rsidRDefault="00F56E6A" w:rsidP="008658AB">
            <w:pPr>
              <w:jc w:val="right"/>
              <w:rPr>
                <w:rFonts w:cs="Arial"/>
                <w:b/>
                <w:sz w:val="22"/>
                <w:szCs w:val="22"/>
              </w:rPr>
            </w:pPr>
            <w:r>
              <w:rPr>
                <w:rFonts w:cs="Arial"/>
                <w:b/>
                <w:sz w:val="22"/>
                <w:szCs w:val="22"/>
              </w:rPr>
              <w:t>20</w:t>
            </w:r>
          </w:p>
        </w:tc>
        <w:tc>
          <w:tcPr>
            <w:tcW w:w="1488" w:type="dxa"/>
          </w:tcPr>
          <w:p w:rsidR="009A6E98" w:rsidRPr="0059798C" w:rsidRDefault="009A6E98" w:rsidP="008658AB">
            <w:pPr>
              <w:jc w:val="right"/>
              <w:rPr>
                <w:rFonts w:cs="Arial"/>
                <w:b/>
                <w:sz w:val="22"/>
                <w:szCs w:val="22"/>
              </w:rPr>
            </w:pPr>
            <w:r w:rsidRPr="0059798C">
              <w:rPr>
                <w:rFonts w:cs="Arial"/>
                <w:b/>
                <w:sz w:val="22"/>
                <w:szCs w:val="22"/>
              </w:rPr>
              <w:t>3</w:t>
            </w:r>
            <w:r w:rsidR="00F56E6A">
              <w:rPr>
                <w:rFonts w:cs="Arial"/>
                <w:b/>
                <w:sz w:val="22"/>
                <w:szCs w:val="22"/>
              </w:rPr>
              <w:t>1</w:t>
            </w:r>
          </w:p>
        </w:tc>
        <w:tc>
          <w:tcPr>
            <w:tcW w:w="1489" w:type="dxa"/>
          </w:tcPr>
          <w:p w:rsidR="009A6E98" w:rsidRPr="0059798C" w:rsidRDefault="00C117B9" w:rsidP="00C117B9">
            <w:pPr>
              <w:jc w:val="right"/>
              <w:rPr>
                <w:rFonts w:cs="Arial"/>
                <w:b/>
                <w:sz w:val="22"/>
                <w:szCs w:val="22"/>
              </w:rPr>
            </w:pPr>
            <w:r>
              <w:rPr>
                <w:rFonts w:cs="Arial"/>
                <w:b/>
                <w:sz w:val="22"/>
                <w:szCs w:val="22"/>
              </w:rPr>
              <w:t>3,500,000</w:t>
            </w:r>
          </w:p>
        </w:tc>
      </w:tr>
    </w:tbl>
    <w:p w:rsidR="00E45E73" w:rsidRPr="0059798C" w:rsidRDefault="00E45E73" w:rsidP="00E45E73">
      <w:pPr>
        <w:jc w:val="both"/>
        <w:rPr>
          <w:rFonts w:cs="Arial"/>
        </w:rPr>
      </w:pPr>
    </w:p>
    <w:p w:rsidR="005F40E6" w:rsidRPr="0059798C" w:rsidRDefault="005F40E6" w:rsidP="009A6E98">
      <w:pPr>
        <w:jc w:val="both"/>
        <w:rPr>
          <w:rFonts w:cs="Arial"/>
        </w:rPr>
      </w:pPr>
    </w:p>
    <w:p w:rsidR="009A6E98" w:rsidRDefault="009A6E98" w:rsidP="005F40E6">
      <w:pPr>
        <w:pStyle w:val="ListParagraph"/>
        <w:numPr>
          <w:ilvl w:val="1"/>
          <w:numId w:val="23"/>
        </w:numPr>
        <w:ind w:left="709" w:hanging="709"/>
        <w:jc w:val="both"/>
        <w:rPr>
          <w:rFonts w:cs="Arial"/>
        </w:rPr>
      </w:pPr>
      <w:r w:rsidRPr="0059798C">
        <w:rPr>
          <w:rFonts w:cs="Arial"/>
        </w:rPr>
        <w:t>The growth fund is funded from top-slicing the schools block funding</w:t>
      </w:r>
      <w:r w:rsidR="00C33D1F">
        <w:rPr>
          <w:rFonts w:cs="Arial"/>
        </w:rPr>
        <w:t xml:space="preserve">, and </w:t>
      </w:r>
      <w:r w:rsidRPr="0059798C">
        <w:rPr>
          <w:rFonts w:cs="Arial"/>
        </w:rPr>
        <w:t>can only be used to support pre-16 basic needs growth</w:t>
      </w:r>
      <w:r w:rsidR="00A97CAE" w:rsidRPr="0059798C">
        <w:rPr>
          <w:rFonts w:cs="Arial"/>
        </w:rPr>
        <w:t>.</w:t>
      </w:r>
      <w:r w:rsidR="00C33D1F">
        <w:rPr>
          <w:rFonts w:cs="Arial"/>
        </w:rPr>
        <w:t xml:space="preserve">   It cannot be used to support general growth due to popularity, which is managed through lagged funding.</w:t>
      </w:r>
      <w:r w:rsidR="000341DE">
        <w:rPr>
          <w:rFonts w:cs="Arial"/>
        </w:rPr>
        <w:t xml:space="preserve">   Any underspend on growth funding is carried forward to the fo</w:t>
      </w:r>
      <w:r w:rsidR="006B5824">
        <w:rPr>
          <w:rFonts w:cs="Arial"/>
        </w:rPr>
        <w:t xml:space="preserve">llowing funding period.  </w:t>
      </w:r>
      <w:r w:rsidR="000908E2">
        <w:rPr>
          <w:rFonts w:cs="Arial"/>
        </w:rPr>
        <w:t>G</w:t>
      </w:r>
      <w:r w:rsidR="000341DE">
        <w:rPr>
          <w:rFonts w:cs="Arial"/>
        </w:rPr>
        <w:t>rowth fund estimates</w:t>
      </w:r>
      <w:r w:rsidR="000908E2">
        <w:rPr>
          <w:rFonts w:cs="Arial"/>
        </w:rPr>
        <w:t>, set out in table 5,</w:t>
      </w:r>
      <w:r w:rsidR="000341DE">
        <w:rPr>
          <w:rFonts w:cs="Arial"/>
        </w:rPr>
        <w:t xml:space="preserve"> have been based on AWPU ratio for 1:1.34.</w:t>
      </w:r>
    </w:p>
    <w:p w:rsidR="00A97CAE" w:rsidRPr="0059798C" w:rsidRDefault="00A97CAE" w:rsidP="00A818D6">
      <w:pPr>
        <w:pStyle w:val="ListParagraph"/>
        <w:ind w:left="709"/>
        <w:jc w:val="both"/>
        <w:rPr>
          <w:rFonts w:cs="Arial"/>
        </w:rPr>
      </w:pPr>
    </w:p>
    <w:p w:rsidR="00A818D6" w:rsidRPr="0059798C" w:rsidRDefault="00A818D6" w:rsidP="006A5E4D">
      <w:pPr>
        <w:pStyle w:val="ListParagraph"/>
        <w:numPr>
          <w:ilvl w:val="1"/>
          <w:numId w:val="23"/>
        </w:numPr>
        <w:ind w:left="709" w:hanging="709"/>
        <w:jc w:val="both"/>
        <w:rPr>
          <w:rFonts w:cs="Arial"/>
        </w:rPr>
      </w:pPr>
      <w:r w:rsidRPr="0059798C">
        <w:rPr>
          <w:rFonts w:cs="Arial"/>
        </w:rPr>
        <w:t xml:space="preserve">Growth funding may not be the most appropriate way to fund expansions in growing schools.  Instead, the local authority can vary the pupil numbers on the funding model to reflect the change </w:t>
      </w:r>
      <w:r w:rsidR="002F0994" w:rsidRPr="0059798C">
        <w:rPr>
          <w:rFonts w:cs="Arial"/>
        </w:rPr>
        <w:t>in admission limit so that these attract funding through the other factors.</w:t>
      </w:r>
    </w:p>
    <w:p w:rsidR="00A818D6" w:rsidRPr="0059798C" w:rsidRDefault="00A818D6" w:rsidP="002F0994">
      <w:pPr>
        <w:pStyle w:val="ListParagraph"/>
        <w:ind w:left="709"/>
        <w:jc w:val="both"/>
        <w:rPr>
          <w:rFonts w:cs="Arial"/>
        </w:rPr>
      </w:pPr>
    </w:p>
    <w:p w:rsidR="00A97CAE" w:rsidRPr="0059798C" w:rsidRDefault="00A97CAE" w:rsidP="002F0994">
      <w:pPr>
        <w:pStyle w:val="ListParagraph"/>
        <w:numPr>
          <w:ilvl w:val="0"/>
          <w:numId w:val="25"/>
        </w:numPr>
        <w:pBdr>
          <w:top w:val="single" w:sz="4" w:space="1" w:color="auto"/>
          <w:left w:val="single" w:sz="4" w:space="0" w:color="auto"/>
          <w:bottom w:val="single" w:sz="4" w:space="1" w:color="auto"/>
          <w:right w:val="single" w:sz="4" w:space="4" w:color="auto"/>
        </w:pBdr>
        <w:ind w:left="1134" w:hanging="424"/>
        <w:jc w:val="both"/>
        <w:rPr>
          <w:b/>
        </w:rPr>
      </w:pPr>
      <w:r w:rsidRPr="0059798C">
        <w:rPr>
          <w:rFonts w:cs="Arial"/>
          <w:b/>
        </w:rPr>
        <w:t xml:space="preserve">Decision required – Schools Forum </w:t>
      </w:r>
      <w:r w:rsidR="002F0994" w:rsidRPr="0059798C">
        <w:rPr>
          <w:rFonts w:cs="Arial"/>
          <w:b/>
        </w:rPr>
        <w:t xml:space="preserve">is asked to </w:t>
      </w:r>
      <w:r w:rsidR="00583632">
        <w:rPr>
          <w:rFonts w:cs="Arial"/>
          <w:b/>
        </w:rPr>
        <w:t>approve the</w:t>
      </w:r>
      <w:r w:rsidR="002F0994" w:rsidRPr="0059798C">
        <w:rPr>
          <w:rFonts w:cs="Arial"/>
          <w:b/>
        </w:rPr>
        <w:t xml:space="preserve"> growth fund for 2018-19 for each of the </w:t>
      </w:r>
      <w:r w:rsidR="00583632">
        <w:rPr>
          <w:rFonts w:cs="Arial"/>
          <w:b/>
        </w:rPr>
        <w:t xml:space="preserve">respective </w:t>
      </w:r>
      <w:r w:rsidR="002F0994" w:rsidRPr="0059798C">
        <w:rPr>
          <w:rFonts w:cs="Arial"/>
          <w:b/>
        </w:rPr>
        <w:t>phases.</w:t>
      </w:r>
    </w:p>
    <w:p w:rsidR="00A97CAE" w:rsidRPr="0059798C" w:rsidRDefault="00A97CAE" w:rsidP="00A97CAE">
      <w:pPr>
        <w:jc w:val="both"/>
        <w:rPr>
          <w:rFonts w:cs="Arial"/>
        </w:rPr>
      </w:pPr>
    </w:p>
    <w:p w:rsidR="002F0994" w:rsidRPr="0059798C" w:rsidRDefault="006A5E4D" w:rsidP="006A5E4D">
      <w:pPr>
        <w:pStyle w:val="ListParagraph"/>
        <w:numPr>
          <w:ilvl w:val="0"/>
          <w:numId w:val="27"/>
        </w:numPr>
        <w:ind w:left="709" w:hanging="709"/>
        <w:rPr>
          <w:rFonts w:cs="Arial"/>
          <w:b/>
          <w:u w:val="single"/>
        </w:rPr>
      </w:pPr>
      <w:r w:rsidRPr="0059798C">
        <w:rPr>
          <w:rFonts w:cs="Arial"/>
          <w:b/>
          <w:u w:val="single"/>
        </w:rPr>
        <w:t>De-delegation</w:t>
      </w:r>
    </w:p>
    <w:p w:rsidR="002F0994" w:rsidRPr="0059798C" w:rsidRDefault="002F0994" w:rsidP="002F0994">
      <w:pPr>
        <w:rPr>
          <w:rFonts w:cs="Arial"/>
          <w:b/>
          <w:u w:val="single"/>
        </w:rPr>
      </w:pPr>
    </w:p>
    <w:p w:rsidR="003A3303" w:rsidRPr="0059798C" w:rsidRDefault="006A5E4D" w:rsidP="00483127">
      <w:pPr>
        <w:pStyle w:val="Default"/>
        <w:ind w:left="709" w:hanging="709"/>
        <w:jc w:val="both"/>
        <w:rPr>
          <w:color w:val="auto"/>
        </w:rPr>
      </w:pPr>
      <w:r w:rsidRPr="0059798C">
        <w:rPr>
          <w:color w:val="auto"/>
        </w:rPr>
        <w:t>6</w:t>
      </w:r>
      <w:r w:rsidR="006832EA" w:rsidRPr="0059798C">
        <w:rPr>
          <w:color w:val="auto"/>
        </w:rPr>
        <w:t>.1</w:t>
      </w:r>
      <w:r w:rsidR="006832EA" w:rsidRPr="0059798C">
        <w:rPr>
          <w:color w:val="auto"/>
        </w:rPr>
        <w:tab/>
      </w:r>
      <w:r w:rsidRPr="0059798C">
        <w:rPr>
          <w:color w:val="auto"/>
        </w:rPr>
        <w:t>De-delegated services ar</w:t>
      </w:r>
      <w:r w:rsidR="00CB06CB">
        <w:rPr>
          <w:color w:val="auto"/>
        </w:rPr>
        <w:t xml:space="preserve">e for maintained schools only. </w:t>
      </w:r>
      <w:r w:rsidRPr="0059798C">
        <w:rPr>
          <w:color w:val="auto"/>
        </w:rPr>
        <w:t>The</w:t>
      </w:r>
      <w:r w:rsidR="00483127" w:rsidRPr="0059798C">
        <w:rPr>
          <w:color w:val="auto"/>
        </w:rPr>
        <w:t xml:space="preserve"> proposed per pupil de-delegation rates for 2018-19 </w:t>
      </w:r>
      <w:r w:rsidR="002F0994" w:rsidRPr="0059798C">
        <w:rPr>
          <w:color w:val="auto"/>
        </w:rPr>
        <w:t xml:space="preserve">are set out on table </w:t>
      </w:r>
      <w:r w:rsidR="007A70C9">
        <w:rPr>
          <w:color w:val="auto"/>
        </w:rPr>
        <w:t>6</w:t>
      </w:r>
      <w:r w:rsidRPr="0059798C">
        <w:rPr>
          <w:color w:val="auto"/>
        </w:rPr>
        <w:t xml:space="preserve"> below.  These </w:t>
      </w:r>
      <w:r w:rsidR="002F0994" w:rsidRPr="0059798C">
        <w:rPr>
          <w:color w:val="auto"/>
        </w:rPr>
        <w:t>are as follows: £3.49</w:t>
      </w:r>
      <w:r w:rsidR="00483127" w:rsidRPr="0059798C">
        <w:rPr>
          <w:color w:val="auto"/>
        </w:rPr>
        <w:t xml:space="preserve"> </w:t>
      </w:r>
      <w:r w:rsidR="007A70C9">
        <w:rPr>
          <w:color w:val="auto"/>
        </w:rPr>
        <w:t xml:space="preserve">for </w:t>
      </w:r>
      <w:r w:rsidR="00483127" w:rsidRPr="0059798C">
        <w:rPr>
          <w:color w:val="auto"/>
        </w:rPr>
        <w:t>school specific contingency to meet in ye</w:t>
      </w:r>
      <w:r w:rsidR="00165EB3" w:rsidRPr="0059798C">
        <w:rPr>
          <w:color w:val="auto"/>
        </w:rPr>
        <w:t xml:space="preserve">ar business rates revaluations </w:t>
      </w:r>
      <w:r w:rsidR="00F61B71" w:rsidRPr="0059798C">
        <w:rPr>
          <w:color w:val="auto"/>
        </w:rPr>
        <w:t>/ adjustments, 79</w:t>
      </w:r>
      <w:r w:rsidR="00483127" w:rsidRPr="0059798C">
        <w:rPr>
          <w:color w:val="auto"/>
        </w:rPr>
        <w:t>p for school meals eligibility a</w:t>
      </w:r>
      <w:r w:rsidR="00F61B71" w:rsidRPr="0059798C">
        <w:rPr>
          <w:color w:val="auto"/>
        </w:rPr>
        <w:t>ssessments, and £7.87</w:t>
      </w:r>
      <w:r w:rsidR="00483127" w:rsidRPr="0059798C">
        <w:rPr>
          <w:color w:val="auto"/>
        </w:rPr>
        <w:t xml:space="preserve"> for supply cover for trade union duties. </w:t>
      </w:r>
      <w:r w:rsidR="007443B5" w:rsidRPr="0059798C">
        <w:rPr>
          <w:color w:val="auto"/>
        </w:rPr>
        <w:t xml:space="preserve">There is also a </w:t>
      </w:r>
      <w:r w:rsidR="00483127" w:rsidRPr="0059798C">
        <w:rPr>
          <w:color w:val="auto"/>
        </w:rPr>
        <w:t>recom</w:t>
      </w:r>
      <w:r w:rsidR="00F61B71" w:rsidRPr="0059798C">
        <w:rPr>
          <w:color w:val="auto"/>
        </w:rPr>
        <w:t>mend</w:t>
      </w:r>
      <w:r w:rsidR="007443B5" w:rsidRPr="0059798C">
        <w:rPr>
          <w:color w:val="auto"/>
        </w:rPr>
        <w:t xml:space="preserve">ation </w:t>
      </w:r>
      <w:r w:rsidR="008947AC">
        <w:rPr>
          <w:color w:val="auto"/>
        </w:rPr>
        <w:t>that an additional £1.31</w:t>
      </w:r>
      <w:r w:rsidR="00483127" w:rsidRPr="0059798C">
        <w:rPr>
          <w:color w:val="auto"/>
        </w:rPr>
        <w:t xml:space="preserve"> per pupil is de-delegated to fund the </w:t>
      </w:r>
      <w:r w:rsidR="00F61B71" w:rsidRPr="0059798C">
        <w:rPr>
          <w:color w:val="auto"/>
        </w:rPr>
        <w:t>Local Children’s S</w:t>
      </w:r>
      <w:r w:rsidR="00483127" w:rsidRPr="0059798C">
        <w:rPr>
          <w:color w:val="auto"/>
        </w:rPr>
        <w:t>afeguarding Board</w:t>
      </w:r>
      <w:r w:rsidR="008E56D3" w:rsidRPr="0059798C">
        <w:rPr>
          <w:color w:val="auto"/>
        </w:rPr>
        <w:t>.</w:t>
      </w:r>
      <w:r w:rsidR="005D7C22" w:rsidRPr="0059798C">
        <w:rPr>
          <w:color w:val="auto"/>
        </w:rPr>
        <w:t xml:space="preserve">  </w:t>
      </w:r>
      <w:r w:rsidR="00D84B6B" w:rsidRPr="0059798C">
        <w:rPr>
          <w:color w:val="auto"/>
        </w:rPr>
        <w:t xml:space="preserve">  </w:t>
      </w:r>
      <w:r w:rsidR="00572287">
        <w:rPr>
          <w:color w:val="auto"/>
        </w:rPr>
        <w:t xml:space="preserve">The rates are based on </w:t>
      </w:r>
      <w:r w:rsidR="00D84B6B" w:rsidRPr="0059798C">
        <w:rPr>
          <w:color w:val="auto"/>
        </w:rPr>
        <w:t>the provisional October 2017 data.</w:t>
      </w:r>
    </w:p>
    <w:p w:rsidR="00CB06CB" w:rsidRPr="00CB06CB" w:rsidRDefault="001B4184" w:rsidP="00572287">
      <w:pPr>
        <w:ind w:firstLine="709"/>
        <w:rPr>
          <w:b/>
        </w:rPr>
      </w:pPr>
      <w:r>
        <w:rPr>
          <w:b/>
        </w:rPr>
        <w:br w:type="page"/>
      </w:r>
      <w:r w:rsidR="007A70C9">
        <w:rPr>
          <w:b/>
        </w:rPr>
        <w:t>Table 6</w:t>
      </w:r>
      <w:r w:rsidR="00D54755">
        <w:rPr>
          <w:b/>
        </w:rPr>
        <w:t xml:space="preserve">: </w:t>
      </w:r>
      <w:r w:rsidR="00CB06CB" w:rsidRPr="00CB06CB">
        <w:rPr>
          <w:b/>
        </w:rPr>
        <w:t xml:space="preserve">De-delegated Budgets and Per Pupil Rates </w:t>
      </w:r>
    </w:p>
    <w:p w:rsidR="006832EA" w:rsidRPr="0059798C" w:rsidRDefault="006832EA" w:rsidP="006832EA">
      <w:pPr>
        <w:pStyle w:val="Default"/>
        <w:ind w:left="709"/>
        <w:jc w:val="both"/>
        <w:rPr>
          <w:color w:val="auto"/>
        </w:rPr>
      </w:pPr>
    </w:p>
    <w:tbl>
      <w:tblPr>
        <w:tblW w:w="8930" w:type="dxa"/>
        <w:tblInd w:w="704" w:type="dxa"/>
        <w:tblLayout w:type="fixed"/>
        <w:tblLook w:val="04A0" w:firstRow="1" w:lastRow="0" w:firstColumn="1" w:lastColumn="0" w:noHBand="0" w:noVBand="1"/>
      </w:tblPr>
      <w:tblGrid>
        <w:gridCol w:w="3817"/>
        <w:gridCol w:w="1022"/>
        <w:gridCol w:w="1023"/>
        <w:gridCol w:w="1022"/>
        <w:gridCol w:w="1023"/>
        <w:gridCol w:w="1023"/>
      </w:tblGrid>
      <w:tr w:rsidR="00086E26" w:rsidRPr="0059798C" w:rsidTr="000908E2">
        <w:trPr>
          <w:trHeight w:val="480"/>
        </w:trPr>
        <w:tc>
          <w:tcPr>
            <w:tcW w:w="3817" w:type="dxa"/>
            <w:tcBorders>
              <w:top w:val="single" w:sz="12" w:space="0" w:color="auto"/>
              <w:left w:val="single" w:sz="12" w:space="0" w:color="auto"/>
              <w:bottom w:val="single" w:sz="4" w:space="0" w:color="auto"/>
              <w:right w:val="single" w:sz="4" w:space="0" w:color="auto"/>
            </w:tcBorders>
            <w:shd w:val="clear" w:color="auto" w:fill="FABF8F" w:themeFill="accent6" w:themeFillTint="99"/>
            <w:noWrap/>
            <w:vAlign w:val="bottom"/>
            <w:hideMark/>
          </w:tcPr>
          <w:p w:rsidR="00086E26" w:rsidRPr="0059798C" w:rsidRDefault="00086E26" w:rsidP="00086E26">
            <w:pPr>
              <w:rPr>
                <w:rFonts w:cs="Arial"/>
                <w:b/>
                <w:bCs/>
                <w:sz w:val="22"/>
                <w:szCs w:val="22"/>
              </w:rPr>
            </w:pPr>
            <w:r w:rsidRPr="0059798C">
              <w:rPr>
                <w:rFonts w:cs="Arial"/>
                <w:b/>
                <w:bCs/>
                <w:sz w:val="22"/>
                <w:szCs w:val="22"/>
              </w:rPr>
              <w:t>Description</w:t>
            </w:r>
          </w:p>
        </w:tc>
        <w:tc>
          <w:tcPr>
            <w:tcW w:w="1022" w:type="dxa"/>
            <w:tcBorders>
              <w:top w:val="single" w:sz="12" w:space="0" w:color="auto"/>
              <w:left w:val="nil"/>
              <w:bottom w:val="single" w:sz="4" w:space="0" w:color="auto"/>
              <w:right w:val="single" w:sz="6" w:space="0" w:color="auto"/>
            </w:tcBorders>
            <w:shd w:val="clear" w:color="auto" w:fill="FABF8F" w:themeFill="accent6" w:themeFillTint="99"/>
            <w:vAlign w:val="bottom"/>
          </w:tcPr>
          <w:p w:rsidR="00086E26" w:rsidRPr="0059798C" w:rsidRDefault="00086E26" w:rsidP="00086E26">
            <w:pPr>
              <w:jc w:val="center"/>
              <w:rPr>
                <w:rFonts w:cs="Arial"/>
                <w:b/>
                <w:bCs/>
                <w:sz w:val="22"/>
                <w:szCs w:val="22"/>
              </w:rPr>
            </w:pPr>
            <w:r w:rsidRPr="0059798C">
              <w:rPr>
                <w:rFonts w:cs="Arial"/>
                <w:b/>
                <w:bCs/>
                <w:sz w:val="22"/>
                <w:szCs w:val="22"/>
              </w:rPr>
              <w:t>2016/17 Per Pupil (£)</w:t>
            </w:r>
          </w:p>
        </w:tc>
        <w:tc>
          <w:tcPr>
            <w:tcW w:w="1023" w:type="dxa"/>
            <w:tcBorders>
              <w:top w:val="single" w:sz="12" w:space="0" w:color="auto"/>
              <w:left w:val="single" w:sz="6" w:space="0" w:color="auto"/>
              <w:bottom w:val="single" w:sz="4" w:space="0" w:color="auto"/>
              <w:right w:val="single" w:sz="4" w:space="0" w:color="auto"/>
            </w:tcBorders>
            <w:shd w:val="clear" w:color="auto" w:fill="FABF8F" w:themeFill="accent6" w:themeFillTint="99"/>
            <w:vAlign w:val="bottom"/>
          </w:tcPr>
          <w:p w:rsidR="00086E26" w:rsidRPr="0059798C" w:rsidRDefault="00086E26" w:rsidP="00086E26">
            <w:pPr>
              <w:jc w:val="center"/>
              <w:rPr>
                <w:rFonts w:cs="Arial"/>
                <w:b/>
                <w:bCs/>
                <w:sz w:val="22"/>
                <w:szCs w:val="22"/>
              </w:rPr>
            </w:pPr>
            <w:r w:rsidRPr="0059798C">
              <w:rPr>
                <w:rFonts w:cs="Arial"/>
                <w:b/>
                <w:bCs/>
                <w:sz w:val="22"/>
                <w:szCs w:val="22"/>
              </w:rPr>
              <w:t>2017/18 Per Pupil (£)</w:t>
            </w:r>
            <w:r w:rsidRPr="0059798C">
              <w:rPr>
                <w:rFonts w:cs="Arial"/>
                <w:b/>
                <w:bCs/>
                <w:sz w:val="22"/>
                <w:szCs w:val="22"/>
              </w:rPr>
              <w:tab/>
            </w:r>
          </w:p>
        </w:tc>
        <w:tc>
          <w:tcPr>
            <w:tcW w:w="1022" w:type="dxa"/>
            <w:tcBorders>
              <w:top w:val="single" w:sz="12" w:space="0" w:color="auto"/>
              <w:left w:val="nil"/>
              <w:bottom w:val="single" w:sz="4" w:space="0" w:color="auto"/>
              <w:right w:val="single" w:sz="4" w:space="0" w:color="auto"/>
            </w:tcBorders>
            <w:shd w:val="clear" w:color="auto" w:fill="FABF8F" w:themeFill="accent6" w:themeFillTint="99"/>
            <w:vAlign w:val="bottom"/>
          </w:tcPr>
          <w:p w:rsidR="00086E26" w:rsidRPr="0059798C" w:rsidRDefault="00086E26" w:rsidP="00086E26">
            <w:pPr>
              <w:jc w:val="center"/>
              <w:rPr>
                <w:rFonts w:cs="Arial"/>
                <w:b/>
                <w:bCs/>
                <w:sz w:val="22"/>
                <w:szCs w:val="22"/>
              </w:rPr>
            </w:pPr>
            <w:r w:rsidRPr="0059798C">
              <w:rPr>
                <w:rFonts w:cs="Arial"/>
                <w:b/>
                <w:bCs/>
                <w:sz w:val="22"/>
                <w:szCs w:val="22"/>
              </w:rPr>
              <w:t>2017/18    Total (£)</w:t>
            </w:r>
          </w:p>
        </w:tc>
        <w:tc>
          <w:tcPr>
            <w:tcW w:w="1023" w:type="dxa"/>
            <w:tcBorders>
              <w:top w:val="single" w:sz="12" w:space="0" w:color="auto"/>
              <w:left w:val="nil"/>
              <w:bottom w:val="single" w:sz="4" w:space="0" w:color="auto"/>
              <w:right w:val="single" w:sz="4" w:space="0" w:color="auto"/>
            </w:tcBorders>
            <w:shd w:val="clear" w:color="auto" w:fill="FABF8F" w:themeFill="accent6" w:themeFillTint="99"/>
            <w:vAlign w:val="bottom"/>
            <w:hideMark/>
          </w:tcPr>
          <w:p w:rsidR="00086E26" w:rsidRPr="0059798C" w:rsidRDefault="00C32DFE" w:rsidP="00086E26">
            <w:pPr>
              <w:jc w:val="center"/>
              <w:rPr>
                <w:rFonts w:cs="Arial"/>
                <w:b/>
                <w:bCs/>
                <w:sz w:val="22"/>
                <w:szCs w:val="22"/>
              </w:rPr>
            </w:pPr>
            <w:r w:rsidRPr="0059798C">
              <w:rPr>
                <w:rFonts w:cs="Arial"/>
                <w:b/>
                <w:bCs/>
                <w:sz w:val="22"/>
                <w:szCs w:val="22"/>
              </w:rPr>
              <w:t>2018/19</w:t>
            </w:r>
            <w:r w:rsidR="00086E26" w:rsidRPr="0059798C">
              <w:rPr>
                <w:rFonts w:cs="Arial"/>
                <w:b/>
                <w:bCs/>
                <w:sz w:val="22"/>
                <w:szCs w:val="22"/>
              </w:rPr>
              <w:t xml:space="preserve"> Pupil (£)</w:t>
            </w:r>
          </w:p>
        </w:tc>
        <w:tc>
          <w:tcPr>
            <w:tcW w:w="1023" w:type="dxa"/>
            <w:tcBorders>
              <w:top w:val="single" w:sz="12" w:space="0" w:color="auto"/>
              <w:left w:val="nil"/>
              <w:bottom w:val="single" w:sz="4" w:space="0" w:color="auto"/>
              <w:right w:val="single" w:sz="12" w:space="0" w:color="auto"/>
            </w:tcBorders>
            <w:shd w:val="clear" w:color="auto" w:fill="FABF8F" w:themeFill="accent6" w:themeFillTint="99"/>
            <w:vAlign w:val="bottom"/>
            <w:hideMark/>
          </w:tcPr>
          <w:p w:rsidR="00086E26" w:rsidRPr="0059798C" w:rsidRDefault="00C32DFE" w:rsidP="00086E26">
            <w:pPr>
              <w:jc w:val="center"/>
              <w:rPr>
                <w:rFonts w:cs="Arial"/>
                <w:b/>
                <w:bCs/>
                <w:sz w:val="22"/>
                <w:szCs w:val="22"/>
              </w:rPr>
            </w:pPr>
            <w:r w:rsidRPr="0059798C">
              <w:rPr>
                <w:rFonts w:cs="Arial"/>
                <w:b/>
                <w:bCs/>
                <w:sz w:val="22"/>
                <w:szCs w:val="22"/>
              </w:rPr>
              <w:t>2018/19 Total (£)</w:t>
            </w:r>
          </w:p>
        </w:tc>
      </w:tr>
      <w:tr w:rsidR="00086E26" w:rsidRPr="0059798C" w:rsidTr="006A5E4D">
        <w:trPr>
          <w:trHeight w:val="255"/>
        </w:trPr>
        <w:tc>
          <w:tcPr>
            <w:tcW w:w="3817"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086E26" w:rsidRPr="0059798C" w:rsidRDefault="00086E26" w:rsidP="00086E26">
            <w:pPr>
              <w:rPr>
                <w:rFonts w:cs="Arial"/>
                <w:sz w:val="22"/>
                <w:szCs w:val="22"/>
              </w:rPr>
            </w:pPr>
            <w:r w:rsidRPr="0059798C">
              <w:rPr>
                <w:rFonts w:cs="Arial"/>
                <w:sz w:val="22"/>
                <w:szCs w:val="22"/>
              </w:rPr>
              <w:t>Schools in Financial Difficulty</w:t>
            </w:r>
          </w:p>
        </w:tc>
        <w:tc>
          <w:tcPr>
            <w:tcW w:w="1022" w:type="dxa"/>
            <w:tcBorders>
              <w:top w:val="single" w:sz="4" w:space="0" w:color="auto"/>
              <w:left w:val="nil"/>
              <w:bottom w:val="single" w:sz="4" w:space="0" w:color="auto"/>
              <w:right w:val="single" w:sz="6" w:space="0" w:color="auto"/>
            </w:tcBorders>
            <w:vAlign w:val="bottom"/>
          </w:tcPr>
          <w:p w:rsidR="00086E26" w:rsidRPr="0059798C" w:rsidRDefault="00086E26" w:rsidP="00086E26">
            <w:pPr>
              <w:jc w:val="right"/>
              <w:rPr>
                <w:rFonts w:cs="Arial"/>
                <w:sz w:val="22"/>
                <w:szCs w:val="22"/>
              </w:rPr>
            </w:pPr>
            <w:r w:rsidRPr="0059798C">
              <w:rPr>
                <w:rFonts w:cs="Arial"/>
                <w:sz w:val="22"/>
                <w:szCs w:val="22"/>
              </w:rPr>
              <w:t xml:space="preserve">7.96 </w:t>
            </w:r>
          </w:p>
        </w:tc>
        <w:tc>
          <w:tcPr>
            <w:tcW w:w="1023" w:type="dxa"/>
            <w:tcBorders>
              <w:top w:val="single" w:sz="4" w:space="0" w:color="auto"/>
              <w:left w:val="single" w:sz="6" w:space="0" w:color="auto"/>
              <w:bottom w:val="single" w:sz="4" w:space="0" w:color="auto"/>
              <w:right w:val="single" w:sz="4" w:space="0" w:color="auto"/>
            </w:tcBorders>
            <w:shd w:val="clear" w:color="auto" w:fill="auto"/>
            <w:noWrap/>
            <w:vAlign w:val="bottom"/>
          </w:tcPr>
          <w:p w:rsidR="00086E26" w:rsidRPr="0059798C" w:rsidRDefault="005E5283" w:rsidP="00086E26">
            <w:pPr>
              <w:jc w:val="right"/>
              <w:rPr>
                <w:rFonts w:cs="Arial"/>
                <w:sz w:val="22"/>
                <w:szCs w:val="22"/>
              </w:rPr>
            </w:pPr>
            <w:r w:rsidRPr="0059798C">
              <w:rPr>
                <w:rFonts w:cs="Arial"/>
                <w:sz w:val="22"/>
                <w:szCs w:val="22"/>
              </w:rPr>
              <w:t>0</w:t>
            </w:r>
          </w:p>
        </w:tc>
        <w:tc>
          <w:tcPr>
            <w:tcW w:w="1022" w:type="dxa"/>
            <w:tcBorders>
              <w:top w:val="single" w:sz="4" w:space="0" w:color="auto"/>
              <w:left w:val="nil"/>
              <w:bottom w:val="single" w:sz="4" w:space="0" w:color="auto"/>
              <w:right w:val="single" w:sz="4" w:space="0" w:color="auto"/>
            </w:tcBorders>
            <w:shd w:val="clear" w:color="auto" w:fill="auto"/>
            <w:noWrap/>
            <w:vAlign w:val="bottom"/>
          </w:tcPr>
          <w:p w:rsidR="00086E26" w:rsidRPr="0059798C" w:rsidRDefault="00086E26" w:rsidP="00086E26">
            <w:pPr>
              <w:jc w:val="right"/>
              <w:rPr>
                <w:rFonts w:cs="Arial"/>
                <w:sz w:val="22"/>
                <w:szCs w:val="22"/>
              </w:rPr>
            </w:pPr>
          </w:p>
        </w:tc>
        <w:tc>
          <w:tcPr>
            <w:tcW w:w="1023" w:type="dxa"/>
            <w:tcBorders>
              <w:top w:val="single" w:sz="4" w:space="0" w:color="auto"/>
              <w:left w:val="nil"/>
              <w:bottom w:val="single" w:sz="4" w:space="0" w:color="auto"/>
              <w:right w:val="single" w:sz="4" w:space="0" w:color="auto"/>
            </w:tcBorders>
            <w:shd w:val="clear" w:color="auto" w:fill="auto"/>
            <w:noWrap/>
            <w:vAlign w:val="bottom"/>
          </w:tcPr>
          <w:p w:rsidR="00086E26" w:rsidRPr="0059798C" w:rsidRDefault="00086E26" w:rsidP="00086E26">
            <w:pPr>
              <w:jc w:val="right"/>
              <w:rPr>
                <w:rFonts w:cs="Arial"/>
                <w:sz w:val="22"/>
                <w:szCs w:val="22"/>
              </w:rPr>
            </w:pPr>
          </w:p>
        </w:tc>
        <w:tc>
          <w:tcPr>
            <w:tcW w:w="1023" w:type="dxa"/>
            <w:tcBorders>
              <w:top w:val="single" w:sz="4" w:space="0" w:color="auto"/>
              <w:left w:val="nil"/>
              <w:bottom w:val="single" w:sz="4" w:space="0" w:color="auto"/>
              <w:right w:val="single" w:sz="12" w:space="0" w:color="auto"/>
            </w:tcBorders>
            <w:shd w:val="clear" w:color="auto" w:fill="auto"/>
            <w:noWrap/>
            <w:vAlign w:val="bottom"/>
          </w:tcPr>
          <w:p w:rsidR="00086E26" w:rsidRPr="0059798C" w:rsidRDefault="00086E26" w:rsidP="00086E26">
            <w:pPr>
              <w:jc w:val="right"/>
              <w:rPr>
                <w:rFonts w:cs="Arial"/>
                <w:sz w:val="22"/>
                <w:szCs w:val="22"/>
              </w:rPr>
            </w:pPr>
          </w:p>
        </w:tc>
      </w:tr>
      <w:tr w:rsidR="00086E26" w:rsidRPr="0059798C" w:rsidTr="006A5E4D">
        <w:trPr>
          <w:trHeight w:val="255"/>
        </w:trPr>
        <w:tc>
          <w:tcPr>
            <w:tcW w:w="3817"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086E26" w:rsidRPr="0059798C" w:rsidRDefault="00086E26" w:rsidP="00086E26">
            <w:pPr>
              <w:rPr>
                <w:rFonts w:cs="Arial"/>
                <w:sz w:val="22"/>
                <w:szCs w:val="22"/>
              </w:rPr>
            </w:pPr>
            <w:r w:rsidRPr="0059798C">
              <w:rPr>
                <w:rFonts w:cs="Arial"/>
                <w:sz w:val="22"/>
                <w:szCs w:val="22"/>
              </w:rPr>
              <w:t>Schools Specific Contingency</w:t>
            </w:r>
          </w:p>
        </w:tc>
        <w:tc>
          <w:tcPr>
            <w:tcW w:w="1022" w:type="dxa"/>
            <w:tcBorders>
              <w:top w:val="single" w:sz="4" w:space="0" w:color="auto"/>
              <w:left w:val="nil"/>
              <w:bottom w:val="single" w:sz="4" w:space="0" w:color="auto"/>
              <w:right w:val="single" w:sz="6" w:space="0" w:color="auto"/>
            </w:tcBorders>
            <w:vAlign w:val="bottom"/>
          </w:tcPr>
          <w:p w:rsidR="00086E26" w:rsidRPr="0059798C" w:rsidRDefault="00682BDF" w:rsidP="00086E26">
            <w:pPr>
              <w:jc w:val="right"/>
              <w:rPr>
                <w:rFonts w:cs="Arial"/>
                <w:sz w:val="22"/>
                <w:szCs w:val="22"/>
              </w:rPr>
            </w:pPr>
            <w:r w:rsidRPr="0059798C">
              <w:rPr>
                <w:rFonts w:cs="Arial"/>
                <w:sz w:val="22"/>
                <w:szCs w:val="22"/>
              </w:rPr>
              <w:t>5.02</w:t>
            </w:r>
            <w:r w:rsidR="00086E26" w:rsidRPr="0059798C">
              <w:rPr>
                <w:rFonts w:cs="Arial"/>
                <w:sz w:val="22"/>
                <w:szCs w:val="22"/>
              </w:rPr>
              <w:t xml:space="preserve"> </w:t>
            </w:r>
          </w:p>
        </w:tc>
        <w:tc>
          <w:tcPr>
            <w:tcW w:w="1023" w:type="dxa"/>
            <w:tcBorders>
              <w:top w:val="single" w:sz="4" w:space="0" w:color="auto"/>
              <w:left w:val="single" w:sz="6" w:space="0" w:color="auto"/>
              <w:bottom w:val="single" w:sz="4" w:space="0" w:color="auto"/>
              <w:right w:val="single" w:sz="4" w:space="0" w:color="auto"/>
            </w:tcBorders>
            <w:shd w:val="clear" w:color="auto" w:fill="auto"/>
            <w:noWrap/>
            <w:vAlign w:val="bottom"/>
          </w:tcPr>
          <w:p w:rsidR="00086E26" w:rsidRPr="0059798C" w:rsidRDefault="005E5283" w:rsidP="00086E26">
            <w:pPr>
              <w:jc w:val="right"/>
              <w:rPr>
                <w:rFonts w:cs="Arial"/>
                <w:sz w:val="22"/>
                <w:szCs w:val="22"/>
              </w:rPr>
            </w:pPr>
            <w:r w:rsidRPr="0059798C">
              <w:rPr>
                <w:rFonts w:cs="Arial"/>
                <w:sz w:val="22"/>
                <w:szCs w:val="22"/>
              </w:rPr>
              <w:t>3.49</w:t>
            </w:r>
          </w:p>
        </w:tc>
        <w:tc>
          <w:tcPr>
            <w:tcW w:w="1022" w:type="dxa"/>
            <w:tcBorders>
              <w:top w:val="single" w:sz="4" w:space="0" w:color="auto"/>
              <w:left w:val="nil"/>
              <w:bottom w:val="single" w:sz="4" w:space="0" w:color="auto"/>
              <w:right w:val="single" w:sz="4" w:space="0" w:color="auto"/>
            </w:tcBorders>
            <w:shd w:val="clear" w:color="auto" w:fill="auto"/>
            <w:noWrap/>
            <w:vAlign w:val="bottom"/>
          </w:tcPr>
          <w:p w:rsidR="00086E26" w:rsidRPr="0059798C" w:rsidRDefault="005E5283" w:rsidP="00086E26">
            <w:pPr>
              <w:jc w:val="right"/>
              <w:rPr>
                <w:rFonts w:cs="Arial"/>
                <w:sz w:val="22"/>
                <w:szCs w:val="22"/>
              </w:rPr>
            </w:pPr>
            <w:r w:rsidRPr="0059798C">
              <w:rPr>
                <w:rFonts w:cs="Arial"/>
                <w:sz w:val="22"/>
                <w:szCs w:val="22"/>
              </w:rPr>
              <w:t>108,490</w:t>
            </w:r>
          </w:p>
        </w:tc>
        <w:tc>
          <w:tcPr>
            <w:tcW w:w="1023" w:type="dxa"/>
            <w:tcBorders>
              <w:top w:val="single" w:sz="4" w:space="0" w:color="auto"/>
              <w:left w:val="nil"/>
              <w:bottom w:val="single" w:sz="4" w:space="0" w:color="auto"/>
              <w:right w:val="single" w:sz="4" w:space="0" w:color="auto"/>
            </w:tcBorders>
            <w:shd w:val="clear" w:color="auto" w:fill="auto"/>
            <w:noWrap/>
            <w:vAlign w:val="bottom"/>
          </w:tcPr>
          <w:p w:rsidR="00086E26" w:rsidRPr="0059798C" w:rsidRDefault="005E5283" w:rsidP="00086E26">
            <w:pPr>
              <w:jc w:val="right"/>
              <w:rPr>
                <w:rFonts w:cs="Arial"/>
                <w:sz w:val="22"/>
                <w:szCs w:val="22"/>
              </w:rPr>
            </w:pPr>
            <w:r w:rsidRPr="0059798C">
              <w:rPr>
                <w:rFonts w:cs="Arial"/>
                <w:sz w:val="22"/>
                <w:szCs w:val="22"/>
              </w:rPr>
              <w:t>3.43</w:t>
            </w:r>
          </w:p>
        </w:tc>
        <w:tc>
          <w:tcPr>
            <w:tcW w:w="1023" w:type="dxa"/>
            <w:tcBorders>
              <w:top w:val="single" w:sz="4" w:space="0" w:color="auto"/>
              <w:left w:val="nil"/>
              <w:bottom w:val="single" w:sz="4" w:space="0" w:color="auto"/>
              <w:right w:val="single" w:sz="12" w:space="0" w:color="auto"/>
            </w:tcBorders>
            <w:shd w:val="clear" w:color="auto" w:fill="auto"/>
            <w:noWrap/>
            <w:vAlign w:val="bottom"/>
          </w:tcPr>
          <w:p w:rsidR="00086E26" w:rsidRPr="0059798C" w:rsidRDefault="00772B66" w:rsidP="00086E26">
            <w:pPr>
              <w:jc w:val="right"/>
              <w:rPr>
                <w:rFonts w:cs="Arial"/>
                <w:sz w:val="22"/>
                <w:szCs w:val="22"/>
              </w:rPr>
            </w:pPr>
            <w:r w:rsidRPr="0059798C">
              <w:rPr>
                <w:rFonts w:cs="Arial"/>
                <w:sz w:val="22"/>
                <w:szCs w:val="22"/>
              </w:rPr>
              <w:t>108,600</w:t>
            </w:r>
          </w:p>
        </w:tc>
      </w:tr>
      <w:tr w:rsidR="00086E26" w:rsidRPr="0059798C" w:rsidTr="006A5E4D">
        <w:trPr>
          <w:trHeight w:val="255"/>
        </w:trPr>
        <w:tc>
          <w:tcPr>
            <w:tcW w:w="3817"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086E26" w:rsidRPr="0059798C" w:rsidRDefault="00086E26" w:rsidP="00086E26">
            <w:pPr>
              <w:rPr>
                <w:rFonts w:cs="Arial"/>
                <w:sz w:val="22"/>
                <w:szCs w:val="22"/>
              </w:rPr>
            </w:pPr>
            <w:r w:rsidRPr="0059798C">
              <w:rPr>
                <w:rFonts w:cs="Arial"/>
                <w:sz w:val="22"/>
                <w:szCs w:val="22"/>
              </w:rPr>
              <w:t>Free School Meals Eligibility</w:t>
            </w:r>
          </w:p>
        </w:tc>
        <w:tc>
          <w:tcPr>
            <w:tcW w:w="1022" w:type="dxa"/>
            <w:tcBorders>
              <w:top w:val="single" w:sz="4" w:space="0" w:color="auto"/>
              <w:left w:val="nil"/>
              <w:bottom w:val="single" w:sz="4" w:space="0" w:color="auto"/>
              <w:right w:val="single" w:sz="6" w:space="0" w:color="auto"/>
            </w:tcBorders>
            <w:vAlign w:val="bottom"/>
          </w:tcPr>
          <w:p w:rsidR="00086E26" w:rsidRPr="0059798C" w:rsidRDefault="00086E26" w:rsidP="00086E26">
            <w:pPr>
              <w:jc w:val="right"/>
              <w:rPr>
                <w:rFonts w:cs="Arial"/>
                <w:sz w:val="22"/>
                <w:szCs w:val="22"/>
              </w:rPr>
            </w:pPr>
            <w:r w:rsidRPr="0059798C">
              <w:rPr>
                <w:rFonts w:cs="Arial"/>
                <w:sz w:val="22"/>
                <w:szCs w:val="22"/>
              </w:rPr>
              <w:t xml:space="preserve">1.59 </w:t>
            </w:r>
          </w:p>
        </w:tc>
        <w:tc>
          <w:tcPr>
            <w:tcW w:w="1023" w:type="dxa"/>
            <w:tcBorders>
              <w:top w:val="single" w:sz="4" w:space="0" w:color="auto"/>
              <w:left w:val="single" w:sz="6" w:space="0" w:color="auto"/>
              <w:bottom w:val="single" w:sz="4" w:space="0" w:color="auto"/>
              <w:right w:val="single" w:sz="4" w:space="0" w:color="auto"/>
            </w:tcBorders>
            <w:shd w:val="clear" w:color="auto" w:fill="auto"/>
            <w:noWrap/>
            <w:vAlign w:val="bottom"/>
          </w:tcPr>
          <w:p w:rsidR="00086E26" w:rsidRPr="0059798C" w:rsidRDefault="00086E26" w:rsidP="00086E26">
            <w:pPr>
              <w:jc w:val="right"/>
              <w:rPr>
                <w:rFonts w:cs="Arial"/>
                <w:sz w:val="22"/>
                <w:szCs w:val="22"/>
              </w:rPr>
            </w:pPr>
            <w:r w:rsidRPr="0059798C">
              <w:rPr>
                <w:rFonts w:cs="Arial"/>
                <w:sz w:val="22"/>
                <w:szCs w:val="22"/>
              </w:rPr>
              <w:t>0.80</w:t>
            </w:r>
          </w:p>
        </w:tc>
        <w:tc>
          <w:tcPr>
            <w:tcW w:w="1022" w:type="dxa"/>
            <w:tcBorders>
              <w:top w:val="single" w:sz="4" w:space="0" w:color="auto"/>
              <w:left w:val="nil"/>
              <w:bottom w:val="single" w:sz="4" w:space="0" w:color="auto"/>
              <w:right w:val="single" w:sz="4" w:space="0" w:color="auto"/>
            </w:tcBorders>
            <w:shd w:val="clear" w:color="auto" w:fill="auto"/>
            <w:noWrap/>
            <w:vAlign w:val="bottom"/>
          </w:tcPr>
          <w:p w:rsidR="00086E26" w:rsidRPr="0059798C" w:rsidRDefault="00086E26" w:rsidP="00086E26">
            <w:pPr>
              <w:jc w:val="right"/>
              <w:rPr>
                <w:rFonts w:cs="Arial"/>
                <w:sz w:val="22"/>
                <w:szCs w:val="22"/>
              </w:rPr>
            </w:pPr>
            <w:r w:rsidRPr="0059798C">
              <w:rPr>
                <w:rFonts w:cs="Arial"/>
                <w:sz w:val="22"/>
                <w:szCs w:val="22"/>
              </w:rPr>
              <w:t>24,869</w:t>
            </w:r>
          </w:p>
        </w:tc>
        <w:tc>
          <w:tcPr>
            <w:tcW w:w="1023" w:type="dxa"/>
            <w:tcBorders>
              <w:top w:val="single" w:sz="4" w:space="0" w:color="auto"/>
              <w:left w:val="nil"/>
              <w:bottom w:val="single" w:sz="4" w:space="0" w:color="auto"/>
              <w:right w:val="single" w:sz="4" w:space="0" w:color="auto"/>
            </w:tcBorders>
            <w:shd w:val="clear" w:color="auto" w:fill="auto"/>
            <w:noWrap/>
            <w:vAlign w:val="bottom"/>
          </w:tcPr>
          <w:p w:rsidR="00086E26" w:rsidRPr="0059798C" w:rsidRDefault="005E5283" w:rsidP="00086E26">
            <w:pPr>
              <w:jc w:val="right"/>
              <w:rPr>
                <w:rFonts w:cs="Arial"/>
                <w:sz w:val="22"/>
                <w:szCs w:val="22"/>
              </w:rPr>
            </w:pPr>
            <w:r w:rsidRPr="0059798C">
              <w:rPr>
                <w:rFonts w:cs="Arial"/>
                <w:sz w:val="22"/>
                <w:szCs w:val="22"/>
              </w:rPr>
              <w:t>0.79</w:t>
            </w:r>
          </w:p>
        </w:tc>
        <w:tc>
          <w:tcPr>
            <w:tcW w:w="1023" w:type="dxa"/>
            <w:tcBorders>
              <w:top w:val="single" w:sz="4" w:space="0" w:color="auto"/>
              <w:left w:val="nil"/>
              <w:bottom w:val="single" w:sz="4" w:space="0" w:color="auto"/>
              <w:right w:val="single" w:sz="12" w:space="0" w:color="auto"/>
            </w:tcBorders>
            <w:shd w:val="clear" w:color="auto" w:fill="auto"/>
            <w:noWrap/>
            <w:vAlign w:val="bottom"/>
          </w:tcPr>
          <w:p w:rsidR="00086E26" w:rsidRPr="0059798C" w:rsidRDefault="00B84966" w:rsidP="00086E26">
            <w:pPr>
              <w:jc w:val="right"/>
              <w:rPr>
                <w:rFonts w:cs="Arial"/>
                <w:sz w:val="22"/>
                <w:szCs w:val="22"/>
              </w:rPr>
            </w:pPr>
            <w:r w:rsidRPr="0059798C">
              <w:rPr>
                <w:rFonts w:cs="Arial"/>
                <w:sz w:val="22"/>
                <w:szCs w:val="22"/>
              </w:rPr>
              <w:t>25,</w:t>
            </w:r>
            <w:r w:rsidR="005E5283" w:rsidRPr="0059798C">
              <w:rPr>
                <w:rFonts w:cs="Arial"/>
                <w:sz w:val="22"/>
                <w:szCs w:val="22"/>
              </w:rPr>
              <w:t>013</w:t>
            </w:r>
          </w:p>
        </w:tc>
      </w:tr>
      <w:tr w:rsidR="00086E26" w:rsidRPr="0059798C" w:rsidTr="006A5E4D">
        <w:trPr>
          <w:trHeight w:val="255"/>
        </w:trPr>
        <w:tc>
          <w:tcPr>
            <w:tcW w:w="3817"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086E26" w:rsidRPr="0059798C" w:rsidRDefault="00086E26" w:rsidP="00086E26">
            <w:pPr>
              <w:rPr>
                <w:rFonts w:cs="Arial"/>
                <w:sz w:val="22"/>
                <w:szCs w:val="22"/>
              </w:rPr>
            </w:pPr>
            <w:r w:rsidRPr="0059798C">
              <w:rPr>
                <w:rFonts w:cs="Arial"/>
                <w:sz w:val="22"/>
                <w:szCs w:val="22"/>
              </w:rPr>
              <w:t>Support for Trade Union Duties</w:t>
            </w:r>
          </w:p>
        </w:tc>
        <w:tc>
          <w:tcPr>
            <w:tcW w:w="1022" w:type="dxa"/>
            <w:tcBorders>
              <w:top w:val="single" w:sz="4" w:space="0" w:color="auto"/>
              <w:left w:val="nil"/>
              <w:bottom w:val="single" w:sz="4" w:space="0" w:color="auto"/>
              <w:right w:val="single" w:sz="6" w:space="0" w:color="auto"/>
            </w:tcBorders>
            <w:vAlign w:val="bottom"/>
          </w:tcPr>
          <w:p w:rsidR="00086E26" w:rsidRPr="0059798C" w:rsidRDefault="00086E26" w:rsidP="00086E26">
            <w:pPr>
              <w:jc w:val="right"/>
              <w:rPr>
                <w:rFonts w:cs="Arial"/>
                <w:sz w:val="22"/>
                <w:szCs w:val="22"/>
              </w:rPr>
            </w:pPr>
            <w:r w:rsidRPr="0059798C">
              <w:rPr>
                <w:rFonts w:cs="Arial"/>
                <w:sz w:val="22"/>
                <w:szCs w:val="22"/>
              </w:rPr>
              <w:t xml:space="preserve">8.55 </w:t>
            </w:r>
          </w:p>
        </w:tc>
        <w:tc>
          <w:tcPr>
            <w:tcW w:w="1023" w:type="dxa"/>
            <w:tcBorders>
              <w:top w:val="single" w:sz="4" w:space="0" w:color="auto"/>
              <w:left w:val="single" w:sz="6" w:space="0" w:color="auto"/>
              <w:bottom w:val="single" w:sz="4" w:space="0" w:color="auto"/>
              <w:right w:val="single" w:sz="4" w:space="0" w:color="auto"/>
            </w:tcBorders>
            <w:shd w:val="clear" w:color="auto" w:fill="auto"/>
            <w:noWrap/>
            <w:vAlign w:val="bottom"/>
          </w:tcPr>
          <w:p w:rsidR="00086E26" w:rsidRPr="0059798C" w:rsidRDefault="00086E26" w:rsidP="00086E26">
            <w:pPr>
              <w:jc w:val="right"/>
              <w:rPr>
                <w:rFonts w:cs="Arial"/>
                <w:sz w:val="22"/>
                <w:szCs w:val="22"/>
              </w:rPr>
            </w:pPr>
            <w:r w:rsidRPr="0059798C">
              <w:rPr>
                <w:rFonts w:cs="Arial"/>
                <w:sz w:val="22"/>
                <w:szCs w:val="22"/>
              </w:rPr>
              <w:t>8.02</w:t>
            </w:r>
          </w:p>
        </w:tc>
        <w:tc>
          <w:tcPr>
            <w:tcW w:w="1022" w:type="dxa"/>
            <w:tcBorders>
              <w:top w:val="single" w:sz="4" w:space="0" w:color="auto"/>
              <w:left w:val="nil"/>
              <w:bottom w:val="single" w:sz="4" w:space="0" w:color="auto"/>
              <w:right w:val="single" w:sz="4" w:space="0" w:color="auto"/>
            </w:tcBorders>
            <w:shd w:val="clear" w:color="auto" w:fill="auto"/>
            <w:noWrap/>
            <w:vAlign w:val="bottom"/>
          </w:tcPr>
          <w:p w:rsidR="00086E26" w:rsidRPr="0059798C" w:rsidRDefault="00086E26" w:rsidP="00086E26">
            <w:pPr>
              <w:jc w:val="right"/>
              <w:rPr>
                <w:rFonts w:cs="Arial"/>
                <w:sz w:val="22"/>
                <w:szCs w:val="22"/>
              </w:rPr>
            </w:pPr>
            <w:r w:rsidRPr="0059798C">
              <w:rPr>
                <w:rFonts w:cs="Arial"/>
                <w:sz w:val="22"/>
                <w:szCs w:val="22"/>
              </w:rPr>
              <w:t>249,31</w:t>
            </w:r>
            <w:r w:rsidR="005E5283" w:rsidRPr="0059798C">
              <w:rPr>
                <w:rFonts w:cs="Arial"/>
                <w:sz w:val="22"/>
                <w:szCs w:val="22"/>
              </w:rPr>
              <w:t>0</w:t>
            </w:r>
          </w:p>
        </w:tc>
        <w:tc>
          <w:tcPr>
            <w:tcW w:w="1023" w:type="dxa"/>
            <w:tcBorders>
              <w:top w:val="single" w:sz="4" w:space="0" w:color="auto"/>
              <w:left w:val="nil"/>
              <w:bottom w:val="single" w:sz="4" w:space="0" w:color="auto"/>
              <w:right w:val="single" w:sz="4" w:space="0" w:color="auto"/>
            </w:tcBorders>
            <w:shd w:val="clear" w:color="auto" w:fill="auto"/>
            <w:noWrap/>
            <w:vAlign w:val="bottom"/>
          </w:tcPr>
          <w:p w:rsidR="00086E26" w:rsidRPr="0059798C" w:rsidRDefault="005E5283" w:rsidP="00086E26">
            <w:pPr>
              <w:jc w:val="right"/>
              <w:rPr>
                <w:rFonts w:cs="Arial"/>
                <w:sz w:val="22"/>
                <w:szCs w:val="22"/>
              </w:rPr>
            </w:pPr>
            <w:r w:rsidRPr="0059798C">
              <w:rPr>
                <w:rFonts w:cs="Arial"/>
                <w:sz w:val="22"/>
                <w:szCs w:val="22"/>
              </w:rPr>
              <w:t>7.87</w:t>
            </w:r>
          </w:p>
        </w:tc>
        <w:tc>
          <w:tcPr>
            <w:tcW w:w="1023" w:type="dxa"/>
            <w:tcBorders>
              <w:top w:val="single" w:sz="4" w:space="0" w:color="auto"/>
              <w:left w:val="nil"/>
              <w:bottom w:val="single" w:sz="4" w:space="0" w:color="auto"/>
              <w:right w:val="single" w:sz="12" w:space="0" w:color="auto"/>
            </w:tcBorders>
            <w:shd w:val="clear" w:color="auto" w:fill="auto"/>
            <w:noWrap/>
            <w:vAlign w:val="bottom"/>
          </w:tcPr>
          <w:p w:rsidR="00086E26" w:rsidRPr="0059798C" w:rsidRDefault="00772B66" w:rsidP="00086E26">
            <w:pPr>
              <w:jc w:val="right"/>
              <w:rPr>
                <w:rFonts w:cs="Arial"/>
                <w:sz w:val="22"/>
                <w:szCs w:val="22"/>
              </w:rPr>
            </w:pPr>
            <w:r w:rsidRPr="0059798C">
              <w:rPr>
                <w:rFonts w:cs="Arial"/>
                <w:sz w:val="22"/>
                <w:szCs w:val="22"/>
              </w:rPr>
              <w:t>249,180</w:t>
            </w:r>
          </w:p>
        </w:tc>
      </w:tr>
      <w:tr w:rsidR="00086E26" w:rsidRPr="0059798C" w:rsidTr="006A5E4D">
        <w:trPr>
          <w:trHeight w:val="255"/>
        </w:trPr>
        <w:tc>
          <w:tcPr>
            <w:tcW w:w="3817" w:type="dxa"/>
            <w:tcBorders>
              <w:top w:val="single" w:sz="4" w:space="0" w:color="auto"/>
              <w:left w:val="single" w:sz="12" w:space="0" w:color="auto"/>
              <w:bottom w:val="single" w:sz="12" w:space="0" w:color="auto"/>
              <w:right w:val="single" w:sz="4" w:space="0" w:color="auto"/>
            </w:tcBorders>
            <w:shd w:val="clear" w:color="auto" w:fill="auto"/>
            <w:noWrap/>
            <w:vAlign w:val="bottom"/>
          </w:tcPr>
          <w:p w:rsidR="00086E26" w:rsidRPr="0059798C" w:rsidRDefault="006A5E4D" w:rsidP="00086E26">
            <w:pPr>
              <w:rPr>
                <w:rFonts w:cs="Arial"/>
                <w:sz w:val="22"/>
                <w:szCs w:val="22"/>
              </w:rPr>
            </w:pPr>
            <w:r w:rsidRPr="0059798C">
              <w:rPr>
                <w:rFonts w:cs="Arial"/>
                <w:sz w:val="22"/>
                <w:szCs w:val="22"/>
              </w:rPr>
              <w:t>Local Children’s Safeguarding Board</w:t>
            </w:r>
          </w:p>
        </w:tc>
        <w:tc>
          <w:tcPr>
            <w:tcW w:w="1022" w:type="dxa"/>
            <w:tcBorders>
              <w:top w:val="single" w:sz="4" w:space="0" w:color="auto"/>
              <w:left w:val="nil"/>
              <w:bottom w:val="single" w:sz="12" w:space="0" w:color="auto"/>
              <w:right w:val="single" w:sz="6" w:space="0" w:color="auto"/>
            </w:tcBorders>
            <w:vAlign w:val="bottom"/>
          </w:tcPr>
          <w:p w:rsidR="00086E26" w:rsidRPr="0059798C" w:rsidRDefault="005E5283" w:rsidP="00086E26">
            <w:pPr>
              <w:jc w:val="right"/>
              <w:rPr>
                <w:rFonts w:cs="Arial"/>
                <w:sz w:val="22"/>
                <w:szCs w:val="22"/>
              </w:rPr>
            </w:pPr>
            <w:r w:rsidRPr="0059798C">
              <w:rPr>
                <w:rFonts w:cs="Arial"/>
                <w:sz w:val="22"/>
                <w:szCs w:val="22"/>
              </w:rPr>
              <w:t>1.36</w:t>
            </w:r>
          </w:p>
        </w:tc>
        <w:tc>
          <w:tcPr>
            <w:tcW w:w="1023" w:type="dxa"/>
            <w:tcBorders>
              <w:top w:val="single" w:sz="4" w:space="0" w:color="auto"/>
              <w:left w:val="single" w:sz="6" w:space="0" w:color="auto"/>
              <w:bottom w:val="single" w:sz="12" w:space="0" w:color="auto"/>
              <w:right w:val="single" w:sz="4" w:space="0" w:color="auto"/>
            </w:tcBorders>
            <w:shd w:val="clear" w:color="auto" w:fill="auto"/>
            <w:noWrap/>
            <w:vAlign w:val="bottom"/>
          </w:tcPr>
          <w:p w:rsidR="00086E26" w:rsidRPr="0059798C" w:rsidRDefault="005E5283" w:rsidP="00086E26">
            <w:pPr>
              <w:jc w:val="right"/>
              <w:rPr>
                <w:rFonts w:cs="Arial"/>
                <w:sz w:val="22"/>
                <w:szCs w:val="22"/>
              </w:rPr>
            </w:pPr>
            <w:r w:rsidRPr="0059798C">
              <w:rPr>
                <w:rFonts w:cs="Arial"/>
                <w:sz w:val="22"/>
                <w:szCs w:val="22"/>
              </w:rPr>
              <w:t>1.33</w:t>
            </w:r>
          </w:p>
        </w:tc>
        <w:tc>
          <w:tcPr>
            <w:tcW w:w="1022" w:type="dxa"/>
            <w:tcBorders>
              <w:top w:val="single" w:sz="4" w:space="0" w:color="auto"/>
              <w:left w:val="nil"/>
              <w:bottom w:val="single" w:sz="12" w:space="0" w:color="auto"/>
              <w:right w:val="single" w:sz="4" w:space="0" w:color="auto"/>
            </w:tcBorders>
            <w:shd w:val="clear" w:color="auto" w:fill="auto"/>
            <w:noWrap/>
            <w:vAlign w:val="bottom"/>
          </w:tcPr>
          <w:p w:rsidR="00086E26" w:rsidRPr="0059798C" w:rsidRDefault="005E5283" w:rsidP="00086E26">
            <w:pPr>
              <w:jc w:val="right"/>
              <w:rPr>
                <w:rFonts w:cs="Arial"/>
                <w:sz w:val="22"/>
                <w:szCs w:val="22"/>
              </w:rPr>
            </w:pPr>
            <w:r w:rsidRPr="0059798C">
              <w:rPr>
                <w:rFonts w:cs="Arial"/>
                <w:sz w:val="22"/>
                <w:szCs w:val="22"/>
              </w:rPr>
              <w:t>41,344</w:t>
            </w:r>
          </w:p>
        </w:tc>
        <w:tc>
          <w:tcPr>
            <w:tcW w:w="1023" w:type="dxa"/>
            <w:tcBorders>
              <w:top w:val="single" w:sz="4" w:space="0" w:color="auto"/>
              <w:left w:val="nil"/>
              <w:bottom w:val="single" w:sz="12" w:space="0" w:color="auto"/>
              <w:right w:val="single" w:sz="4" w:space="0" w:color="auto"/>
            </w:tcBorders>
            <w:shd w:val="clear" w:color="auto" w:fill="auto"/>
            <w:noWrap/>
            <w:vAlign w:val="bottom"/>
          </w:tcPr>
          <w:p w:rsidR="00086E26" w:rsidRPr="0059798C" w:rsidRDefault="00572287" w:rsidP="00086E26">
            <w:pPr>
              <w:jc w:val="right"/>
              <w:rPr>
                <w:rFonts w:cs="Arial"/>
                <w:sz w:val="22"/>
                <w:szCs w:val="22"/>
              </w:rPr>
            </w:pPr>
            <w:r>
              <w:rPr>
                <w:rFonts w:cs="Arial"/>
                <w:sz w:val="22"/>
                <w:szCs w:val="22"/>
              </w:rPr>
              <w:t>1.31</w:t>
            </w:r>
          </w:p>
        </w:tc>
        <w:tc>
          <w:tcPr>
            <w:tcW w:w="1023" w:type="dxa"/>
            <w:tcBorders>
              <w:top w:val="single" w:sz="4" w:space="0" w:color="auto"/>
              <w:left w:val="nil"/>
              <w:bottom w:val="single" w:sz="12" w:space="0" w:color="auto"/>
              <w:right w:val="single" w:sz="12" w:space="0" w:color="auto"/>
            </w:tcBorders>
            <w:shd w:val="clear" w:color="auto" w:fill="auto"/>
            <w:noWrap/>
            <w:vAlign w:val="bottom"/>
          </w:tcPr>
          <w:p w:rsidR="00086E26" w:rsidRPr="0059798C" w:rsidRDefault="00572287" w:rsidP="00086E26">
            <w:pPr>
              <w:jc w:val="right"/>
              <w:rPr>
                <w:rFonts w:cs="Arial"/>
                <w:sz w:val="22"/>
                <w:szCs w:val="22"/>
              </w:rPr>
            </w:pPr>
            <w:r>
              <w:rPr>
                <w:rFonts w:cs="Arial"/>
                <w:sz w:val="22"/>
                <w:szCs w:val="22"/>
              </w:rPr>
              <w:t>41,477</w:t>
            </w:r>
          </w:p>
        </w:tc>
      </w:tr>
      <w:tr w:rsidR="005D7C22" w:rsidRPr="0059798C" w:rsidTr="006A5E4D">
        <w:trPr>
          <w:trHeight w:val="255"/>
        </w:trPr>
        <w:tc>
          <w:tcPr>
            <w:tcW w:w="3817" w:type="dxa"/>
            <w:tcBorders>
              <w:top w:val="single" w:sz="12" w:space="0" w:color="auto"/>
              <w:left w:val="single" w:sz="12" w:space="0" w:color="auto"/>
              <w:bottom w:val="single" w:sz="12" w:space="0" w:color="auto"/>
              <w:right w:val="single" w:sz="4" w:space="0" w:color="auto"/>
            </w:tcBorders>
            <w:shd w:val="clear" w:color="auto" w:fill="auto"/>
            <w:noWrap/>
            <w:vAlign w:val="bottom"/>
            <w:hideMark/>
          </w:tcPr>
          <w:p w:rsidR="00086E26" w:rsidRPr="0059798C" w:rsidRDefault="00086E26" w:rsidP="00086E26">
            <w:pPr>
              <w:rPr>
                <w:rFonts w:cs="Arial"/>
                <w:sz w:val="22"/>
                <w:szCs w:val="22"/>
              </w:rPr>
            </w:pPr>
            <w:r w:rsidRPr="0059798C">
              <w:rPr>
                <w:rFonts w:cs="Arial"/>
                <w:sz w:val="22"/>
                <w:szCs w:val="22"/>
              </w:rPr>
              <w:t> </w:t>
            </w:r>
          </w:p>
        </w:tc>
        <w:tc>
          <w:tcPr>
            <w:tcW w:w="1022" w:type="dxa"/>
            <w:tcBorders>
              <w:top w:val="single" w:sz="12" w:space="0" w:color="auto"/>
              <w:left w:val="nil"/>
              <w:bottom w:val="single" w:sz="12" w:space="0" w:color="auto"/>
              <w:right w:val="single" w:sz="6" w:space="0" w:color="auto"/>
            </w:tcBorders>
            <w:vAlign w:val="bottom"/>
          </w:tcPr>
          <w:p w:rsidR="00086E26" w:rsidRPr="0059798C" w:rsidRDefault="00086E26" w:rsidP="00086E26">
            <w:pPr>
              <w:jc w:val="right"/>
              <w:rPr>
                <w:rFonts w:cs="Arial"/>
                <w:sz w:val="22"/>
                <w:szCs w:val="22"/>
              </w:rPr>
            </w:pPr>
            <w:r w:rsidRPr="0059798C">
              <w:rPr>
                <w:rFonts w:cs="Arial"/>
                <w:sz w:val="22"/>
                <w:szCs w:val="22"/>
              </w:rPr>
              <w:t xml:space="preserve">24.48 </w:t>
            </w:r>
          </w:p>
        </w:tc>
        <w:tc>
          <w:tcPr>
            <w:tcW w:w="1023" w:type="dxa"/>
            <w:tcBorders>
              <w:top w:val="single" w:sz="12" w:space="0" w:color="auto"/>
              <w:left w:val="single" w:sz="6" w:space="0" w:color="auto"/>
              <w:bottom w:val="single" w:sz="12" w:space="0" w:color="auto"/>
              <w:right w:val="single" w:sz="4" w:space="0" w:color="auto"/>
            </w:tcBorders>
            <w:shd w:val="clear" w:color="auto" w:fill="auto"/>
            <w:noWrap/>
            <w:vAlign w:val="bottom"/>
          </w:tcPr>
          <w:p w:rsidR="00086E26" w:rsidRPr="0059798C" w:rsidRDefault="00086E26" w:rsidP="00086E26">
            <w:pPr>
              <w:jc w:val="right"/>
              <w:rPr>
                <w:rFonts w:cs="Arial"/>
                <w:sz w:val="22"/>
                <w:szCs w:val="22"/>
              </w:rPr>
            </w:pPr>
            <w:r w:rsidRPr="0059798C">
              <w:rPr>
                <w:rFonts w:cs="Arial"/>
                <w:sz w:val="22"/>
                <w:szCs w:val="22"/>
              </w:rPr>
              <w:t>13.64</w:t>
            </w:r>
          </w:p>
        </w:tc>
        <w:tc>
          <w:tcPr>
            <w:tcW w:w="1022" w:type="dxa"/>
            <w:tcBorders>
              <w:top w:val="single" w:sz="12" w:space="0" w:color="auto"/>
              <w:left w:val="nil"/>
              <w:bottom w:val="single" w:sz="12" w:space="0" w:color="auto"/>
              <w:right w:val="single" w:sz="4" w:space="0" w:color="auto"/>
            </w:tcBorders>
            <w:shd w:val="clear" w:color="auto" w:fill="auto"/>
            <w:noWrap/>
            <w:vAlign w:val="bottom"/>
          </w:tcPr>
          <w:p w:rsidR="00086E26" w:rsidRPr="0059798C" w:rsidRDefault="005E5283" w:rsidP="00086E26">
            <w:pPr>
              <w:jc w:val="right"/>
              <w:rPr>
                <w:rFonts w:cs="Arial"/>
                <w:sz w:val="22"/>
                <w:szCs w:val="22"/>
              </w:rPr>
            </w:pPr>
            <w:r w:rsidRPr="0059798C">
              <w:rPr>
                <w:rFonts w:cs="Arial"/>
                <w:sz w:val="22"/>
                <w:szCs w:val="22"/>
              </w:rPr>
              <w:t>424,013</w:t>
            </w:r>
          </w:p>
        </w:tc>
        <w:tc>
          <w:tcPr>
            <w:tcW w:w="1023" w:type="dxa"/>
            <w:tcBorders>
              <w:top w:val="single" w:sz="12" w:space="0" w:color="auto"/>
              <w:left w:val="nil"/>
              <w:bottom w:val="single" w:sz="12" w:space="0" w:color="auto"/>
              <w:right w:val="single" w:sz="4" w:space="0" w:color="auto"/>
            </w:tcBorders>
            <w:shd w:val="clear" w:color="auto" w:fill="auto"/>
            <w:noWrap/>
            <w:vAlign w:val="bottom"/>
          </w:tcPr>
          <w:p w:rsidR="00086E26" w:rsidRPr="0059798C" w:rsidRDefault="006A5E4D" w:rsidP="00086E26">
            <w:pPr>
              <w:jc w:val="right"/>
              <w:rPr>
                <w:rFonts w:cs="Arial"/>
                <w:sz w:val="22"/>
                <w:szCs w:val="22"/>
              </w:rPr>
            </w:pPr>
            <w:r w:rsidRPr="0059798C">
              <w:rPr>
                <w:rFonts w:cs="Arial"/>
                <w:sz w:val="22"/>
                <w:szCs w:val="22"/>
              </w:rPr>
              <w:t>13.</w:t>
            </w:r>
            <w:r w:rsidR="008947AC">
              <w:rPr>
                <w:rFonts w:cs="Arial"/>
                <w:sz w:val="22"/>
                <w:szCs w:val="22"/>
              </w:rPr>
              <w:t>40</w:t>
            </w:r>
          </w:p>
        </w:tc>
        <w:tc>
          <w:tcPr>
            <w:tcW w:w="1023" w:type="dxa"/>
            <w:tcBorders>
              <w:top w:val="single" w:sz="12" w:space="0" w:color="auto"/>
              <w:left w:val="nil"/>
              <w:bottom w:val="single" w:sz="12" w:space="0" w:color="auto"/>
              <w:right w:val="single" w:sz="12" w:space="0" w:color="auto"/>
            </w:tcBorders>
            <w:shd w:val="clear" w:color="auto" w:fill="auto"/>
            <w:noWrap/>
            <w:vAlign w:val="bottom"/>
          </w:tcPr>
          <w:p w:rsidR="00086E26" w:rsidRPr="0059798C" w:rsidRDefault="005F6D17" w:rsidP="00086E26">
            <w:pPr>
              <w:jc w:val="right"/>
              <w:rPr>
                <w:rFonts w:cs="Arial"/>
                <w:sz w:val="22"/>
                <w:szCs w:val="22"/>
              </w:rPr>
            </w:pPr>
            <w:r>
              <w:rPr>
                <w:rFonts w:cs="Arial"/>
                <w:sz w:val="22"/>
                <w:szCs w:val="22"/>
              </w:rPr>
              <w:t>424,270</w:t>
            </w:r>
          </w:p>
        </w:tc>
      </w:tr>
    </w:tbl>
    <w:p w:rsidR="006832EA" w:rsidRPr="0059798C" w:rsidRDefault="006832EA" w:rsidP="006832EA">
      <w:pPr>
        <w:pStyle w:val="Default"/>
        <w:ind w:left="709"/>
        <w:jc w:val="both"/>
        <w:rPr>
          <w:color w:val="auto"/>
        </w:rPr>
      </w:pPr>
    </w:p>
    <w:p w:rsidR="005D7C22" w:rsidRPr="0059798C" w:rsidRDefault="005D7C22" w:rsidP="005D7C22">
      <w:pPr>
        <w:pStyle w:val="Default"/>
        <w:ind w:left="709"/>
        <w:jc w:val="both"/>
        <w:rPr>
          <w:color w:val="auto"/>
        </w:rPr>
      </w:pPr>
    </w:p>
    <w:p w:rsidR="005D7C22" w:rsidRDefault="00DE01E5" w:rsidP="000341DE">
      <w:pPr>
        <w:pStyle w:val="Default"/>
        <w:numPr>
          <w:ilvl w:val="1"/>
          <w:numId w:val="27"/>
        </w:numPr>
        <w:ind w:left="709"/>
        <w:jc w:val="both"/>
        <w:rPr>
          <w:color w:val="auto"/>
        </w:rPr>
      </w:pPr>
      <w:r w:rsidRPr="0059798C">
        <w:rPr>
          <w:color w:val="auto"/>
        </w:rPr>
        <w:t>T</w:t>
      </w:r>
      <w:r w:rsidR="00D54755">
        <w:rPr>
          <w:color w:val="auto"/>
        </w:rPr>
        <w:t>able 7</w:t>
      </w:r>
      <w:r w:rsidRPr="0059798C">
        <w:rPr>
          <w:color w:val="auto"/>
        </w:rPr>
        <w:t xml:space="preserve"> sets out the </w:t>
      </w:r>
      <w:r w:rsidR="006A5E4D" w:rsidRPr="0059798C">
        <w:rPr>
          <w:color w:val="auto"/>
        </w:rPr>
        <w:t>contribution by each of the phases.</w:t>
      </w:r>
      <w:r w:rsidR="00D84B6B" w:rsidRPr="0059798C">
        <w:rPr>
          <w:color w:val="auto"/>
        </w:rPr>
        <w:t xml:space="preserve"> The quantum has been fixed, and any movement in pupil numbers between the provisional and final October 2017 will be reflected as a change in per pupil unit rate.</w:t>
      </w:r>
    </w:p>
    <w:p w:rsidR="00CB06CB" w:rsidRPr="0059798C" w:rsidRDefault="00CB06CB" w:rsidP="00CB06CB">
      <w:pPr>
        <w:pStyle w:val="Default"/>
        <w:ind w:left="1430"/>
        <w:jc w:val="both"/>
        <w:rPr>
          <w:color w:val="auto"/>
        </w:rPr>
      </w:pPr>
    </w:p>
    <w:p w:rsidR="00CB06CB" w:rsidRPr="00CB06CB" w:rsidRDefault="00CB06CB" w:rsidP="00CB06CB">
      <w:pPr>
        <w:pStyle w:val="Default"/>
        <w:ind w:left="709"/>
        <w:jc w:val="both"/>
        <w:rPr>
          <w:b/>
          <w:color w:val="auto"/>
        </w:rPr>
      </w:pPr>
      <w:r w:rsidRPr="00CB06CB">
        <w:rPr>
          <w:b/>
          <w:color w:val="auto"/>
        </w:rPr>
        <w:t xml:space="preserve">Table </w:t>
      </w:r>
      <w:r w:rsidR="00D54755">
        <w:rPr>
          <w:b/>
          <w:color w:val="auto"/>
        </w:rPr>
        <w:t>7:</w:t>
      </w:r>
      <w:r w:rsidRPr="00CB06CB">
        <w:rPr>
          <w:b/>
          <w:color w:val="auto"/>
        </w:rPr>
        <w:t xml:space="preserve"> De-delegated Budgets &amp; Per Pupil Rates by phase.</w:t>
      </w:r>
    </w:p>
    <w:p w:rsidR="006A5E4D" w:rsidRPr="0059798C" w:rsidRDefault="006A5E4D" w:rsidP="005D7C22">
      <w:pPr>
        <w:pStyle w:val="Default"/>
        <w:ind w:left="709"/>
        <w:jc w:val="both"/>
        <w:rPr>
          <w:color w:val="auto"/>
        </w:rPr>
      </w:pPr>
    </w:p>
    <w:tbl>
      <w:tblPr>
        <w:tblW w:w="8920" w:type="dxa"/>
        <w:tblInd w:w="704" w:type="dxa"/>
        <w:tblLayout w:type="fixed"/>
        <w:tblLook w:val="04A0" w:firstRow="1" w:lastRow="0" w:firstColumn="1" w:lastColumn="0" w:noHBand="0" w:noVBand="1"/>
      </w:tblPr>
      <w:tblGrid>
        <w:gridCol w:w="3817"/>
        <w:gridCol w:w="1560"/>
        <w:gridCol w:w="1609"/>
        <w:gridCol w:w="1934"/>
      </w:tblGrid>
      <w:tr w:rsidR="00415BE7" w:rsidRPr="0059798C" w:rsidTr="000908E2">
        <w:trPr>
          <w:trHeight w:val="157"/>
        </w:trPr>
        <w:tc>
          <w:tcPr>
            <w:tcW w:w="3817" w:type="dxa"/>
            <w:tcBorders>
              <w:top w:val="single" w:sz="12" w:space="0" w:color="auto"/>
              <w:left w:val="single" w:sz="12" w:space="0" w:color="auto"/>
              <w:bottom w:val="single" w:sz="4" w:space="0" w:color="auto"/>
              <w:right w:val="single" w:sz="4" w:space="0" w:color="auto"/>
            </w:tcBorders>
            <w:shd w:val="clear" w:color="auto" w:fill="FABF8F" w:themeFill="accent6" w:themeFillTint="99"/>
            <w:noWrap/>
            <w:vAlign w:val="bottom"/>
            <w:hideMark/>
          </w:tcPr>
          <w:p w:rsidR="005D7C22" w:rsidRDefault="005D7C22" w:rsidP="008658AB">
            <w:pPr>
              <w:rPr>
                <w:rFonts w:cs="Arial"/>
                <w:b/>
                <w:bCs/>
                <w:sz w:val="20"/>
                <w:szCs w:val="20"/>
              </w:rPr>
            </w:pPr>
            <w:r w:rsidRPr="0059798C">
              <w:rPr>
                <w:rFonts w:cs="Arial"/>
                <w:b/>
                <w:bCs/>
                <w:sz w:val="20"/>
                <w:szCs w:val="20"/>
              </w:rPr>
              <w:t>Description</w:t>
            </w:r>
          </w:p>
          <w:p w:rsidR="000341DE" w:rsidRPr="0059798C" w:rsidRDefault="000341DE" w:rsidP="008658AB">
            <w:pPr>
              <w:rPr>
                <w:rFonts w:cs="Arial"/>
                <w:b/>
                <w:bCs/>
                <w:sz w:val="20"/>
                <w:szCs w:val="20"/>
              </w:rPr>
            </w:pPr>
          </w:p>
        </w:tc>
        <w:tc>
          <w:tcPr>
            <w:tcW w:w="1560" w:type="dxa"/>
            <w:tcBorders>
              <w:top w:val="single" w:sz="12" w:space="0" w:color="auto"/>
              <w:left w:val="single" w:sz="6" w:space="0" w:color="auto"/>
              <w:bottom w:val="single" w:sz="4" w:space="0" w:color="auto"/>
              <w:right w:val="single" w:sz="4" w:space="0" w:color="auto"/>
            </w:tcBorders>
            <w:shd w:val="clear" w:color="auto" w:fill="FABF8F" w:themeFill="accent6" w:themeFillTint="99"/>
            <w:vAlign w:val="bottom"/>
          </w:tcPr>
          <w:p w:rsidR="005D7C22" w:rsidRDefault="005D7C22" w:rsidP="008658AB">
            <w:pPr>
              <w:jc w:val="center"/>
              <w:rPr>
                <w:rFonts w:cs="Arial"/>
                <w:b/>
                <w:bCs/>
                <w:sz w:val="20"/>
                <w:szCs w:val="20"/>
              </w:rPr>
            </w:pPr>
            <w:r w:rsidRPr="0059798C">
              <w:rPr>
                <w:rFonts w:cs="Arial"/>
                <w:b/>
                <w:bCs/>
                <w:sz w:val="20"/>
                <w:szCs w:val="20"/>
              </w:rPr>
              <w:t>Primary</w:t>
            </w:r>
          </w:p>
          <w:p w:rsidR="000341DE" w:rsidRPr="0059798C" w:rsidRDefault="000341DE" w:rsidP="008658AB">
            <w:pPr>
              <w:jc w:val="center"/>
              <w:rPr>
                <w:rFonts w:cs="Arial"/>
                <w:b/>
                <w:bCs/>
                <w:sz w:val="20"/>
                <w:szCs w:val="20"/>
              </w:rPr>
            </w:pPr>
          </w:p>
        </w:tc>
        <w:tc>
          <w:tcPr>
            <w:tcW w:w="1609" w:type="dxa"/>
            <w:tcBorders>
              <w:top w:val="single" w:sz="12" w:space="0" w:color="auto"/>
              <w:left w:val="nil"/>
              <w:bottom w:val="single" w:sz="4" w:space="0" w:color="auto"/>
              <w:right w:val="single" w:sz="4" w:space="0" w:color="auto"/>
            </w:tcBorders>
            <w:shd w:val="clear" w:color="auto" w:fill="FABF8F" w:themeFill="accent6" w:themeFillTint="99"/>
            <w:vAlign w:val="bottom"/>
          </w:tcPr>
          <w:p w:rsidR="005D7C22" w:rsidRDefault="005D7C22" w:rsidP="008658AB">
            <w:pPr>
              <w:jc w:val="center"/>
              <w:rPr>
                <w:rFonts w:cs="Arial"/>
                <w:b/>
                <w:bCs/>
                <w:sz w:val="20"/>
                <w:szCs w:val="20"/>
              </w:rPr>
            </w:pPr>
            <w:r w:rsidRPr="0059798C">
              <w:rPr>
                <w:rFonts w:cs="Arial"/>
                <w:b/>
                <w:bCs/>
                <w:sz w:val="20"/>
                <w:szCs w:val="20"/>
              </w:rPr>
              <w:t>Secondary</w:t>
            </w:r>
          </w:p>
          <w:p w:rsidR="000341DE" w:rsidRPr="0059798C" w:rsidRDefault="000341DE" w:rsidP="008658AB">
            <w:pPr>
              <w:jc w:val="center"/>
              <w:rPr>
                <w:rFonts w:cs="Arial"/>
                <w:b/>
                <w:bCs/>
                <w:sz w:val="20"/>
                <w:szCs w:val="20"/>
              </w:rPr>
            </w:pPr>
          </w:p>
        </w:tc>
        <w:tc>
          <w:tcPr>
            <w:tcW w:w="1934" w:type="dxa"/>
            <w:tcBorders>
              <w:top w:val="single" w:sz="12" w:space="0" w:color="auto"/>
              <w:left w:val="nil"/>
              <w:bottom w:val="single" w:sz="4" w:space="0" w:color="auto"/>
              <w:right w:val="single" w:sz="12" w:space="0" w:color="auto"/>
            </w:tcBorders>
            <w:shd w:val="clear" w:color="auto" w:fill="FABF8F" w:themeFill="accent6" w:themeFillTint="99"/>
            <w:vAlign w:val="bottom"/>
          </w:tcPr>
          <w:p w:rsidR="000341DE" w:rsidRDefault="000341DE" w:rsidP="008658AB">
            <w:pPr>
              <w:jc w:val="center"/>
              <w:rPr>
                <w:rFonts w:cs="Arial"/>
                <w:b/>
                <w:bCs/>
                <w:sz w:val="20"/>
                <w:szCs w:val="20"/>
              </w:rPr>
            </w:pPr>
          </w:p>
          <w:p w:rsidR="000341DE" w:rsidRDefault="005D7C22" w:rsidP="000341DE">
            <w:pPr>
              <w:jc w:val="center"/>
              <w:rPr>
                <w:rFonts w:cs="Arial"/>
                <w:b/>
                <w:bCs/>
                <w:sz w:val="20"/>
                <w:szCs w:val="20"/>
              </w:rPr>
            </w:pPr>
            <w:r w:rsidRPr="0059798C">
              <w:rPr>
                <w:rFonts w:cs="Arial"/>
                <w:b/>
                <w:bCs/>
                <w:sz w:val="20"/>
                <w:szCs w:val="20"/>
              </w:rPr>
              <w:t>Total</w:t>
            </w:r>
          </w:p>
          <w:p w:rsidR="000341DE" w:rsidRPr="0059798C" w:rsidRDefault="000341DE" w:rsidP="000341DE">
            <w:pPr>
              <w:jc w:val="center"/>
              <w:rPr>
                <w:rFonts w:cs="Arial"/>
                <w:b/>
                <w:bCs/>
                <w:sz w:val="20"/>
                <w:szCs w:val="20"/>
              </w:rPr>
            </w:pPr>
          </w:p>
        </w:tc>
      </w:tr>
      <w:tr w:rsidR="00415BE7" w:rsidRPr="0059798C" w:rsidTr="00CB06CB">
        <w:trPr>
          <w:trHeight w:val="255"/>
        </w:trPr>
        <w:tc>
          <w:tcPr>
            <w:tcW w:w="3817"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5D7C22" w:rsidRPr="0059798C" w:rsidRDefault="005D7C22" w:rsidP="008658AB">
            <w:pPr>
              <w:rPr>
                <w:rFonts w:cs="Arial"/>
                <w:sz w:val="20"/>
                <w:szCs w:val="20"/>
              </w:rPr>
            </w:pPr>
            <w:r w:rsidRPr="0059798C">
              <w:rPr>
                <w:rFonts w:cs="Arial"/>
                <w:sz w:val="20"/>
                <w:szCs w:val="20"/>
              </w:rPr>
              <w:t>Schools in Financial Difficulty</w:t>
            </w:r>
          </w:p>
        </w:tc>
        <w:tc>
          <w:tcPr>
            <w:tcW w:w="1560" w:type="dxa"/>
            <w:tcBorders>
              <w:top w:val="single" w:sz="4" w:space="0" w:color="auto"/>
              <w:left w:val="single" w:sz="6" w:space="0" w:color="auto"/>
              <w:bottom w:val="single" w:sz="4" w:space="0" w:color="auto"/>
              <w:right w:val="single" w:sz="4" w:space="0" w:color="auto"/>
            </w:tcBorders>
            <w:shd w:val="clear" w:color="auto" w:fill="auto"/>
            <w:noWrap/>
            <w:vAlign w:val="bottom"/>
          </w:tcPr>
          <w:p w:rsidR="005D7C22" w:rsidRPr="0059798C" w:rsidRDefault="005B5674" w:rsidP="008658AB">
            <w:pPr>
              <w:jc w:val="right"/>
              <w:rPr>
                <w:rFonts w:cs="Arial"/>
                <w:sz w:val="20"/>
                <w:szCs w:val="20"/>
              </w:rPr>
            </w:pPr>
            <w:r w:rsidRPr="0059798C">
              <w:rPr>
                <w:rFonts w:cs="Arial"/>
                <w:sz w:val="20"/>
                <w:szCs w:val="20"/>
              </w:rPr>
              <w:t>0</w:t>
            </w:r>
          </w:p>
        </w:tc>
        <w:tc>
          <w:tcPr>
            <w:tcW w:w="1609" w:type="dxa"/>
            <w:tcBorders>
              <w:top w:val="single" w:sz="4" w:space="0" w:color="auto"/>
              <w:left w:val="nil"/>
              <w:bottom w:val="single" w:sz="4" w:space="0" w:color="auto"/>
              <w:right w:val="single" w:sz="4" w:space="0" w:color="auto"/>
            </w:tcBorders>
            <w:shd w:val="clear" w:color="auto" w:fill="auto"/>
            <w:noWrap/>
            <w:vAlign w:val="bottom"/>
          </w:tcPr>
          <w:p w:rsidR="005D7C22" w:rsidRPr="0059798C" w:rsidRDefault="005B5674" w:rsidP="008658AB">
            <w:pPr>
              <w:jc w:val="right"/>
              <w:rPr>
                <w:rFonts w:cs="Arial"/>
                <w:sz w:val="20"/>
                <w:szCs w:val="20"/>
              </w:rPr>
            </w:pPr>
            <w:r w:rsidRPr="0059798C">
              <w:rPr>
                <w:rFonts w:cs="Arial"/>
                <w:sz w:val="20"/>
                <w:szCs w:val="20"/>
              </w:rPr>
              <w:t>0</w:t>
            </w:r>
          </w:p>
        </w:tc>
        <w:tc>
          <w:tcPr>
            <w:tcW w:w="1934" w:type="dxa"/>
            <w:tcBorders>
              <w:top w:val="single" w:sz="4" w:space="0" w:color="auto"/>
              <w:left w:val="nil"/>
              <w:bottom w:val="single" w:sz="4" w:space="0" w:color="auto"/>
              <w:right w:val="single" w:sz="12" w:space="0" w:color="auto"/>
            </w:tcBorders>
            <w:shd w:val="clear" w:color="auto" w:fill="auto"/>
            <w:noWrap/>
            <w:vAlign w:val="bottom"/>
          </w:tcPr>
          <w:p w:rsidR="005D7C22" w:rsidRPr="0059798C" w:rsidRDefault="005D7C22" w:rsidP="008658AB">
            <w:pPr>
              <w:jc w:val="right"/>
              <w:rPr>
                <w:rFonts w:cs="Arial"/>
                <w:sz w:val="20"/>
                <w:szCs w:val="20"/>
              </w:rPr>
            </w:pPr>
          </w:p>
        </w:tc>
      </w:tr>
      <w:tr w:rsidR="00415BE7" w:rsidRPr="0059798C" w:rsidTr="00CB06CB">
        <w:trPr>
          <w:trHeight w:val="255"/>
        </w:trPr>
        <w:tc>
          <w:tcPr>
            <w:tcW w:w="3817"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5B5674" w:rsidRPr="0059798C" w:rsidRDefault="005B5674" w:rsidP="005B5674">
            <w:pPr>
              <w:rPr>
                <w:rFonts w:cs="Arial"/>
                <w:sz w:val="20"/>
                <w:szCs w:val="20"/>
              </w:rPr>
            </w:pPr>
            <w:r w:rsidRPr="0059798C">
              <w:rPr>
                <w:rFonts w:cs="Arial"/>
                <w:sz w:val="20"/>
                <w:szCs w:val="20"/>
              </w:rPr>
              <w:t>Schools Specific Contingency</w:t>
            </w:r>
          </w:p>
        </w:tc>
        <w:tc>
          <w:tcPr>
            <w:tcW w:w="1560" w:type="dxa"/>
            <w:tcBorders>
              <w:top w:val="single" w:sz="4" w:space="0" w:color="auto"/>
              <w:left w:val="single" w:sz="6" w:space="0" w:color="auto"/>
              <w:bottom w:val="single" w:sz="4" w:space="0" w:color="auto"/>
              <w:right w:val="single" w:sz="4" w:space="0" w:color="auto"/>
            </w:tcBorders>
            <w:shd w:val="clear" w:color="auto" w:fill="auto"/>
            <w:noWrap/>
            <w:vAlign w:val="bottom"/>
          </w:tcPr>
          <w:p w:rsidR="005B5674" w:rsidRPr="0059798C" w:rsidRDefault="00772B66" w:rsidP="005B5674">
            <w:pPr>
              <w:jc w:val="right"/>
              <w:rPr>
                <w:rFonts w:cs="Arial"/>
                <w:sz w:val="20"/>
                <w:szCs w:val="20"/>
              </w:rPr>
            </w:pPr>
            <w:r w:rsidRPr="0059798C">
              <w:rPr>
                <w:rFonts w:cs="Arial"/>
                <w:sz w:val="20"/>
                <w:szCs w:val="20"/>
              </w:rPr>
              <w:t>77,830</w:t>
            </w:r>
          </w:p>
        </w:tc>
        <w:tc>
          <w:tcPr>
            <w:tcW w:w="1609" w:type="dxa"/>
            <w:tcBorders>
              <w:top w:val="single" w:sz="4" w:space="0" w:color="auto"/>
              <w:left w:val="nil"/>
              <w:bottom w:val="single" w:sz="4" w:space="0" w:color="auto"/>
              <w:right w:val="single" w:sz="4" w:space="0" w:color="auto"/>
            </w:tcBorders>
            <w:shd w:val="clear" w:color="auto" w:fill="auto"/>
            <w:noWrap/>
            <w:vAlign w:val="bottom"/>
          </w:tcPr>
          <w:p w:rsidR="005B5674" w:rsidRPr="0059798C" w:rsidRDefault="00772B66" w:rsidP="005B5674">
            <w:pPr>
              <w:jc w:val="right"/>
              <w:rPr>
                <w:rFonts w:cs="Arial"/>
                <w:sz w:val="20"/>
                <w:szCs w:val="20"/>
              </w:rPr>
            </w:pPr>
            <w:r w:rsidRPr="0059798C">
              <w:rPr>
                <w:rFonts w:cs="Arial"/>
                <w:sz w:val="20"/>
                <w:szCs w:val="20"/>
              </w:rPr>
              <w:t>30,77</w:t>
            </w:r>
            <w:r w:rsidR="00F61B71" w:rsidRPr="0059798C">
              <w:rPr>
                <w:rFonts w:cs="Arial"/>
                <w:sz w:val="20"/>
                <w:szCs w:val="20"/>
              </w:rPr>
              <w:t>0</w:t>
            </w:r>
          </w:p>
        </w:tc>
        <w:tc>
          <w:tcPr>
            <w:tcW w:w="1934" w:type="dxa"/>
            <w:tcBorders>
              <w:top w:val="single" w:sz="4" w:space="0" w:color="auto"/>
              <w:left w:val="nil"/>
              <w:bottom w:val="single" w:sz="4" w:space="0" w:color="auto"/>
              <w:right w:val="single" w:sz="12" w:space="0" w:color="auto"/>
            </w:tcBorders>
            <w:shd w:val="clear" w:color="auto" w:fill="auto"/>
            <w:noWrap/>
            <w:vAlign w:val="bottom"/>
          </w:tcPr>
          <w:p w:rsidR="005B5674" w:rsidRPr="0059798C" w:rsidRDefault="00772B66" w:rsidP="005B5674">
            <w:pPr>
              <w:jc w:val="right"/>
              <w:rPr>
                <w:rFonts w:cs="Arial"/>
                <w:sz w:val="20"/>
                <w:szCs w:val="20"/>
              </w:rPr>
            </w:pPr>
            <w:r w:rsidRPr="0059798C">
              <w:rPr>
                <w:rFonts w:cs="Arial"/>
                <w:sz w:val="20"/>
                <w:szCs w:val="20"/>
              </w:rPr>
              <w:t>108,60</w:t>
            </w:r>
            <w:r w:rsidR="00F61B71" w:rsidRPr="0059798C">
              <w:rPr>
                <w:rFonts w:cs="Arial"/>
                <w:sz w:val="20"/>
                <w:szCs w:val="20"/>
              </w:rPr>
              <w:t>0</w:t>
            </w:r>
          </w:p>
        </w:tc>
      </w:tr>
      <w:tr w:rsidR="00415BE7" w:rsidRPr="0059798C" w:rsidTr="00CB06CB">
        <w:trPr>
          <w:trHeight w:val="255"/>
        </w:trPr>
        <w:tc>
          <w:tcPr>
            <w:tcW w:w="3817"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5B5674" w:rsidRPr="0059798C" w:rsidRDefault="005B5674" w:rsidP="005B5674">
            <w:pPr>
              <w:rPr>
                <w:rFonts w:cs="Arial"/>
                <w:sz w:val="20"/>
                <w:szCs w:val="20"/>
              </w:rPr>
            </w:pPr>
            <w:r w:rsidRPr="0059798C">
              <w:rPr>
                <w:rFonts w:cs="Arial"/>
                <w:sz w:val="20"/>
                <w:szCs w:val="20"/>
              </w:rPr>
              <w:t>Free School Meals Eligibility</w:t>
            </w:r>
          </w:p>
        </w:tc>
        <w:tc>
          <w:tcPr>
            <w:tcW w:w="1560" w:type="dxa"/>
            <w:tcBorders>
              <w:top w:val="single" w:sz="4" w:space="0" w:color="auto"/>
              <w:left w:val="single" w:sz="6" w:space="0" w:color="auto"/>
              <w:bottom w:val="single" w:sz="4" w:space="0" w:color="auto"/>
              <w:right w:val="single" w:sz="4" w:space="0" w:color="auto"/>
            </w:tcBorders>
            <w:shd w:val="clear" w:color="auto" w:fill="auto"/>
            <w:noWrap/>
            <w:vAlign w:val="bottom"/>
          </w:tcPr>
          <w:p w:rsidR="005B5674" w:rsidRPr="0059798C" w:rsidRDefault="00772B66" w:rsidP="005B5674">
            <w:pPr>
              <w:jc w:val="right"/>
              <w:rPr>
                <w:rFonts w:cs="Arial"/>
                <w:sz w:val="20"/>
                <w:szCs w:val="20"/>
              </w:rPr>
            </w:pPr>
            <w:r w:rsidRPr="0059798C">
              <w:rPr>
                <w:rFonts w:cs="Arial"/>
                <w:sz w:val="20"/>
                <w:szCs w:val="20"/>
              </w:rPr>
              <w:t>17,926</w:t>
            </w:r>
          </w:p>
        </w:tc>
        <w:tc>
          <w:tcPr>
            <w:tcW w:w="1609" w:type="dxa"/>
            <w:tcBorders>
              <w:top w:val="single" w:sz="4" w:space="0" w:color="auto"/>
              <w:left w:val="nil"/>
              <w:bottom w:val="single" w:sz="4" w:space="0" w:color="auto"/>
              <w:right w:val="single" w:sz="4" w:space="0" w:color="auto"/>
            </w:tcBorders>
            <w:shd w:val="clear" w:color="auto" w:fill="auto"/>
            <w:noWrap/>
            <w:vAlign w:val="bottom"/>
          </w:tcPr>
          <w:p w:rsidR="005B5674" w:rsidRPr="0059798C" w:rsidRDefault="00772B66" w:rsidP="005B5674">
            <w:pPr>
              <w:jc w:val="right"/>
              <w:rPr>
                <w:rFonts w:cs="Arial"/>
                <w:sz w:val="20"/>
                <w:szCs w:val="20"/>
              </w:rPr>
            </w:pPr>
            <w:r w:rsidRPr="0059798C">
              <w:rPr>
                <w:rFonts w:cs="Arial"/>
                <w:sz w:val="20"/>
                <w:szCs w:val="20"/>
              </w:rPr>
              <w:t>7,087</w:t>
            </w:r>
          </w:p>
        </w:tc>
        <w:tc>
          <w:tcPr>
            <w:tcW w:w="1934" w:type="dxa"/>
            <w:tcBorders>
              <w:top w:val="single" w:sz="4" w:space="0" w:color="auto"/>
              <w:left w:val="nil"/>
              <w:bottom w:val="single" w:sz="4" w:space="0" w:color="auto"/>
              <w:right w:val="single" w:sz="12" w:space="0" w:color="auto"/>
            </w:tcBorders>
            <w:shd w:val="clear" w:color="auto" w:fill="auto"/>
            <w:noWrap/>
            <w:vAlign w:val="bottom"/>
          </w:tcPr>
          <w:p w:rsidR="005B5674" w:rsidRPr="0059798C" w:rsidRDefault="00772B66" w:rsidP="005B5674">
            <w:pPr>
              <w:jc w:val="right"/>
              <w:rPr>
                <w:rFonts w:cs="Arial"/>
                <w:sz w:val="20"/>
                <w:szCs w:val="20"/>
              </w:rPr>
            </w:pPr>
            <w:r w:rsidRPr="0059798C">
              <w:rPr>
                <w:rFonts w:cs="Arial"/>
                <w:sz w:val="20"/>
                <w:szCs w:val="20"/>
              </w:rPr>
              <w:t>25,013</w:t>
            </w:r>
          </w:p>
        </w:tc>
      </w:tr>
      <w:tr w:rsidR="00415BE7" w:rsidRPr="0059798C" w:rsidTr="00CB06CB">
        <w:trPr>
          <w:trHeight w:val="255"/>
        </w:trPr>
        <w:tc>
          <w:tcPr>
            <w:tcW w:w="3817"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5B5674" w:rsidRPr="0059798C" w:rsidRDefault="005B5674" w:rsidP="005B5674">
            <w:pPr>
              <w:rPr>
                <w:rFonts w:cs="Arial"/>
                <w:sz w:val="20"/>
                <w:szCs w:val="20"/>
              </w:rPr>
            </w:pPr>
            <w:r w:rsidRPr="0059798C">
              <w:rPr>
                <w:rFonts w:cs="Arial"/>
                <w:sz w:val="20"/>
                <w:szCs w:val="20"/>
              </w:rPr>
              <w:t>Support for Trade Union Duties</w:t>
            </w:r>
          </w:p>
        </w:tc>
        <w:tc>
          <w:tcPr>
            <w:tcW w:w="1560" w:type="dxa"/>
            <w:tcBorders>
              <w:top w:val="single" w:sz="4" w:space="0" w:color="auto"/>
              <w:left w:val="single" w:sz="6" w:space="0" w:color="auto"/>
              <w:bottom w:val="single" w:sz="4" w:space="0" w:color="auto"/>
              <w:right w:val="single" w:sz="4" w:space="0" w:color="auto"/>
            </w:tcBorders>
            <w:shd w:val="clear" w:color="auto" w:fill="auto"/>
            <w:noWrap/>
            <w:vAlign w:val="bottom"/>
          </w:tcPr>
          <w:p w:rsidR="005B5674" w:rsidRPr="0059798C" w:rsidRDefault="00772B66" w:rsidP="005B5674">
            <w:pPr>
              <w:jc w:val="right"/>
              <w:rPr>
                <w:rFonts w:cs="Arial"/>
                <w:sz w:val="20"/>
                <w:szCs w:val="20"/>
              </w:rPr>
            </w:pPr>
            <w:r w:rsidRPr="0059798C">
              <w:rPr>
                <w:rFonts w:cs="Arial"/>
                <w:sz w:val="20"/>
                <w:szCs w:val="20"/>
              </w:rPr>
              <w:t>178,578</w:t>
            </w:r>
          </w:p>
        </w:tc>
        <w:tc>
          <w:tcPr>
            <w:tcW w:w="1609" w:type="dxa"/>
            <w:tcBorders>
              <w:top w:val="single" w:sz="4" w:space="0" w:color="auto"/>
              <w:left w:val="nil"/>
              <w:bottom w:val="single" w:sz="4" w:space="0" w:color="auto"/>
              <w:right w:val="single" w:sz="4" w:space="0" w:color="auto"/>
            </w:tcBorders>
            <w:shd w:val="clear" w:color="auto" w:fill="auto"/>
            <w:noWrap/>
            <w:vAlign w:val="bottom"/>
          </w:tcPr>
          <w:p w:rsidR="005B5674" w:rsidRPr="0059798C" w:rsidRDefault="00772B66" w:rsidP="005B5674">
            <w:pPr>
              <w:jc w:val="right"/>
              <w:rPr>
                <w:rFonts w:cs="Arial"/>
                <w:sz w:val="20"/>
                <w:szCs w:val="20"/>
              </w:rPr>
            </w:pPr>
            <w:r w:rsidRPr="0059798C">
              <w:rPr>
                <w:rFonts w:cs="Arial"/>
                <w:sz w:val="20"/>
                <w:szCs w:val="20"/>
              </w:rPr>
              <w:t>70,602</w:t>
            </w:r>
          </w:p>
        </w:tc>
        <w:tc>
          <w:tcPr>
            <w:tcW w:w="1934" w:type="dxa"/>
            <w:tcBorders>
              <w:top w:val="single" w:sz="4" w:space="0" w:color="auto"/>
              <w:left w:val="nil"/>
              <w:bottom w:val="single" w:sz="4" w:space="0" w:color="auto"/>
              <w:right w:val="single" w:sz="12" w:space="0" w:color="auto"/>
            </w:tcBorders>
            <w:shd w:val="clear" w:color="auto" w:fill="auto"/>
            <w:noWrap/>
            <w:vAlign w:val="bottom"/>
          </w:tcPr>
          <w:p w:rsidR="005B5674" w:rsidRPr="0059798C" w:rsidRDefault="00772B66" w:rsidP="005B5674">
            <w:pPr>
              <w:jc w:val="right"/>
              <w:rPr>
                <w:rFonts w:cs="Arial"/>
                <w:sz w:val="20"/>
                <w:szCs w:val="20"/>
              </w:rPr>
            </w:pPr>
            <w:r w:rsidRPr="0059798C">
              <w:rPr>
                <w:rFonts w:cs="Arial"/>
                <w:sz w:val="20"/>
                <w:szCs w:val="20"/>
              </w:rPr>
              <w:t>249,180</w:t>
            </w:r>
          </w:p>
        </w:tc>
      </w:tr>
      <w:tr w:rsidR="00415BE7" w:rsidRPr="0059798C" w:rsidTr="00CB06CB">
        <w:trPr>
          <w:trHeight w:val="255"/>
        </w:trPr>
        <w:tc>
          <w:tcPr>
            <w:tcW w:w="3817" w:type="dxa"/>
            <w:tcBorders>
              <w:top w:val="single" w:sz="4" w:space="0" w:color="auto"/>
              <w:left w:val="single" w:sz="12" w:space="0" w:color="auto"/>
              <w:bottom w:val="single" w:sz="12" w:space="0" w:color="auto"/>
              <w:right w:val="single" w:sz="4" w:space="0" w:color="auto"/>
            </w:tcBorders>
            <w:shd w:val="clear" w:color="auto" w:fill="auto"/>
            <w:noWrap/>
            <w:vAlign w:val="bottom"/>
          </w:tcPr>
          <w:p w:rsidR="005B5674" w:rsidRPr="00415BE7" w:rsidRDefault="00415BE7" w:rsidP="005B5674">
            <w:pPr>
              <w:rPr>
                <w:rFonts w:cs="Arial"/>
                <w:sz w:val="20"/>
                <w:szCs w:val="20"/>
              </w:rPr>
            </w:pPr>
            <w:r w:rsidRPr="00415BE7">
              <w:rPr>
                <w:rFonts w:cs="Arial"/>
                <w:sz w:val="20"/>
                <w:szCs w:val="20"/>
              </w:rPr>
              <w:t>Local Children’s Safeguarding Board</w:t>
            </w:r>
          </w:p>
        </w:tc>
        <w:tc>
          <w:tcPr>
            <w:tcW w:w="1560" w:type="dxa"/>
            <w:tcBorders>
              <w:top w:val="single" w:sz="4" w:space="0" w:color="auto"/>
              <w:left w:val="single" w:sz="6" w:space="0" w:color="auto"/>
              <w:bottom w:val="single" w:sz="12" w:space="0" w:color="auto"/>
              <w:right w:val="single" w:sz="4" w:space="0" w:color="auto"/>
            </w:tcBorders>
            <w:shd w:val="clear" w:color="auto" w:fill="auto"/>
            <w:noWrap/>
            <w:vAlign w:val="bottom"/>
          </w:tcPr>
          <w:p w:rsidR="005B5674" w:rsidRPr="0059798C" w:rsidRDefault="005F6D17" w:rsidP="005B5674">
            <w:pPr>
              <w:jc w:val="right"/>
              <w:rPr>
                <w:rFonts w:cs="Arial"/>
                <w:sz w:val="20"/>
                <w:szCs w:val="20"/>
              </w:rPr>
            </w:pPr>
            <w:r>
              <w:rPr>
                <w:rFonts w:cs="Arial"/>
                <w:sz w:val="20"/>
                <w:szCs w:val="20"/>
              </w:rPr>
              <w:t>29,725</w:t>
            </w:r>
          </w:p>
        </w:tc>
        <w:tc>
          <w:tcPr>
            <w:tcW w:w="1609" w:type="dxa"/>
            <w:tcBorders>
              <w:top w:val="single" w:sz="4" w:space="0" w:color="auto"/>
              <w:left w:val="nil"/>
              <w:bottom w:val="single" w:sz="12" w:space="0" w:color="auto"/>
              <w:right w:val="single" w:sz="4" w:space="0" w:color="auto"/>
            </w:tcBorders>
            <w:shd w:val="clear" w:color="auto" w:fill="auto"/>
            <w:noWrap/>
            <w:vAlign w:val="bottom"/>
          </w:tcPr>
          <w:p w:rsidR="005B5674" w:rsidRPr="0059798C" w:rsidRDefault="005F6D17" w:rsidP="005B5674">
            <w:pPr>
              <w:jc w:val="right"/>
              <w:rPr>
                <w:rFonts w:cs="Arial"/>
                <w:sz w:val="20"/>
                <w:szCs w:val="20"/>
              </w:rPr>
            </w:pPr>
            <w:r>
              <w:rPr>
                <w:rFonts w:cs="Arial"/>
                <w:sz w:val="20"/>
                <w:szCs w:val="20"/>
              </w:rPr>
              <w:t>11,752</w:t>
            </w:r>
          </w:p>
        </w:tc>
        <w:tc>
          <w:tcPr>
            <w:tcW w:w="1934" w:type="dxa"/>
            <w:tcBorders>
              <w:top w:val="single" w:sz="4" w:space="0" w:color="auto"/>
              <w:left w:val="nil"/>
              <w:bottom w:val="single" w:sz="12" w:space="0" w:color="auto"/>
              <w:right w:val="single" w:sz="12" w:space="0" w:color="auto"/>
            </w:tcBorders>
            <w:shd w:val="clear" w:color="auto" w:fill="auto"/>
            <w:noWrap/>
            <w:vAlign w:val="bottom"/>
          </w:tcPr>
          <w:p w:rsidR="005B5674" w:rsidRPr="0059798C" w:rsidRDefault="005F6D17" w:rsidP="005B5674">
            <w:pPr>
              <w:jc w:val="right"/>
              <w:rPr>
                <w:rFonts w:cs="Arial"/>
                <w:sz w:val="20"/>
                <w:szCs w:val="20"/>
              </w:rPr>
            </w:pPr>
            <w:r>
              <w:rPr>
                <w:rFonts w:cs="Arial"/>
                <w:sz w:val="20"/>
                <w:szCs w:val="20"/>
              </w:rPr>
              <w:t>41,477</w:t>
            </w:r>
          </w:p>
        </w:tc>
      </w:tr>
      <w:tr w:rsidR="00415BE7" w:rsidRPr="000341DE" w:rsidTr="00CB06CB">
        <w:trPr>
          <w:trHeight w:val="255"/>
        </w:trPr>
        <w:tc>
          <w:tcPr>
            <w:tcW w:w="3817" w:type="dxa"/>
            <w:tcBorders>
              <w:top w:val="single" w:sz="12" w:space="0" w:color="auto"/>
              <w:left w:val="single" w:sz="12" w:space="0" w:color="auto"/>
              <w:bottom w:val="single" w:sz="12" w:space="0" w:color="auto"/>
              <w:right w:val="single" w:sz="4" w:space="0" w:color="auto"/>
            </w:tcBorders>
            <w:shd w:val="clear" w:color="auto" w:fill="auto"/>
            <w:noWrap/>
            <w:vAlign w:val="bottom"/>
            <w:hideMark/>
          </w:tcPr>
          <w:p w:rsidR="005B5674" w:rsidRPr="000341DE" w:rsidRDefault="005B5674" w:rsidP="005B5674">
            <w:pPr>
              <w:rPr>
                <w:rFonts w:cs="Arial"/>
                <w:b/>
                <w:sz w:val="20"/>
                <w:szCs w:val="20"/>
              </w:rPr>
            </w:pPr>
            <w:r w:rsidRPr="000341DE">
              <w:rPr>
                <w:rFonts w:cs="Arial"/>
                <w:b/>
                <w:sz w:val="20"/>
                <w:szCs w:val="20"/>
              </w:rPr>
              <w:t> </w:t>
            </w:r>
            <w:r w:rsidR="000341DE" w:rsidRPr="000341DE">
              <w:rPr>
                <w:rFonts w:cs="Arial"/>
                <w:b/>
                <w:sz w:val="20"/>
                <w:szCs w:val="20"/>
              </w:rPr>
              <w:t>Total</w:t>
            </w:r>
          </w:p>
        </w:tc>
        <w:tc>
          <w:tcPr>
            <w:tcW w:w="1560" w:type="dxa"/>
            <w:tcBorders>
              <w:top w:val="single" w:sz="12" w:space="0" w:color="auto"/>
              <w:left w:val="single" w:sz="6" w:space="0" w:color="auto"/>
              <w:bottom w:val="single" w:sz="12" w:space="0" w:color="auto"/>
              <w:right w:val="single" w:sz="4" w:space="0" w:color="auto"/>
            </w:tcBorders>
            <w:shd w:val="clear" w:color="auto" w:fill="auto"/>
            <w:noWrap/>
            <w:vAlign w:val="bottom"/>
          </w:tcPr>
          <w:p w:rsidR="005B5674" w:rsidRPr="000341DE" w:rsidRDefault="00020CE5" w:rsidP="00772B66">
            <w:pPr>
              <w:jc w:val="right"/>
              <w:rPr>
                <w:rFonts w:cs="Arial"/>
                <w:b/>
                <w:sz w:val="20"/>
                <w:szCs w:val="20"/>
              </w:rPr>
            </w:pPr>
            <w:r>
              <w:rPr>
                <w:rFonts w:cs="Arial"/>
                <w:b/>
                <w:sz w:val="20"/>
                <w:szCs w:val="20"/>
              </w:rPr>
              <w:t>304,059</w:t>
            </w:r>
          </w:p>
        </w:tc>
        <w:tc>
          <w:tcPr>
            <w:tcW w:w="1609" w:type="dxa"/>
            <w:tcBorders>
              <w:top w:val="single" w:sz="12" w:space="0" w:color="auto"/>
              <w:left w:val="nil"/>
              <w:bottom w:val="single" w:sz="12" w:space="0" w:color="auto"/>
              <w:right w:val="single" w:sz="4" w:space="0" w:color="auto"/>
            </w:tcBorders>
            <w:shd w:val="clear" w:color="auto" w:fill="auto"/>
            <w:noWrap/>
            <w:vAlign w:val="bottom"/>
          </w:tcPr>
          <w:p w:rsidR="005B5674" w:rsidRPr="000341DE" w:rsidRDefault="00020CE5" w:rsidP="005B5674">
            <w:pPr>
              <w:jc w:val="right"/>
              <w:rPr>
                <w:rFonts w:cs="Arial"/>
                <w:b/>
                <w:sz w:val="20"/>
                <w:szCs w:val="20"/>
              </w:rPr>
            </w:pPr>
            <w:r>
              <w:rPr>
                <w:rFonts w:cs="Arial"/>
                <w:b/>
                <w:sz w:val="20"/>
                <w:szCs w:val="20"/>
              </w:rPr>
              <w:t>120,211</w:t>
            </w:r>
          </w:p>
        </w:tc>
        <w:tc>
          <w:tcPr>
            <w:tcW w:w="1934" w:type="dxa"/>
            <w:tcBorders>
              <w:top w:val="single" w:sz="12" w:space="0" w:color="auto"/>
              <w:left w:val="nil"/>
              <w:bottom w:val="single" w:sz="12" w:space="0" w:color="auto"/>
              <w:right w:val="single" w:sz="12" w:space="0" w:color="auto"/>
            </w:tcBorders>
            <w:shd w:val="clear" w:color="auto" w:fill="auto"/>
            <w:noWrap/>
            <w:vAlign w:val="bottom"/>
          </w:tcPr>
          <w:p w:rsidR="005B5674" w:rsidRPr="000341DE" w:rsidRDefault="005F6D17" w:rsidP="005B5674">
            <w:pPr>
              <w:jc w:val="right"/>
              <w:rPr>
                <w:rFonts w:cs="Arial"/>
                <w:b/>
                <w:sz w:val="20"/>
                <w:szCs w:val="20"/>
              </w:rPr>
            </w:pPr>
            <w:r>
              <w:rPr>
                <w:rFonts w:cs="Arial"/>
                <w:b/>
                <w:sz w:val="20"/>
                <w:szCs w:val="20"/>
              </w:rPr>
              <w:t>424,270</w:t>
            </w:r>
          </w:p>
        </w:tc>
      </w:tr>
    </w:tbl>
    <w:p w:rsidR="005D7C22" w:rsidRPr="0059798C" w:rsidRDefault="005D7C22" w:rsidP="005D7C22">
      <w:pPr>
        <w:pStyle w:val="Default"/>
        <w:ind w:left="709"/>
        <w:jc w:val="both"/>
        <w:rPr>
          <w:color w:val="auto"/>
        </w:rPr>
      </w:pPr>
    </w:p>
    <w:p w:rsidR="005D7C22" w:rsidRPr="0059798C" w:rsidRDefault="005D7C22" w:rsidP="005D7C22">
      <w:pPr>
        <w:pStyle w:val="Default"/>
        <w:ind w:left="709"/>
        <w:jc w:val="both"/>
        <w:rPr>
          <w:color w:val="auto"/>
        </w:rPr>
      </w:pPr>
    </w:p>
    <w:p w:rsidR="006832EA" w:rsidRPr="0059798C" w:rsidRDefault="006832EA" w:rsidP="00415BE7">
      <w:pPr>
        <w:pBdr>
          <w:top w:val="single" w:sz="4" w:space="1" w:color="auto"/>
          <w:left w:val="single" w:sz="4" w:space="0" w:color="auto"/>
          <w:bottom w:val="single" w:sz="4" w:space="1" w:color="auto"/>
          <w:right w:val="single" w:sz="4" w:space="4" w:color="auto"/>
        </w:pBdr>
        <w:ind w:left="1276" w:hanging="571"/>
        <w:jc w:val="both"/>
      </w:pPr>
      <w:r w:rsidRPr="0059798C">
        <w:t xml:space="preserve"> </w:t>
      </w:r>
      <w:r w:rsidR="003A3303" w:rsidRPr="0059798C">
        <w:rPr>
          <w:rFonts w:cs="Arial"/>
          <w:b/>
          <w:i/>
        </w:rPr>
        <w:t>(i</w:t>
      </w:r>
      <w:r w:rsidRPr="0059798C">
        <w:rPr>
          <w:rFonts w:cs="Arial"/>
          <w:b/>
          <w:i/>
        </w:rPr>
        <w:t>i)</w:t>
      </w:r>
      <w:r w:rsidRPr="0059798C">
        <w:rPr>
          <w:rFonts w:cs="Arial"/>
          <w:b/>
          <w:i/>
        </w:rPr>
        <w:tab/>
      </w:r>
      <w:r w:rsidRPr="0059798C">
        <w:rPr>
          <w:rFonts w:cs="Arial"/>
          <w:b/>
        </w:rPr>
        <w:t>Decision required –</w:t>
      </w:r>
      <w:r w:rsidR="006A5E4D" w:rsidRPr="0059798C">
        <w:rPr>
          <w:rFonts w:cs="Arial"/>
          <w:b/>
        </w:rPr>
        <w:t xml:space="preserve"> Schools Forum </w:t>
      </w:r>
      <w:r w:rsidR="00D54755">
        <w:rPr>
          <w:rFonts w:cs="Arial"/>
          <w:b/>
        </w:rPr>
        <w:t xml:space="preserve">is asked to </w:t>
      </w:r>
      <w:r w:rsidR="003A3303" w:rsidRPr="0059798C">
        <w:rPr>
          <w:rFonts w:cs="Arial"/>
          <w:b/>
        </w:rPr>
        <w:t>agree</w:t>
      </w:r>
      <w:r w:rsidR="00B427E1" w:rsidRPr="0059798C">
        <w:rPr>
          <w:rFonts w:cs="Arial"/>
          <w:b/>
        </w:rPr>
        <w:t>, separately for primary and secondary phases, the</w:t>
      </w:r>
      <w:r w:rsidRPr="0059798C">
        <w:rPr>
          <w:rFonts w:cs="Arial"/>
          <w:b/>
        </w:rPr>
        <w:t xml:space="preserve"> </w:t>
      </w:r>
      <w:r w:rsidR="003A3303" w:rsidRPr="0059798C">
        <w:rPr>
          <w:rFonts w:cs="Arial"/>
          <w:b/>
        </w:rPr>
        <w:t>d</w:t>
      </w:r>
      <w:r w:rsidRPr="0059798C">
        <w:rPr>
          <w:rFonts w:cs="Arial"/>
          <w:b/>
        </w:rPr>
        <w:t>e-delegated budg</w:t>
      </w:r>
      <w:r w:rsidR="00B427E1" w:rsidRPr="0059798C">
        <w:rPr>
          <w:rFonts w:cs="Arial"/>
          <w:b/>
        </w:rPr>
        <w:t>ets for centrally provided services</w:t>
      </w:r>
      <w:r w:rsidR="00D54755">
        <w:rPr>
          <w:rFonts w:cs="Arial"/>
          <w:b/>
        </w:rPr>
        <w:t>.</w:t>
      </w:r>
    </w:p>
    <w:p w:rsidR="007702C9" w:rsidRPr="0059798C" w:rsidRDefault="007702C9" w:rsidP="00DA13BB">
      <w:pPr>
        <w:rPr>
          <w:b/>
          <w:u w:val="single"/>
        </w:rPr>
      </w:pPr>
    </w:p>
    <w:p w:rsidR="00FC54B9" w:rsidRPr="0059798C" w:rsidRDefault="00FC54B9" w:rsidP="00DA13BB">
      <w:pPr>
        <w:rPr>
          <w:b/>
          <w:u w:val="single"/>
        </w:rPr>
      </w:pPr>
    </w:p>
    <w:p w:rsidR="00C52505" w:rsidRPr="0059798C" w:rsidRDefault="00C52505" w:rsidP="001370FE">
      <w:pPr>
        <w:ind w:left="709" w:hanging="709"/>
      </w:pPr>
    </w:p>
    <w:p w:rsidR="00D54755" w:rsidRPr="00D54755" w:rsidRDefault="00D54755" w:rsidP="00D54755">
      <w:pPr>
        <w:pStyle w:val="ListParagraph"/>
        <w:numPr>
          <w:ilvl w:val="0"/>
          <w:numId w:val="28"/>
        </w:numPr>
        <w:rPr>
          <w:rFonts w:cs="Arial"/>
          <w:b/>
          <w:u w:val="single"/>
        </w:rPr>
      </w:pPr>
      <w:r w:rsidRPr="00D54755">
        <w:rPr>
          <w:rFonts w:cs="Arial"/>
          <w:b/>
          <w:u w:val="single"/>
        </w:rPr>
        <w:t xml:space="preserve">Options Appraisal </w:t>
      </w:r>
    </w:p>
    <w:p w:rsidR="00D54755" w:rsidRDefault="00D54755" w:rsidP="00D54755">
      <w:pPr>
        <w:autoSpaceDE w:val="0"/>
        <w:autoSpaceDN w:val="0"/>
        <w:adjustRightInd w:val="0"/>
        <w:rPr>
          <w:rFonts w:cs="Arial"/>
        </w:rPr>
      </w:pPr>
    </w:p>
    <w:p w:rsidR="00C52505" w:rsidRPr="00D54755" w:rsidRDefault="00D54755" w:rsidP="00D54755">
      <w:pPr>
        <w:autoSpaceDE w:val="0"/>
        <w:autoSpaceDN w:val="0"/>
        <w:adjustRightInd w:val="0"/>
        <w:rPr>
          <w:rFonts w:cs="Arial"/>
        </w:rPr>
      </w:pPr>
      <w:r>
        <w:rPr>
          <w:rFonts w:cs="Arial"/>
        </w:rPr>
        <w:t>7.1</w:t>
      </w:r>
      <w:r>
        <w:rPr>
          <w:rFonts w:cs="Arial"/>
        </w:rPr>
        <w:tab/>
      </w:r>
      <w:r w:rsidR="00EA0195" w:rsidRPr="00D54755">
        <w:rPr>
          <w:rFonts w:cs="Arial"/>
        </w:rPr>
        <w:t xml:space="preserve">Not applicable.  </w:t>
      </w:r>
    </w:p>
    <w:p w:rsidR="000404CF" w:rsidRPr="0059798C" w:rsidRDefault="000404CF" w:rsidP="001370FE">
      <w:pPr>
        <w:ind w:left="709" w:hanging="709"/>
        <w:rPr>
          <w:rFonts w:cs="Arial"/>
        </w:rPr>
      </w:pPr>
    </w:p>
    <w:p w:rsidR="006E145D" w:rsidRPr="0059798C" w:rsidRDefault="006E145D" w:rsidP="00415BE7">
      <w:pPr>
        <w:numPr>
          <w:ilvl w:val="0"/>
          <w:numId w:val="28"/>
        </w:numPr>
        <w:rPr>
          <w:rFonts w:cs="Arial"/>
          <w:b/>
          <w:u w:val="single"/>
        </w:rPr>
      </w:pPr>
      <w:r w:rsidRPr="0059798C">
        <w:rPr>
          <w:rFonts w:cs="Arial"/>
          <w:b/>
          <w:u w:val="single"/>
        </w:rPr>
        <w:t xml:space="preserve">Consultation </w:t>
      </w:r>
    </w:p>
    <w:p w:rsidR="006E145D" w:rsidRPr="0059798C" w:rsidRDefault="006E145D" w:rsidP="001370FE">
      <w:pPr>
        <w:autoSpaceDE w:val="0"/>
        <w:autoSpaceDN w:val="0"/>
        <w:adjustRightInd w:val="0"/>
        <w:ind w:left="709" w:hanging="709"/>
        <w:rPr>
          <w:rFonts w:cs="Arial"/>
          <w:b/>
        </w:rPr>
      </w:pPr>
    </w:p>
    <w:p w:rsidR="006E145D" w:rsidRPr="0059798C" w:rsidRDefault="00415BE7" w:rsidP="007A46F2">
      <w:pPr>
        <w:autoSpaceDE w:val="0"/>
        <w:autoSpaceDN w:val="0"/>
        <w:adjustRightInd w:val="0"/>
        <w:rPr>
          <w:rFonts w:cs="Arial"/>
        </w:rPr>
      </w:pPr>
      <w:r>
        <w:rPr>
          <w:rFonts w:cs="Arial"/>
        </w:rPr>
        <w:t>8</w:t>
      </w:r>
      <w:r w:rsidR="007A46F2" w:rsidRPr="0059798C">
        <w:rPr>
          <w:rFonts w:cs="Arial"/>
        </w:rPr>
        <w:t>.1</w:t>
      </w:r>
      <w:r w:rsidR="007A46F2" w:rsidRPr="0059798C">
        <w:rPr>
          <w:rFonts w:cs="Arial"/>
        </w:rPr>
        <w:tab/>
      </w:r>
      <w:r w:rsidR="00735987" w:rsidRPr="0059798C">
        <w:rPr>
          <w:rFonts w:cs="Arial"/>
        </w:rPr>
        <w:t>Not applicable.</w:t>
      </w:r>
    </w:p>
    <w:p w:rsidR="006E145D" w:rsidRPr="0059798C" w:rsidRDefault="006E145D" w:rsidP="001370FE">
      <w:pPr>
        <w:autoSpaceDE w:val="0"/>
        <w:autoSpaceDN w:val="0"/>
        <w:adjustRightInd w:val="0"/>
        <w:ind w:left="709" w:hanging="709"/>
        <w:rPr>
          <w:rFonts w:cs="Arial"/>
        </w:rPr>
      </w:pPr>
    </w:p>
    <w:p w:rsidR="00627CCF" w:rsidRPr="0059798C" w:rsidRDefault="00B448CA" w:rsidP="00415BE7">
      <w:pPr>
        <w:numPr>
          <w:ilvl w:val="0"/>
          <w:numId w:val="28"/>
        </w:numPr>
        <w:rPr>
          <w:rFonts w:cs="Arial"/>
          <w:b/>
          <w:u w:val="single"/>
        </w:rPr>
      </w:pPr>
      <w:r w:rsidRPr="0059798C">
        <w:rPr>
          <w:rFonts w:cs="Arial"/>
          <w:b/>
          <w:u w:val="single"/>
        </w:rPr>
        <w:t>Financial I</w:t>
      </w:r>
      <w:r w:rsidR="006E145D" w:rsidRPr="0059798C">
        <w:rPr>
          <w:rFonts w:cs="Arial"/>
          <w:b/>
          <w:u w:val="single"/>
        </w:rPr>
        <w:t>mplications</w:t>
      </w:r>
      <w:r w:rsidR="00627CCF" w:rsidRPr="0059798C">
        <w:rPr>
          <w:rFonts w:cs="Arial"/>
          <w:b/>
          <w:u w:val="single"/>
        </w:rPr>
        <w:t xml:space="preserve"> </w:t>
      </w:r>
    </w:p>
    <w:p w:rsidR="00B448CA" w:rsidRPr="0059798C" w:rsidRDefault="00B448CA" w:rsidP="001370FE">
      <w:pPr>
        <w:autoSpaceDE w:val="0"/>
        <w:autoSpaceDN w:val="0"/>
        <w:adjustRightInd w:val="0"/>
        <w:ind w:left="709" w:hanging="709"/>
        <w:rPr>
          <w:rFonts w:cs="Arial"/>
        </w:rPr>
      </w:pPr>
    </w:p>
    <w:p w:rsidR="00B448CA" w:rsidRPr="0059798C" w:rsidRDefault="00415BE7" w:rsidP="007A46F2">
      <w:pPr>
        <w:rPr>
          <w:rFonts w:cs="Arial"/>
        </w:rPr>
      </w:pPr>
      <w:r>
        <w:rPr>
          <w:rFonts w:cs="Arial"/>
        </w:rPr>
        <w:t>9</w:t>
      </w:r>
      <w:r w:rsidR="007A46F2" w:rsidRPr="0059798C">
        <w:rPr>
          <w:rFonts w:cs="Arial"/>
        </w:rPr>
        <w:t>.1</w:t>
      </w:r>
      <w:r w:rsidR="007A46F2" w:rsidRPr="0059798C">
        <w:rPr>
          <w:rFonts w:cs="Arial"/>
        </w:rPr>
        <w:tab/>
      </w:r>
      <w:r w:rsidR="00A14F53" w:rsidRPr="0059798C">
        <w:rPr>
          <w:rFonts w:cs="Arial"/>
        </w:rPr>
        <w:t>The School Funding Formula is contained within the Dedicated Schools Grant</w:t>
      </w:r>
    </w:p>
    <w:p w:rsidR="000404CF" w:rsidRPr="0059798C" w:rsidRDefault="000404CF" w:rsidP="001370FE">
      <w:pPr>
        <w:autoSpaceDE w:val="0"/>
        <w:autoSpaceDN w:val="0"/>
        <w:adjustRightInd w:val="0"/>
        <w:ind w:left="709" w:hanging="709"/>
        <w:rPr>
          <w:rFonts w:cs="Arial"/>
        </w:rPr>
      </w:pPr>
    </w:p>
    <w:p w:rsidR="00627CCF" w:rsidRPr="0059798C" w:rsidRDefault="000E12D1" w:rsidP="00415BE7">
      <w:pPr>
        <w:numPr>
          <w:ilvl w:val="0"/>
          <w:numId w:val="28"/>
        </w:numPr>
        <w:rPr>
          <w:rFonts w:cs="Arial"/>
          <w:b/>
          <w:u w:val="single"/>
        </w:rPr>
      </w:pPr>
      <w:r w:rsidRPr="0059798C">
        <w:rPr>
          <w:rFonts w:cs="Arial"/>
          <w:b/>
          <w:u w:val="single"/>
        </w:rPr>
        <w:t>Le</w:t>
      </w:r>
      <w:r w:rsidR="00B448CA" w:rsidRPr="0059798C">
        <w:rPr>
          <w:rFonts w:cs="Arial"/>
          <w:b/>
          <w:u w:val="single"/>
        </w:rPr>
        <w:t xml:space="preserve">gal </w:t>
      </w:r>
      <w:r w:rsidR="006E145D" w:rsidRPr="0059798C">
        <w:rPr>
          <w:rFonts w:cs="Arial"/>
          <w:b/>
          <w:u w:val="single"/>
        </w:rPr>
        <w:t xml:space="preserve">Implications </w:t>
      </w:r>
    </w:p>
    <w:p w:rsidR="007C1C4A" w:rsidRPr="0059798C" w:rsidRDefault="007C1C4A" w:rsidP="001370FE">
      <w:pPr>
        <w:autoSpaceDE w:val="0"/>
        <w:autoSpaceDN w:val="0"/>
        <w:adjustRightInd w:val="0"/>
        <w:ind w:left="709" w:hanging="709"/>
        <w:rPr>
          <w:rFonts w:cs="Arial"/>
          <w:b/>
        </w:rPr>
      </w:pPr>
    </w:p>
    <w:p w:rsidR="00B42641" w:rsidRPr="0059798C" w:rsidRDefault="00415BE7" w:rsidP="001370FE">
      <w:pPr>
        <w:ind w:left="709" w:hanging="709"/>
        <w:rPr>
          <w:rFonts w:cs="Arial"/>
        </w:rPr>
      </w:pPr>
      <w:r>
        <w:rPr>
          <w:rFonts w:cs="Arial"/>
        </w:rPr>
        <w:t>10</w:t>
      </w:r>
      <w:r w:rsidR="007C1C4A" w:rsidRPr="0059798C">
        <w:rPr>
          <w:rFonts w:cs="Arial"/>
        </w:rPr>
        <w:t>.1</w:t>
      </w:r>
      <w:r w:rsidR="007C1C4A" w:rsidRPr="0059798C">
        <w:rPr>
          <w:rFonts w:cs="Arial"/>
        </w:rPr>
        <w:tab/>
      </w:r>
      <w:r w:rsidR="00B42641" w:rsidRPr="0059798C">
        <w:rPr>
          <w:rFonts w:cs="Arial"/>
        </w:rPr>
        <w:t>The Schools Forums (England) Regulations 2012 govern the</w:t>
      </w:r>
      <w:r w:rsidR="00D804FB" w:rsidRPr="0059798C">
        <w:rPr>
          <w:rFonts w:cs="Arial"/>
        </w:rPr>
        <w:t xml:space="preserve"> constitution and conduct of meetings of the Forum.  The Schools Finance (England) Regulations 2012 determine those matters on which the Local Authority must or may consult the Schools Forum and those in respect of which the Schools Forum can make decisions.  These Regulations make provision for the financial arrangements of local authorities in relation to the funding of maintained schools and providers of prescribed early years provision in England</w:t>
      </w:r>
      <w:r w:rsidR="00FF0EFC" w:rsidRPr="0059798C">
        <w:rPr>
          <w:rFonts w:cs="Arial"/>
        </w:rPr>
        <w:t>, for</w:t>
      </w:r>
      <w:r w:rsidR="00D804FB" w:rsidRPr="0059798C">
        <w:rPr>
          <w:rFonts w:cs="Arial"/>
        </w:rPr>
        <w:t xml:space="preserve"> the financial year 2013/14.  </w:t>
      </w:r>
    </w:p>
    <w:p w:rsidR="0083710B" w:rsidRPr="0059798C" w:rsidRDefault="0083710B" w:rsidP="001370FE">
      <w:pPr>
        <w:ind w:left="709" w:hanging="709"/>
        <w:rPr>
          <w:rFonts w:cs="Arial"/>
        </w:rPr>
      </w:pPr>
    </w:p>
    <w:p w:rsidR="00944FB8" w:rsidRPr="0059798C" w:rsidRDefault="00944FB8" w:rsidP="001370FE">
      <w:pPr>
        <w:autoSpaceDE w:val="0"/>
        <w:autoSpaceDN w:val="0"/>
        <w:adjustRightInd w:val="0"/>
        <w:ind w:left="709" w:hanging="709"/>
        <w:rPr>
          <w:rFonts w:cs="Arial"/>
        </w:rPr>
      </w:pPr>
    </w:p>
    <w:p w:rsidR="003B6610" w:rsidRPr="0059798C" w:rsidRDefault="00934EC1" w:rsidP="00415BE7">
      <w:pPr>
        <w:numPr>
          <w:ilvl w:val="0"/>
          <w:numId w:val="28"/>
        </w:numPr>
        <w:rPr>
          <w:rFonts w:cs="Arial"/>
          <w:b/>
          <w:u w:val="single"/>
        </w:rPr>
      </w:pPr>
      <w:r w:rsidRPr="0059798C">
        <w:rPr>
          <w:rFonts w:cs="Arial"/>
          <w:b/>
          <w:u w:val="single"/>
        </w:rPr>
        <w:t>O</w:t>
      </w:r>
      <w:r w:rsidR="003B6610" w:rsidRPr="0059798C">
        <w:rPr>
          <w:rFonts w:cs="Arial"/>
          <w:b/>
          <w:u w:val="single"/>
        </w:rPr>
        <w:t>ther Implications</w:t>
      </w:r>
    </w:p>
    <w:p w:rsidR="003B6610" w:rsidRPr="0059798C" w:rsidRDefault="003B6610" w:rsidP="001370FE">
      <w:pPr>
        <w:autoSpaceDE w:val="0"/>
        <w:autoSpaceDN w:val="0"/>
        <w:adjustRightInd w:val="0"/>
        <w:ind w:left="709" w:hanging="709"/>
        <w:rPr>
          <w:rFonts w:cs="Arial"/>
        </w:rPr>
      </w:pPr>
    </w:p>
    <w:p w:rsidR="00B448CA" w:rsidRPr="0059798C" w:rsidRDefault="00B448CA" w:rsidP="00415BE7">
      <w:pPr>
        <w:pStyle w:val="ListParagraph"/>
        <w:numPr>
          <w:ilvl w:val="1"/>
          <w:numId w:val="28"/>
        </w:numPr>
        <w:tabs>
          <w:tab w:val="clear" w:pos="360"/>
        </w:tabs>
        <w:autoSpaceDE w:val="0"/>
        <w:autoSpaceDN w:val="0"/>
        <w:adjustRightInd w:val="0"/>
        <w:ind w:left="709" w:hanging="709"/>
        <w:rPr>
          <w:rFonts w:cs="Arial"/>
        </w:rPr>
      </w:pPr>
      <w:r w:rsidRPr="0059798C">
        <w:rPr>
          <w:rFonts w:cs="Arial"/>
        </w:rPr>
        <w:t xml:space="preserve">Risk Management </w:t>
      </w:r>
      <w:r w:rsidR="001102BC" w:rsidRPr="0059798C">
        <w:rPr>
          <w:rFonts w:cs="Arial"/>
        </w:rPr>
        <w:t>- None</w:t>
      </w:r>
    </w:p>
    <w:p w:rsidR="000D030E" w:rsidRPr="0059798C" w:rsidRDefault="000D030E" w:rsidP="001370FE">
      <w:pPr>
        <w:autoSpaceDE w:val="0"/>
        <w:autoSpaceDN w:val="0"/>
        <w:adjustRightInd w:val="0"/>
        <w:ind w:left="709" w:hanging="709"/>
        <w:rPr>
          <w:rFonts w:cs="Arial"/>
        </w:rPr>
      </w:pPr>
    </w:p>
    <w:p w:rsidR="0046701F" w:rsidRPr="0059798C" w:rsidRDefault="00B448CA" w:rsidP="00415BE7">
      <w:pPr>
        <w:numPr>
          <w:ilvl w:val="1"/>
          <w:numId w:val="28"/>
        </w:numPr>
        <w:tabs>
          <w:tab w:val="clear" w:pos="360"/>
        </w:tabs>
        <w:autoSpaceDE w:val="0"/>
        <w:autoSpaceDN w:val="0"/>
        <w:adjustRightInd w:val="0"/>
        <w:ind w:left="709" w:hanging="709"/>
        <w:rPr>
          <w:rFonts w:cs="Arial"/>
        </w:rPr>
      </w:pPr>
      <w:r w:rsidRPr="0059798C">
        <w:rPr>
          <w:rFonts w:cs="Arial"/>
          <w:b/>
        </w:rPr>
        <w:t>Contractual Issues</w:t>
      </w:r>
      <w:r w:rsidR="001102BC" w:rsidRPr="0059798C">
        <w:rPr>
          <w:rFonts w:cs="Arial"/>
        </w:rPr>
        <w:t xml:space="preserve"> - None</w:t>
      </w:r>
      <w:r w:rsidR="002F3F9A" w:rsidRPr="0059798C">
        <w:rPr>
          <w:rFonts w:cs="Arial"/>
        </w:rPr>
        <w:t xml:space="preserve"> </w:t>
      </w:r>
    </w:p>
    <w:p w:rsidR="0046701F" w:rsidRPr="0059798C" w:rsidRDefault="0046701F" w:rsidP="0091259E">
      <w:pPr>
        <w:pStyle w:val="ListParagraph"/>
        <w:autoSpaceDE w:val="0"/>
        <w:autoSpaceDN w:val="0"/>
        <w:adjustRightInd w:val="0"/>
        <w:ind w:left="709"/>
        <w:rPr>
          <w:rFonts w:cs="Arial"/>
        </w:rPr>
      </w:pPr>
    </w:p>
    <w:p w:rsidR="00B448CA" w:rsidRPr="0059798C" w:rsidRDefault="00B448CA" w:rsidP="00415BE7">
      <w:pPr>
        <w:numPr>
          <w:ilvl w:val="1"/>
          <w:numId w:val="28"/>
        </w:numPr>
        <w:tabs>
          <w:tab w:val="clear" w:pos="360"/>
        </w:tabs>
        <w:autoSpaceDE w:val="0"/>
        <w:autoSpaceDN w:val="0"/>
        <w:adjustRightInd w:val="0"/>
        <w:ind w:left="709" w:hanging="709"/>
        <w:rPr>
          <w:rFonts w:cs="Arial"/>
        </w:rPr>
      </w:pPr>
      <w:r w:rsidRPr="0059798C">
        <w:rPr>
          <w:rFonts w:cs="Arial"/>
          <w:b/>
        </w:rPr>
        <w:t>Staffing Issues</w:t>
      </w:r>
      <w:r w:rsidR="00583A52" w:rsidRPr="0059798C">
        <w:rPr>
          <w:rFonts w:cs="Arial"/>
        </w:rPr>
        <w:t xml:space="preserve"> </w:t>
      </w:r>
      <w:r w:rsidR="007D1D4F" w:rsidRPr="0059798C">
        <w:rPr>
          <w:rFonts w:cs="Arial"/>
        </w:rPr>
        <w:t>– No</w:t>
      </w:r>
      <w:r w:rsidR="001102BC" w:rsidRPr="0059798C">
        <w:rPr>
          <w:rFonts w:cs="Arial"/>
        </w:rPr>
        <w:t>ne</w:t>
      </w:r>
      <w:r w:rsidR="00583A52" w:rsidRPr="0059798C">
        <w:rPr>
          <w:rFonts w:cs="Arial"/>
        </w:rPr>
        <w:t xml:space="preserve"> </w:t>
      </w:r>
    </w:p>
    <w:p w:rsidR="00E86584" w:rsidRPr="0059798C" w:rsidRDefault="00E86584" w:rsidP="0091259E">
      <w:pPr>
        <w:pStyle w:val="ListParagraph"/>
        <w:ind w:left="709" w:hanging="709"/>
        <w:rPr>
          <w:rFonts w:cs="Arial"/>
        </w:rPr>
      </w:pPr>
    </w:p>
    <w:p w:rsidR="00B448CA" w:rsidRPr="0059798C" w:rsidRDefault="00B448CA" w:rsidP="00415BE7">
      <w:pPr>
        <w:numPr>
          <w:ilvl w:val="1"/>
          <w:numId w:val="28"/>
        </w:numPr>
        <w:tabs>
          <w:tab w:val="clear" w:pos="360"/>
        </w:tabs>
        <w:autoSpaceDE w:val="0"/>
        <w:autoSpaceDN w:val="0"/>
        <w:adjustRightInd w:val="0"/>
        <w:ind w:left="709" w:hanging="709"/>
        <w:rPr>
          <w:rFonts w:cs="Arial"/>
        </w:rPr>
      </w:pPr>
      <w:r w:rsidRPr="0059798C">
        <w:rPr>
          <w:rFonts w:cs="Arial"/>
          <w:b/>
        </w:rPr>
        <w:t>Customer Impact</w:t>
      </w:r>
      <w:r w:rsidR="001102BC" w:rsidRPr="0059798C">
        <w:rPr>
          <w:rFonts w:cs="Arial"/>
        </w:rPr>
        <w:t xml:space="preserve"> </w:t>
      </w:r>
      <w:r w:rsidR="00E86584" w:rsidRPr="0059798C">
        <w:rPr>
          <w:rFonts w:cs="Arial"/>
        </w:rPr>
        <w:t>–</w:t>
      </w:r>
      <w:r w:rsidR="001102BC" w:rsidRPr="0059798C">
        <w:rPr>
          <w:rFonts w:cs="Arial"/>
        </w:rPr>
        <w:t xml:space="preserve"> None</w:t>
      </w:r>
    </w:p>
    <w:p w:rsidR="00E86584" w:rsidRPr="0059798C" w:rsidRDefault="00E86584" w:rsidP="0091259E">
      <w:pPr>
        <w:pStyle w:val="ListParagraph"/>
        <w:ind w:left="709" w:hanging="709"/>
        <w:rPr>
          <w:rFonts w:cs="Arial"/>
        </w:rPr>
      </w:pPr>
    </w:p>
    <w:p w:rsidR="00E86584" w:rsidRPr="0059798C" w:rsidRDefault="00E86584" w:rsidP="00415BE7">
      <w:pPr>
        <w:numPr>
          <w:ilvl w:val="1"/>
          <w:numId w:val="28"/>
        </w:numPr>
        <w:tabs>
          <w:tab w:val="clear" w:pos="360"/>
        </w:tabs>
        <w:autoSpaceDE w:val="0"/>
        <w:autoSpaceDN w:val="0"/>
        <w:adjustRightInd w:val="0"/>
        <w:ind w:left="709" w:hanging="709"/>
        <w:rPr>
          <w:rFonts w:cs="Arial"/>
        </w:rPr>
      </w:pPr>
      <w:r w:rsidRPr="0059798C">
        <w:rPr>
          <w:rFonts w:cs="Arial"/>
          <w:b/>
        </w:rPr>
        <w:t>Safeguarding Children-</w:t>
      </w:r>
      <w:r w:rsidRPr="0059798C">
        <w:rPr>
          <w:rFonts w:cs="Arial"/>
        </w:rPr>
        <w:t xml:space="preserve"> None</w:t>
      </w:r>
    </w:p>
    <w:p w:rsidR="00E86584" w:rsidRPr="0059798C" w:rsidRDefault="00E86584" w:rsidP="0091259E">
      <w:pPr>
        <w:pStyle w:val="ListParagraph"/>
        <w:ind w:left="709" w:hanging="709"/>
        <w:rPr>
          <w:rFonts w:cs="Arial"/>
        </w:rPr>
      </w:pPr>
    </w:p>
    <w:p w:rsidR="00E86584" w:rsidRPr="0059798C" w:rsidRDefault="00E86584" w:rsidP="00415BE7">
      <w:pPr>
        <w:numPr>
          <w:ilvl w:val="1"/>
          <w:numId w:val="28"/>
        </w:numPr>
        <w:tabs>
          <w:tab w:val="clear" w:pos="360"/>
        </w:tabs>
        <w:autoSpaceDE w:val="0"/>
        <w:autoSpaceDN w:val="0"/>
        <w:adjustRightInd w:val="0"/>
        <w:ind w:left="709" w:hanging="709"/>
        <w:rPr>
          <w:rFonts w:cs="Arial"/>
        </w:rPr>
      </w:pPr>
      <w:r w:rsidRPr="0059798C">
        <w:rPr>
          <w:rFonts w:cs="Arial"/>
          <w:b/>
        </w:rPr>
        <w:t>Health Issues</w:t>
      </w:r>
      <w:r w:rsidRPr="0059798C">
        <w:rPr>
          <w:rFonts w:cs="Arial"/>
        </w:rPr>
        <w:t xml:space="preserve"> - None  </w:t>
      </w:r>
    </w:p>
    <w:p w:rsidR="00E86584" w:rsidRPr="0059798C" w:rsidRDefault="00E86584" w:rsidP="0091259E">
      <w:pPr>
        <w:pStyle w:val="ListParagraph"/>
        <w:ind w:left="709" w:hanging="709"/>
        <w:rPr>
          <w:rFonts w:cs="Arial"/>
        </w:rPr>
      </w:pPr>
    </w:p>
    <w:p w:rsidR="00E86584" w:rsidRPr="0059798C" w:rsidRDefault="00E86584" w:rsidP="00415BE7">
      <w:pPr>
        <w:numPr>
          <w:ilvl w:val="1"/>
          <w:numId w:val="28"/>
        </w:numPr>
        <w:tabs>
          <w:tab w:val="clear" w:pos="360"/>
        </w:tabs>
        <w:autoSpaceDE w:val="0"/>
        <w:autoSpaceDN w:val="0"/>
        <w:adjustRightInd w:val="0"/>
        <w:ind w:left="709" w:hanging="709"/>
        <w:rPr>
          <w:rFonts w:cs="Arial"/>
        </w:rPr>
      </w:pPr>
      <w:r w:rsidRPr="0059798C">
        <w:rPr>
          <w:rFonts w:cs="Arial"/>
          <w:b/>
        </w:rPr>
        <w:t>Crime and Disorder Issues</w:t>
      </w:r>
      <w:r w:rsidRPr="0059798C">
        <w:rPr>
          <w:rFonts w:cs="Arial"/>
        </w:rPr>
        <w:t xml:space="preserve"> – None   </w:t>
      </w:r>
    </w:p>
    <w:p w:rsidR="00E86584" w:rsidRPr="0059798C" w:rsidRDefault="00E86584" w:rsidP="0091259E">
      <w:pPr>
        <w:pStyle w:val="ListParagraph"/>
        <w:ind w:left="709" w:hanging="709"/>
        <w:rPr>
          <w:rFonts w:cs="Arial"/>
        </w:rPr>
      </w:pPr>
    </w:p>
    <w:p w:rsidR="00E86584" w:rsidRPr="0059798C" w:rsidRDefault="001601D1" w:rsidP="00415BE7">
      <w:pPr>
        <w:numPr>
          <w:ilvl w:val="1"/>
          <w:numId w:val="28"/>
        </w:numPr>
        <w:tabs>
          <w:tab w:val="clear" w:pos="360"/>
        </w:tabs>
        <w:autoSpaceDE w:val="0"/>
        <w:autoSpaceDN w:val="0"/>
        <w:adjustRightInd w:val="0"/>
        <w:ind w:left="709" w:hanging="709"/>
        <w:rPr>
          <w:rFonts w:cs="Arial"/>
        </w:rPr>
      </w:pPr>
      <w:r w:rsidRPr="0059798C">
        <w:rPr>
          <w:rFonts w:cs="Arial"/>
          <w:b/>
        </w:rPr>
        <w:t>Property / Asset Issues</w:t>
      </w:r>
      <w:r w:rsidRPr="0059798C">
        <w:rPr>
          <w:rFonts w:cs="Arial"/>
        </w:rPr>
        <w:t xml:space="preserve"> – None</w:t>
      </w:r>
    </w:p>
    <w:p w:rsidR="000404CF" w:rsidRPr="0059798C" w:rsidRDefault="000404CF" w:rsidP="001370FE">
      <w:pPr>
        <w:autoSpaceDE w:val="0"/>
        <w:autoSpaceDN w:val="0"/>
        <w:adjustRightInd w:val="0"/>
        <w:ind w:left="709" w:hanging="709"/>
        <w:rPr>
          <w:rFonts w:cs="Arial"/>
          <w:b/>
        </w:rPr>
      </w:pPr>
    </w:p>
    <w:p w:rsidR="009D2E10" w:rsidRPr="0059798C" w:rsidRDefault="009D2E10" w:rsidP="001370FE">
      <w:pPr>
        <w:autoSpaceDE w:val="0"/>
        <w:autoSpaceDN w:val="0"/>
        <w:adjustRightInd w:val="0"/>
        <w:ind w:left="709" w:hanging="709"/>
        <w:rPr>
          <w:b/>
        </w:rPr>
      </w:pPr>
    </w:p>
    <w:p w:rsidR="006B0B04" w:rsidRPr="0059798C" w:rsidRDefault="006B0B04" w:rsidP="001370FE">
      <w:pPr>
        <w:autoSpaceDE w:val="0"/>
        <w:autoSpaceDN w:val="0"/>
        <w:adjustRightInd w:val="0"/>
        <w:ind w:left="709" w:hanging="709"/>
        <w:rPr>
          <w:b/>
        </w:rPr>
      </w:pPr>
      <w:r w:rsidRPr="0059798C">
        <w:rPr>
          <w:rFonts w:cs="Arial"/>
          <w:b/>
        </w:rPr>
        <w:t>Background Papers</w:t>
      </w:r>
      <w:r w:rsidR="007432B9" w:rsidRPr="0059798C">
        <w:rPr>
          <w:rFonts w:cs="Arial"/>
          <w:b/>
        </w:rPr>
        <w:t xml:space="preserve"> </w:t>
      </w:r>
      <w:r w:rsidR="007432B9" w:rsidRPr="0059798C">
        <w:rPr>
          <w:b/>
        </w:rPr>
        <w:t>Used in the Preparation of the Report:</w:t>
      </w:r>
    </w:p>
    <w:p w:rsidR="00EA0621" w:rsidRPr="0059798C" w:rsidRDefault="00EA0621" w:rsidP="001370FE">
      <w:pPr>
        <w:autoSpaceDE w:val="0"/>
        <w:autoSpaceDN w:val="0"/>
        <w:adjustRightInd w:val="0"/>
        <w:ind w:left="709" w:hanging="709"/>
        <w:rPr>
          <w:rFonts w:cs="Arial"/>
          <w:b/>
        </w:rPr>
      </w:pPr>
    </w:p>
    <w:p w:rsidR="00237113" w:rsidRPr="0059798C" w:rsidRDefault="00612CCC" w:rsidP="001370FE">
      <w:pPr>
        <w:ind w:left="709" w:hanging="709"/>
        <w:rPr>
          <w:rFonts w:cs="Arial"/>
        </w:rPr>
      </w:pPr>
      <w:r w:rsidRPr="0059798C">
        <w:rPr>
          <w:rFonts w:cs="Arial"/>
        </w:rPr>
        <w:t xml:space="preserve">None. </w:t>
      </w:r>
    </w:p>
    <w:p w:rsidR="000F14B0" w:rsidRPr="0059798C" w:rsidRDefault="000F14B0" w:rsidP="001370FE">
      <w:pPr>
        <w:autoSpaceDE w:val="0"/>
        <w:autoSpaceDN w:val="0"/>
        <w:adjustRightInd w:val="0"/>
        <w:ind w:left="709" w:hanging="709"/>
        <w:rPr>
          <w:rFonts w:cs="Arial"/>
          <w:b/>
        </w:rPr>
      </w:pPr>
    </w:p>
    <w:p w:rsidR="00E22338" w:rsidRPr="0059798C" w:rsidRDefault="000F14B0" w:rsidP="003413C8">
      <w:pPr>
        <w:autoSpaceDE w:val="0"/>
        <w:autoSpaceDN w:val="0"/>
        <w:adjustRightInd w:val="0"/>
        <w:rPr>
          <w:b/>
        </w:rPr>
      </w:pPr>
      <w:r w:rsidRPr="0059798C">
        <w:rPr>
          <w:rFonts w:cs="Arial"/>
          <w:b/>
        </w:rPr>
        <w:t>List of appendices</w:t>
      </w:r>
      <w:r w:rsidRPr="0059798C">
        <w:rPr>
          <w:b/>
        </w:rPr>
        <w:t>:</w:t>
      </w:r>
    </w:p>
    <w:p w:rsidR="008E469C" w:rsidRPr="0059798C" w:rsidRDefault="008E469C" w:rsidP="003413C8">
      <w:pPr>
        <w:autoSpaceDE w:val="0"/>
        <w:autoSpaceDN w:val="0"/>
        <w:adjustRightInd w:val="0"/>
      </w:pPr>
    </w:p>
    <w:p w:rsidR="000D6CB8" w:rsidRDefault="003617A5" w:rsidP="00DE3DC3">
      <w:pPr>
        <w:autoSpaceDE w:val="0"/>
        <w:autoSpaceDN w:val="0"/>
        <w:adjustRightInd w:val="0"/>
        <w:rPr>
          <w:rFonts w:cs="Arial"/>
        </w:rPr>
      </w:pPr>
      <w:r w:rsidRPr="0059798C">
        <w:rPr>
          <w:rFonts w:cs="Arial"/>
        </w:rPr>
        <w:t xml:space="preserve">Appendix </w:t>
      </w:r>
      <w:r w:rsidR="00DE3DC3">
        <w:rPr>
          <w:rFonts w:cs="Arial"/>
        </w:rPr>
        <w:t xml:space="preserve">1 – </w:t>
      </w:r>
      <w:r w:rsidR="0034657F">
        <w:rPr>
          <w:rFonts w:cs="Arial"/>
        </w:rPr>
        <w:t>Indicative budgets under different f</w:t>
      </w:r>
      <w:r w:rsidR="00DE3DC3">
        <w:rPr>
          <w:rFonts w:cs="Arial"/>
        </w:rPr>
        <w:t>unding options</w:t>
      </w:r>
    </w:p>
    <w:p w:rsidR="000D6CB8" w:rsidRDefault="000D6CB8" w:rsidP="00415BE7">
      <w:pPr>
        <w:jc w:val="both"/>
        <w:rPr>
          <w:rFonts w:cs="Arial"/>
        </w:rPr>
      </w:pPr>
    </w:p>
    <w:p w:rsidR="000D6CB8" w:rsidRDefault="00DE3DC3" w:rsidP="00415BE7">
      <w:pPr>
        <w:jc w:val="both"/>
        <w:rPr>
          <w:rFonts w:cs="Arial"/>
        </w:rPr>
      </w:pPr>
      <w:r>
        <w:rPr>
          <w:rFonts w:cs="Arial"/>
        </w:rPr>
        <w:t>Appendix 2</w:t>
      </w:r>
      <w:r w:rsidR="000D6CB8">
        <w:rPr>
          <w:rFonts w:cs="Arial"/>
        </w:rPr>
        <w:t xml:space="preserve"> - </w:t>
      </w:r>
      <w:r w:rsidR="000D6CB8" w:rsidRPr="0059798C">
        <w:rPr>
          <w:rFonts w:cs="Arial"/>
        </w:rPr>
        <w:t xml:space="preserve">NFF </w:t>
      </w:r>
      <w:r w:rsidR="000D6CB8">
        <w:rPr>
          <w:rFonts w:cs="Arial"/>
        </w:rPr>
        <w:t>and 2017/18 rates</w:t>
      </w:r>
    </w:p>
    <w:p w:rsidR="000D6CB8" w:rsidRDefault="000D6CB8" w:rsidP="00415BE7">
      <w:pPr>
        <w:jc w:val="both"/>
        <w:rPr>
          <w:rFonts w:cs="Arial"/>
        </w:rPr>
      </w:pPr>
    </w:p>
    <w:p w:rsidR="00DE3DC3" w:rsidRDefault="000D6CB8" w:rsidP="00415BE7">
      <w:pPr>
        <w:jc w:val="both"/>
        <w:rPr>
          <w:rFonts w:cs="Arial"/>
        </w:rPr>
      </w:pPr>
      <w:r w:rsidRPr="000D6CB8">
        <w:rPr>
          <w:rFonts w:cs="Arial"/>
        </w:rPr>
        <w:t xml:space="preserve">Appendix </w:t>
      </w:r>
      <w:r w:rsidR="00DE3DC3">
        <w:rPr>
          <w:rFonts w:cs="Arial"/>
        </w:rPr>
        <w:t>3</w:t>
      </w:r>
      <w:r w:rsidRPr="000D6CB8">
        <w:rPr>
          <w:rFonts w:cs="Arial"/>
        </w:rPr>
        <w:t xml:space="preserve"> -  Quantum and percentages of funding passing through the different factors</w:t>
      </w:r>
    </w:p>
    <w:p w:rsidR="00DE3DC3" w:rsidRDefault="00DE3DC3" w:rsidP="00415BE7">
      <w:pPr>
        <w:jc w:val="both"/>
        <w:rPr>
          <w:rFonts w:cs="Arial"/>
        </w:rPr>
      </w:pPr>
    </w:p>
    <w:p w:rsidR="000D6CB8" w:rsidRPr="000D6CB8" w:rsidRDefault="00DE3DC3" w:rsidP="00415BE7">
      <w:pPr>
        <w:jc w:val="both"/>
        <w:rPr>
          <w:rFonts w:cs="Arial"/>
        </w:rPr>
      </w:pPr>
      <w:r>
        <w:rPr>
          <w:rFonts w:cs="Arial"/>
        </w:rPr>
        <w:t>Appendix 4 – Impact on MFG</w:t>
      </w:r>
      <w:r w:rsidR="0034657F">
        <w:rPr>
          <w:rFonts w:cs="Arial"/>
        </w:rPr>
        <w:t xml:space="preserve"> and Capping / Scaling</w:t>
      </w:r>
    </w:p>
    <w:p w:rsidR="000D6CB8" w:rsidRDefault="000D6CB8" w:rsidP="00415BE7">
      <w:pPr>
        <w:jc w:val="both"/>
        <w:rPr>
          <w:rFonts w:cs="Arial"/>
        </w:rPr>
      </w:pPr>
    </w:p>
    <w:sectPr w:rsidR="000D6CB8" w:rsidSect="00034E46">
      <w:footerReference w:type="default" r:id="rId10"/>
      <w:pgSz w:w="11909" w:h="16834" w:code="9"/>
      <w:pgMar w:top="851" w:right="1134" w:bottom="1134" w:left="1134" w:header="720" w:footer="72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5E4D" w:rsidRDefault="006A5E4D">
      <w:r>
        <w:separator/>
      </w:r>
    </w:p>
  </w:endnote>
  <w:endnote w:type="continuationSeparator" w:id="0">
    <w:p w:rsidR="006A5E4D" w:rsidRDefault="006A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5E4D" w:rsidRDefault="006A5E4D">
    <w:pPr>
      <w:pStyle w:val="Footer"/>
      <w:jc w:val="center"/>
    </w:pPr>
    <w:r>
      <w:fldChar w:fldCharType="begin"/>
    </w:r>
    <w:r>
      <w:instrText xml:space="preserve"> PAGE   \* MERGEFORMAT </w:instrText>
    </w:r>
    <w:r>
      <w:fldChar w:fldCharType="separate"/>
    </w:r>
    <w:r w:rsidR="007F0C30">
      <w:rPr>
        <w:noProof/>
      </w:rPr>
      <w:t>2</w:t>
    </w:r>
    <w:r>
      <w:rPr>
        <w:noProof/>
      </w:rPr>
      <w:fldChar w:fldCharType="end"/>
    </w:r>
  </w:p>
  <w:p w:rsidR="006A5E4D" w:rsidRDefault="006A5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5E4D" w:rsidRDefault="006A5E4D">
      <w:r>
        <w:separator/>
      </w:r>
    </w:p>
  </w:footnote>
  <w:footnote w:type="continuationSeparator" w:id="0">
    <w:p w:rsidR="006A5E4D" w:rsidRDefault="006A5E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433BA"/>
    <w:multiLevelType w:val="hybridMultilevel"/>
    <w:tmpl w:val="C5E0BB24"/>
    <w:lvl w:ilvl="0" w:tplc="D9D66838">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5D466B"/>
    <w:multiLevelType w:val="hybridMultilevel"/>
    <w:tmpl w:val="D05ACC56"/>
    <w:lvl w:ilvl="0" w:tplc="5F1AE586">
      <w:start w:val="1"/>
      <w:numFmt w:val="lowerRoman"/>
      <w:lvlText w:val="(%1)"/>
      <w:lvlJc w:val="left"/>
      <w:pPr>
        <w:ind w:left="1430" w:hanging="720"/>
      </w:pPr>
      <w:rPr>
        <w:rFonts w:cs="Arial"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 w15:restartNumberingAfterBreak="0">
    <w:nsid w:val="07F97EFD"/>
    <w:multiLevelType w:val="hybridMultilevel"/>
    <w:tmpl w:val="A71C49A6"/>
    <w:lvl w:ilvl="0" w:tplc="944EED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9D0EE4"/>
    <w:multiLevelType w:val="multilevel"/>
    <w:tmpl w:val="F26841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A4382F"/>
    <w:multiLevelType w:val="hybridMultilevel"/>
    <w:tmpl w:val="C840CE7A"/>
    <w:lvl w:ilvl="0" w:tplc="0E6CAAD2">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17467FC1"/>
    <w:multiLevelType w:val="hybridMultilevel"/>
    <w:tmpl w:val="BFF6F4EA"/>
    <w:lvl w:ilvl="0" w:tplc="79D42DEA">
      <w:start w:val="1"/>
      <w:numFmt w:val="lowerLetter"/>
      <w:lvlText w:val="(%1)"/>
      <w:lvlJc w:val="left"/>
      <w:pPr>
        <w:ind w:left="1789" w:hanging="360"/>
      </w:pPr>
      <w:rPr>
        <w:rFonts w:hint="default"/>
      </w:r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6" w15:restartNumberingAfterBreak="0">
    <w:nsid w:val="20257495"/>
    <w:multiLevelType w:val="multilevel"/>
    <w:tmpl w:val="BAB68F78"/>
    <w:lvl w:ilvl="0">
      <w:start w:val="2"/>
      <w:numFmt w:val="decimal"/>
      <w:lvlText w:val="%1."/>
      <w:lvlJc w:val="left"/>
      <w:pPr>
        <w:ind w:left="1430" w:hanging="720"/>
      </w:pPr>
      <w:rPr>
        <w:rFonts w:ascii="Arial" w:eastAsia="Times New Roman" w:hAnsi="Arial" w:cs="Arial" w:hint="default"/>
      </w:rPr>
    </w:lvl>
    <w:lvl w:ilvl="1">
      <w:start w:val="1"/>
      <w:numFmt w:val="decimal"/>
      <w:isLgl/>
      <w:lvlText w:val="%1.%2"/>
      <w:lvlJc w:val="left"/>
      <w:pPr>
        <w:ind w:left="846" w:hanging="420"/>
      </w:pPr>
      <w:rPr>
        <w:rFonts w:hint="default"/>
        <w:b w:val="0"/>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7" w15:restartNumberingAfterBreak="0">
    <w:nsid w:val="2D0F650F"/>
    <w:multiLevelType w:val="hybridMultilevel"/>
    <w:tmpl w:val="8654CF2C"/>
    <w:lvl w:ilvl="0" w:tplc="08090013">
      <w:start w:val="1"/>
      <w:numFmt w:val="upperRoman"/>
      <w:lvlText w:val="%1."/>
      <w:lvlJc w:val="right"/>
      <w:pPr>
        <w:ind w:left="447" w:hanging="360"/>
      </w:pPr>
    </w:lvl>
    <w:lvl w:ilvl="1" w:tplc="08090019" w:tentative="1">
      <w:start w:val="1"/>
      <w:numFmt w:val="lowerLetter"/>
      <w:lvlText w:val="%2."/>
      <w:lvlJc w:val="left"/>
      <w:pPr>
        <w:ind w:left="1167" w:hanging="360"/>
      </w:pPr>
    </w:lvl>
    <w:lvl w:ilvl="2" w:tplc="0809001B" w:tentative="1">
      <w:start w:val="1"/>
      <w:numFmt w:val="lowerRoman"/>
      <w:lvlText w:val="%3."/>
      <w:lvlJc w:val="right"/>
      <w:pPr>
        <w:ind w:left="1887" w:hanging="180"/>
      </w:pPr>
    </w:lvl>
    <w:lvl w:ilvl="3" w:tplc="0809000F" w:tentative="1">
      <w:start w:val="1"/>
      <w:numFmt w:val="decimal"/>
      <w:lvlText w:val="%4."/>
      <w:lvlJc w:val="left"/>
      <w:pPr>
        <w:ind w:left="2607" w:hanging="360"/>
      </w:pPr>
    </w:lvl>
    <w:lvl w:ilvl="4" w:tplc="08090019" w:tentative="1">
      <w:start w:val="1"/>
      <w:numFmt w:val="lowerLetter"/>
      <w:lvlText w:val="%5."/>
      <w:lvlJc w:val="left"/>
      <w:pPr>
        <w:ind w:left="3327" w:hanging="360"/>
      </w:pPr>
    </w:lvl>
    <w:lvl w:ilvl="5" w:tplc="0809001B" w:tentative="1">
      <w:start w:val="1"/>
      <w:numFmt w:val="lowerRoman"/>
      <w:lvlText w:val="%6."/>
      <w:lvlJc w:val="right"/>
      <w:pPr>
        <w:ind w:left="4047" w:hanging="180"/>
      </w:pPr>
    </w:lvl>
    <w:lvl w:ilvl="6" w:tplc="0809000F" w:tentative="1">
      <w:start w:val="1"/>
      <w:numFmt w:val="decimal"/>
      <w:lvlText w:val="%7."/>
      <w:lvlJc w:val="left"/>
      <w:pPr>
        <w:ind w:left="4767" w:hanging="360"/>
      </w:pPr>
    </w:lvl>
    <w:lvl w:ilvl="7" w:tplc="08090019" w:tentative="1">
      <w:start w:val="1"/>
      <w:numFmt w:val="lowerLetter"/>
      <w:lvlText w:val="%8."/>
      <w:lvlJc w:val="left"/>
      <w:pPr>
        <w:ind w:left="5487" w:hanging="360"/>
      </w:pPr>
    </w:lvl>
    <w:lvl w:ilvl="8" w:tplc="0809001B" w:tentative="1">
      <w:start w:val="1"/>
      <w:numFmt w:val="lowerRoman"/>
      <w:lvlText w:val="%9."/>
      <w:lvlJc w:val="right"/>
      <w:pPr>
        <w:ind w:left="6207" w:hanging="180"/>
      </w:pPr>
    </w:lvl>
  </w:abstractNum>
  <w:abstractNum w:abstractNumId="8" w15:restartNumberingAfterBreak="0">
    <w:nsid w:val="2DA306EC"/>
    <w:multiLevelType w:val="multilevel"/>
    <w:tmpl w:val="EBA6F976"/>
    <w:lvl w:ilvl="0">
      <w:start w:val="6"/>
      <w:numFmt w:val="decimal"/>
      <w:lvlText w:val="%1"/>
      <w:lvlJc w:val="left"/>
      <w:pPr>
        <w:ind w:left="1080" w:hanging="360"/>
      </w:pPr>
      <w:rPr>
        <w:rFonts w:hint="default"/>
      </w:rPr>
    </w:lvl>
    <w:lvl w:ilvl="1">
      <w:start w:val="2"/>
      <w:numFmt w:val="decimal"/>
      <w:isLgl/>
      <w:lvlText w:val="%1.%2"/>
      <w:lvlJc w:val="left"/>
      <w:pPr>
        <w:ind w:left="1430" w:hanging="71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35DF5B50"/>
    <w:multiLevelType w:val="multilevel"/>
    <w:tmpl w:val="62BA1742"/>
    <w:lvl w:ilvl="0">
      <w:start w:val="1"/>
      <w:numFmt w:val="decimal"/>
      <w:lvlText w:val="%1."/>
      <w:lvlJc w:val="left"/>
      <w:pPr>
        <w:ind w:left="1430" w:hanging="720"/>
      </w:pPr>
      <w:rPr>
        <w:rFonts w:ascii="Arial" w:eastAsia="Times New Roman" w:hAnsi="Arial" w:cs="Arial"/>
      </w:rPr>
    </w:lvl>
    <w:lvl w:ilvl="1">
      <w:start w:val="2"/>
      <w:numFmt w:val="decimal"/>
      <w:isLgl/>
      <w:lvlText w:val="%1.%2"/>
      <w:lvlJc w:val="left"/>
      <w:pPr>
        <w:ind w:left="846"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0" w15:restartNumberingAfterBreak="0">
    <w:nsid w:val="374C1197"/>
    <w:multiLevelType w:val="multilevel"/>
    <w:tmpl w:val="08560642"/>
    <w:lvl w:ilvl="0">
      <w:start w:val="5"/>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37C06EE1"/>
    <w:multiLevelType w:val="hybridMultilevel"/>
    <w:tmpl w:val="C62C0C14"/>
    <w:lvl w:ilvl="0" w:tplc="6028390A">
      <w:start w:val="14"/>
      <w:numFmt w:val="decimal"/>
      <w:lvlText w:val="%1"/>
      <w:lvlJc w:val="left"/>
      <w:pPr>
        <w:ind w:left="1069" w:hanging="360"/>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15:restartNumberingAfterBreak="0">
    <w:nsid w:val="382C21FC"/>
    <w:multiLevelType w:val="multilevel"/>
    <w:tmpl w:val="FC96C53E"/>
    <w:lvl w:ilvl="0">
      <w:start w:val="7"/>
      <w:numFmt w:val="decimal"/>
      <w:lvlText w:val="%1."/>
      <w:lvlJc w:val="left"/>
      <w:pPr>
        <w:tabs>
          <w:tab w:val="num" w:pos="720"/>
        </w:tabs>
        <w:ind w:left="720" w:hanging="720"/>
      </w:pPr>
      <w:rPr>
        <w:rFonts w:hint="default"/>
        <w:b/>
      </w:rPr>
    </w:lvl>
    <w:lvl w:ilvl="1">
      <w:start w:val="1"/>
      <w:numFmt w:val="decimal"/>
      <w:isLgl/>
      <w:lvlText w:val="%1.%2"/>
      <w:lvlJc w:val="left"/>
      <w:pPr>
        <w:tabs>
          <w:tab w:val="num" w:pos="360"/>
        </w:tabs>
        <w:ind w:left="360" w:hanging="360"/>
      </w:pPr>
      <w:rPr>
        <w:rFonts w:hint="default"/>
        <w:b w:val="0"/>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3AE63C7D"/>
    <w:multiLevelType w:val="multilevel"/>
    <w:tmpl w:val="8C04FA6C"/>
    <w:lvl w:ilvl="0">
      <w:start w:val="12"/>
      <w:numFmt w:val="decimal"/>
      <w:lvlText w:val="%1"/>
      <w:lvlJc w:val="left"/>
      <w:pPr>
        <w:ind w:left="465" w:hanging="465"/>
      </w:pPr>
    </w:lvl>
    <w:lvl w:ilvl="1">
      <w:start w:val="1"/>
      <w:numFmt w:val="decimal"/>
      <w:lvlText w:val="%1.%2"/>
      <w:lvlJc w:val="left"/>
      <w:pPr>
        <w:ind w:left="1175" w:hanging="465"/>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5700" w:hanging="1440"/>
      </w:pPr>
    </w:lvl>
    <w:lvl w:ilvl="7">
      <w:start w:val="1"/>
      <w:numFmt w:val="decimal"/>
      <w:lvlText w:val="%1.%2.%3.%4.%5.%6.%7.%8"/>
      <w:lvlJc w:val="left"/>
      <w:pPr>
        <w:ind w:left="6770" w:hanging="1800"/>
      </w:pPr>
    </w:lvl>
    <w:lvl w:ilvl="8">
      <w:start w:val="1"/>
      <w:numFmt w:val="decimal"/>
      <w:lvlText w:val="%1.%2.%3.%4.%5.%6.%7.%8.%9"/>
      <w:lvlJc w:val="left"/>
      <w:pPr>
        <w:ind w:left="7480" w:hanging="1800"/>
      </w:pPr>
    </w:lvl>
  </w:abstractNum>
  <w:abstractNum w:abstractNumId="14" w15:restartNumberingAfterBreak="0">
    <w:nsid w:val="42E045A9"/>
    <w:multiLevelType w:val="multilevel"/>
    <w:tmpl w:val="247647C4"/>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360"/>
        </w:tabs>
        <w:ind w:left="360" w:hanging="360"/>
      </w:pPr>
      <w:rPr>
        <w:rFonts w:hint="default"/>
        <w:b w:val="0"/>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43816A5F"/>
    <w:multiLevelType w:val="multilevel"/>
    <w:tmpl w:val="124EB5F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7B529C0"/>
    <w:multiLevelType w:val="multilevel"/>
    <w:tmpl w:val="DA7A2A04"/>
    <w:lvl w:ilvl="0">
      <w:start w:val="1"/>
      <w:numFmt w:val="bullet"/>
      <w:lvlRestart w:val="0"/>
      <w:pStyle w:val="DfESBullets"/>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Marlett" w:hAnsi="Marlett"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Marlett" w:hAnsi="Marlett"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Marlett" w:hAnsi="Marlett" w:hint="default"/>
      </w:rPr>
    </w:lvl>
  </w:abstractNum>
  <w:abstractNum w:abstractNumId="17" w15:restartNumberingAfterBreak="0">
    <w:nsid w:val="490F1179"/>
    <w:multiLevelType w:val="hybridMultilevel"/>
    <w:tmpl w:val="5D726412"/>
    <w:lvl w:ilvl="0" w:tplc="0DBC364C">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6A3669D"/>
    <w:multiLevelType w:val="hybridMultilevel"/>
    <w:tmpl w:val="B7E67428"/>
    <w:lvl w:ilvl="0" w:tplc="08090011">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9" w15:restartNumberingAfterBreak="0">
    <w:nsid w:val="5EEF36A3"/>
    <w:multiLevelType w:val="multilevel"/>
    <w:tmpl w:val="F1B07ED8"/>
    <w:lvl w:ilvl="0">
      <w:start w:val="2"/>
      <w:numFmt w:val="decimal"/>
      <w:lvlText w:val="%1."/>
      <w:lvlJc w:val="left"/>
      <w:pPr>
        <w:ind w:left="1430" w:hanging="720"/>
      </w:pPr>
      <w:rPr>
        <w:rFonts w:ascii="Arial" w:eastAsia="Times New Roman" w:hAnsi="Arial" w:cs="Arial" w:hint="default"/>
      </w:rPr>
    </w:lvl>
    <w:lvl w:ilvl="1">
      <w:start w:val="1"/>
      <w:numFmt w:val="decimal"/>
      <w:isLgl/>
      <w:lvlText w:val="%1.%2"/>
      <w:lvlJc w:val="left"/>
      <w:pPr>
        <w:ind w:left="846" w:hanging="420"/>
      </w:pPr>
      <w:rPr>
        <w:rFonts w:hint="default"/>
        <w:b w:val="0"/>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20" w15:restartNumberingAfterBreak="0">
    <w:nsid w:val="64427E8D"/>
    <w:multiLevelType w:val="hybridMultilevel"/>
    <w:tmpl w:val="6062EC9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6BA7297C"/>
    <w:multiLevelType w:val="multilevel"/>
    <w:tmpl w:val="4A90CAE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C74602D"/>
    <w:multiLevelType w:val="hybridMultilevel"/>
    <w:tmpl w:val="11A66F1E"/>
    <w:lvl w:ilvl="0" w:tplc="BF522EA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EC670C3"/>
    <w:multiLevelType w:val="hybridMultilevel"/>
    <w:tmpl w:val="955A2A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2BD0DFE"/>
    <w:multiLevelType w:val="hybridMultilevel"/>
    <w:tmpl w:val="D05ACC56"/>
    <w:lvl w:ilvl="0" w:tplc="5F1AE586">
      <w:start w:val="1"/>
      <w:numFmt w:val="lowerRoman"/>
      <w:lvlText w:val="(%1)"/>
      <w:lvlJc w:val="left"/>
      <w:pPr>
        <w:ind w:left="1430" w:hanging="720"/>
      </w:pPr>
      <w:rPr>
        <w:rFonts w:cs="Arial"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5" w15:restartNumberingAfterBreak="0">
    <w:nsid w:val="79905F2C"/>
    <w:multiLevelType w:val="hybridMultilevel"/>
    <w:tmpl w:val="85D49FB8"/>
    <w:lvl w:ilvl="0" w:tplc="A2C621D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BB1176D"/>
    <w:multiLevelType w:val="hybridMultilevel"/>
    <w:tmpl w:val="EEDAD68A"/>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6"/>
  </w:num>
  <w:num w:numId="2">
    <w:abstractNumId w:val="14"/>
  </w:num>
  <w:num w:numId="3">
    <w:abstractNumId w:val="25"/>
  </w:num>
  <w:num w:numId="4">
    <w:abstractNumId w:val="9"/>
  </w:num>
  <w:num w:numId="5">
    <w:abstractNumId w:val="20"/>
  </w:num>
  <w:num w:numId="6">
    <w:abstractNumId w:val="26"/>
  </w:num>
  <w:num w:numId="7">
    <w:abstractNumId w:val="17"/>
  </w:num>
  <w:num w:numId="8">
    <w:abstractNumId w:val="21"/>
  </w:num>
  <w:num w:numId="9">
    <w:abstractNumId w:val="11"/>
  </w:num>
  <w:num w:numId="10">
    <w:abstractNumId w:val="7"/>
  </w:num>
  <w:num w:numId="11">
    <w:abstractNumId w:val="2"/>
  </w:num>
  <w:num w:numId="12">
    <w:abstractNumId w:val="22"/>
  </w:num>
  <w:num w:numId="13">
    <w:abstractNumId w:val="15"/>
  </w:num>
  <w:num w:numId="14">
    <w:abstractNumId w:val="3"/>
  </w:num>
  <w:num w:numId="15">
    <w:abstractNumId w:val="10"/>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23"/>
  </w:num>
  <w:num w:numId="20">
    <w:abstractNumId w:val="6"/>
  </w:num>
  <w:num w:numId="21">
    <w:abstractNumId w:val="5"/>
  </w:num>
  <w:num w:numId="22">
    <w:abstractNumId w:val="4"/>
  </w:num>
  <w:num w:numId="23">
    <w:abstractNumId w:val="19"/>
  </w:num>
  <w:num w:numId="24">
    <w:abstractNumId w:val="1"/>
  </w:num>
  <w:num w:numId="25">
    <w:abstractNumId w:val="24"/>
  </w:num>
  <w:num w:numId="26">
    <w:abstractNumId w:val="0"/>
  </w:num>
  <w:num w:numId="27">
    <w:abstractNumId w:val="8"/>
  </w:num>
  <w:num w:numId="28">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FF"/>
    <w:rsid w:val="00005B71"/>
    <w:rsid w:val="00006DA9"/>
    <w:rsid w:val="00017940"/>
    <w:rsid w:val="00020CE5"/>
    <w:rsid w:val="00021BED"/>
    <w:rsid w:val="000249EC"/>
    <w:rsid w:val="0002531C"/>
    <w:rsid w:val="00025EA0"/>
    <w:rsid w:val="00026914"/>
    <w:rsid w:val="000310B7"/>
    <w:rsid w:val="000318AC"/>
    <w:rsid w:val="000341DE"/>
    <w:rsid w:val="0003456B"/>
    <w:rsid w:val="00034678"/>
    <w:rsid w:val="00034AAA"/>
    <w:rsid w:val="00034E46"/>
    <w:rsid w:val="00036181"/>
    <w:rsid w:val="000365CD"/>
    <w:rsid w:val="000404CF"/>
    <w:rsid w:val="000413B1"/>
    <w:rsid w:val="00042094"/>
    <w:rsid w:val="00043B61"/>
    <w:rsid w:val="00043C82"/>
    <w:rsid w:val="00045F76"/>
    <w:rsid w:val="00047EDE"/>
    <w:rsid w:val="00051F08"/>
    <w:rsid w:val="00063181"/>
    <w:rsid w:val="00072940"/>
    <w:rsid w:val="00075390"/>
    <w:rsid w:val="00076174"/>
    <w:rsid w:val="000820BD"/>
    <w:rsid w:val="000839E0"/>
    <w:rsid w:val="0008426D"/>
    <w:rsid w:val="00085E13"/>
    <w:rsid w:val="00086E26"/>
    <w:rsid w:val="000908E2"/>
    <w:rsid w:val="00094439"/>
    <w:rsid w:val="00096369"/>
    <w:rsid w:val="00097034"/>
    <w:rsid w:val="000973FA"/>
    <w:rsid w:val="000A0018"/>
    <w:rsid w:val="000A0A4F"/>
    <w:rsid w:val="000A5CEC"/>
    <w:rsid w:val="000A66D7"/>
    <w:rsid w:val="000B0001"/>
    <w:rsid w:val="000B6CBF"/>
    <w:rsid w:val="000B7DB1"/>
    <w:rsid w:val="000C4174"/>
    <w:rsid w:val="000C4BED"/>
    <w:rsid w:val="000C5C0F"/>
    <w:rsid w:val="000C62C5"/>
    <w:rsid w:val="000D030E"/>
    <w:rsid w:val="000D2F6E"/>
    <w:rsid w:val="000D4076"/>
    <w:rsid w:val="000D5779"/>
    <w:rsid w:val="000D5787"/>
    <w:rsid w:val="000D6CB8"/>
    <w:rsid w:val="000E12D1"/>
    <w:rsid w:val="000E20BD"/>
    <w:rsid w:val="000E5DAE"/>
    <w:rsid w:val="000F14B0"/>
    <w:rsid w:val="000F281E"/>
    <w:rsid w:val="000F3949"/>
    <w:rsid w:val="000F7DDF"/>
    <w:rsid w:val="001015A7"/>
    <w:rsid w:val="00103630"/>
    <w:rsid w:val="001060BA"/>
    <w:rsid w:val="001102BC"/>
    <w:rsid w:val="00115B41"/>
    <w:rsid w:val="00116B37"/>
    <w:rsid w:val="00117262"/>
    <w:rsid w:val="00121534"/>
    <w:rsid w:val="0012179E"/>
    <w:rsid w:val="00124287"/>
    <w:rsid w:val="00130111"/>
    <w:rsid w:val="00130C79"/>
    <w:rsid w:val="0013164F"/>
    <w:rsid w:val="00133834"/>
    <w:rsid w:val="001370FE"/>
    <w:rsid w:val="00140325"/>
    <w:rsid w:val="00141508"/>
    <w:rsid w:val="00141962"/>
    <w:rsid w:val="00146296"/>
    <w:rsid w:val="00150277"/>
    <w:rsid w:val="00155F07"/>
    <w:rsid w:val="001600F7"/>
    <w:rsid w:val="001601D1"/>
    <w:rsid w:val="00161DD3"/>
    <w:rsid w:val="001623F6"/>
    <w:rsid w:val="00165EB3"/>
    <w:rsid w:val="00166E5E"/>
    <w:rsid w:val="00172D22"/>
    <w:rsid w:val="00176AB6"/>
    <w:rsid w:val="0018172B"/>
    <w:rsid w:val="001874DF"/>
    <w:rsid w:val="00191E7E"/>
    <w:rsid w:val="00191E9D"/>
    <w:rsid w:val="0019228B"/>
    <w:rsid w:val="00193BDC"/>
    <w:rsid w:val="00195CFE"/>
    <w:rsid w:val="001978A2"/>
    <w:rsid w:val="001A2041"/>
    <w:rsid w:val="001A2280"/>
    <w:rsid w:val="001A3C41"/>
    <w:rsid w:val="001A5243"/>
    <w:rsid w:val="001A713A"/>
    <w:rsid w:val="001B20F6"/>
    <w:rsid w:val="001B2F12"/>
    <w:rsid w:val="001B4184"/>
    <w:rsid w:val="001B47A6"/>
    <w:rsid w:val="001B56CC"/>
    <w:rsid w:val="001B6318"/>
    <w:rsid w:val="001C4747"/>
    <w:rsid w:val="001D2EF5"/>
    <w:rsid w:val="001E0514"/>
    <w:rsid w:val="001E0ED9"/>
    <w:rsid w:val="001E5AFB"/>
    <w:rsid w:val="001E7623"/>
    <w:rsid w:val="001F065B"/>
    <w:rsid w:val="001F0959"/>
    <w:rsid w:val="001F1E59"/>
    <w:rsid w:val="001F208A"/>
    <w:rsid w:val="001F2368"/>
    <w:rsid w:val="00204510"/>
    <w:rsid w:val="00205671"/>
    <w:rsid w:val="00206B8C"/>
    <w:rsid w:val="00210E9C"/>
    <w:rsid w:val="002114BA"/>
    <w:rsid w:val="0021756D"/>
    <w:rsid w:val="002201F0"/>
    <w:rsid w:val="00225E0C"/>
    <w:rsid w:val="00230EA1"/>
    <w:rsid w:val="00237113"/>
    <w:rsid w:val="002412B3"/>
    <w:rsid w:val="0024162A"/>
    <w:rsid w:val="00242390"/>
    <w:rsid w:val="00242399"/>
    <w:rsid w:val="00243460"/>
    <w:rsid w:val="002473FC"/>
    <w:rsid w:val="00247A48"/>
    <w:rsid w:val="00250D54"/>
    <w:rsid w:val="00251787"/>
    <w:rsid w:val="00253D6E"/>
    <w:rsid w:val="00273F31"/>
    <w:rsid w:val="0027680C"/>
    <w:rsid w:val="002804CF"/>
    <w:rsid w:val="00285D14"/>
    <w:rsid w:val="0028601B"/>
    <w:rsid w:val="00295067"/>
    <w:rsid w:val="002A2FA5"/>
    <w:rsid w:val="002A4F18"/>
    <w:rsid w:val="002B11B5"/>
    <w:rsid w:val="002B1A9D"/>
    <w:rsid w:val="002B402B"/>
    <w:rsid w:val="002C02D2"/>
    <w:rsid w:val="002C20C7"/>
    <w:rsid w:val="002C32ED"/>
    <w:rsid w:val="002D01CD"/>
    <w:rsid w:val="002D28EC"/>
    <w:rsid w:val="002D4818"/>
    <w:rsid w:val="002D5B3F"/>
    <w:rsid w:val="002D5ECC"/>
    <w:rsid w:val="002D7809"/>
    <w:rsid w:val="002E1151"/>
    <w:rsid w:val="002E3116"/>
    <w:rsid w:val="002E4908"/>
    <w:rsid w:val="002E7697"/>
    <w:rsid w:val="002E7EC2"/>
    <w:rsid w:val="002F090F"/>
    <w:rsid w:val="002F0994"/>
    <w:rsid w:val="002F1DAF"/>
    <w:rsid w:val="002F3F9A"/>
    <w:rsid w:val="002F541A"/>
    <w:rsid w:val="002F7DBC"/>
    <w:rsid w:val="0030009B"/>
    <w:rsid w:val="003019D7"/>
    <w:rsid w:val="00301D4F"/>
    <w:rsid w:val="00303B06"/>
    <w:rsid w:val="00304EE1"/>
    <w:rsid w:val="00304F5B"/>
    <w:rsid w:val="00307168"/>
    <w:rsid w:val="00310E2C"/>
    <w:rsid w:val="003121E6"/>
    <w:rsid w:val="003128DF"/>
    <w:rsid w:val="00313462"/>
    <w:rsid w:val="003150DD"/>
    <w:rsid w:val="003161E4"/>
    <w:rsid w:val="00317B0D"/>
    <w:rsid w:val="00320183"/>
    <w:rsid w:val="0032162A"/>
    <w:rsid w:val="00324560"/>
    <w:rsid w:val="00325B4D"/>
    <w:rsid w:val="003264B9"/>
    <w:rsid w:val="00326A4D"/>
    <w:rsid w:val="00331B0A"/>
    <w:rsid w:val="00334B9F"/>
    <w:rsid w:val="00336997"/>
    <w:rsid w:val="003413C8"/>
    <w:rsid w:val="003462DC"/>
    <w:rsid w:val="0034657F"/>
    <w:rsid w:val="00352659"/>
    <w:rsid w:val="0035613F"/>
    <w:rsid w:val="00356655"/>
    <w:rsid w:val="003568BF"/>
    <w:rsid w:val="00356AE5"/>
    <w:rsid w:val="003617A5"/>
    <w:rsid w:val="0036212B"/>
    <w:rsid w:val="00371F4D"/>
    <w:rsid w:val="0037404D"/>
    <w:rsid w:val="00375509"/>
    <w:rsid w:val="0038132C"/>
    <w:rsid w:val="00381481"/>
    <w:rsid w:val="00381F2E"/>
    <w:rsid w:val="00382AB6"/>
    <w:rsid w:val="00382D58"/>
    <w:rsid w:val="00383EA6"/>
    <w:rsid w:val="00385B4A"/>
    <w:rsid w:val="00385FC8"/>
    <w:rsid w:val="00386093"/>
    <w:rsid w:val="00391D9D"/>
    <w:rsid w:val="003959C8"/>
    <w:rsid w:val="003965D7"/>
    <w:rsid w:val="003A3303"/>
    <w:rsid w:val="003B0D4A"/>
    <w:rsid w:val="003B2ED6"/>
    <w:rsid w:val="003B6610"/>
    <w:rsid w:val="003C3C1E"/>
    <w:rsid w:val="003C7A27"/>
    <w:rsid w:val="003D0435"/>
    <w:rsid w:val="003D10E0"/>
    <w:rsid w:val="003D1295"/>
    <w:rsid w:val="003D2040"/>
    <w:rsid w:val="003D4384"/>
    <w:rsid w:val="003D5FC7"/>
    <w:rsid w:val="003E033A"/>
    <w:rsid w:val="003E21A2"/>
    <w:rsid w:val="003E4848"/>
    <w:rsid w:val="003E4E2F"/>
    <w:rsid w:val="003E5069"/>
    <w:rsid w:val="003F016C"/>
    <w:rsid w:val="003F0669"/>
    <w:rsid w:val="003F2A45"/>
    <w:rsid w:val="00402C6B"/>
    <w:rsid w:val="00403751"/>
    <w:rsid w:val="00405AD1"/>
    <w:rsid w:val="00407E26"/>
    <w:rsid w:val="00410A0D"/>
    <w:rsid w:val="0041533E"/>
    <w:rsid w:val="004156F0"/>
    <w:rsid w:val="00415BE7"/>
    <w:rsid w:val="00416034"/>
    <w:rsid w:val="00416CD5"/>
    <w:rsid w:val="00421742"/>
    <w:rsid w:val="00422023"/>
    <w:rsid w:val="0042253F"/>
    <w:rsid w:val="00423313"/>
    <w:rsid w:val="00424A8E"/>
    <w:rsid w:val="00426024"/>
    <w:rsid w:val="00431891"/>
    <w:rsid w:val="00432DCB"/>
    <w:rsid w:val="0043366B"/>
    <w:rsid w:val="00433B2F"/>
    <w:rsid w:val="00435B81"/>
    <w:rsid w:val="00435B99"/>
    <w:rsid w:val="0044005E"/>
    <w:rsid w:val="00440F35"/>
    <w:rsid w:val="00443BBE"/>
    <w:rsid w:val="00446A1D"/>
    <w:rsid w:val="0045048E"/>
    <w:rsid w:val="00450580"/>
    <w:rsid w:val="00452879"/>
    <w:rsid w:val="00452DE4"/>
    <w:rsid w:val="00455F96"/>
    <w:rsid w:val="00460710"/>
    <w:rsid w:val="004616F0"/>
    <w:rsid w:val="00461800"/>
    <w:rsid w:val="00461836"/>
    <w:rsid w:val="00462371"/>
    <w:rsid w:val="00463885"/>
    <w:rsid w:val="00464932"/>
    <w:rsid w:val="00465DD5"/>
    <w:rsid w:val="0046701F"/>
    <w:rsid w:val="004755AB"/>
    <w:rsid w:val="004779AE"/>
    <w:rsid w:val="00480057"/>
    <w:rsid w:val="0048238A"/>
    <w:rsid w:val="00482983"/>
    <w:rsid w:val="00483127"/>
    <w:rsid w:val="0048497C"/>
    <w:rsid w:val="00485CE3"/>
    <w:rsid w:val="00486F3B"/>
    <w:rsid w:val="004912CD"/>
    <w:rsid w:val="0049210C"/>
    <w:rsid w:val="0049251A"/>
    <w:rsid w:val="00495974"/>
    <w:rsid w:val="00496936"/>
    <w:rsid w:val="00496CE0"/>
    <w:rsid w:val="004A0E44"/>
    <w:rsid w:val="004A6E84"/>
    <w:rsid w:val="004B58A3"/>
    <w:rsid w:val="004B6611"/>
    <w:rsid w:val="004B7C9F"/>
    <w:rsid w:val="004C12EF"/>
    <w:rsid w:val="004C5BB6"/>
    <w:rsid w:val="004C6549"/>
    <w:rsid w:val="004C6C24"/>
    <w:rsid w:val="004D4124"/>
    <w:rsid w:val="004D5CC1"/>
    <w:rsid w:val="004E1DC9"/>
    <w:rsid w:val="004E1F59"/>
    <w:rsid w:val="004E522A"/>
    <w:rsid w:val="004E76F0"/>
    <w:rsid w:val="004F046F"/>
    <w:rsid w:val="004F06DB"/>
    <w:rsid w:val="004F0A81"/>
    <w:rsid w:val="004F1D44"/>
    <w:rsid w:val="004F3E77"/>
    <w:rsid w:val="004F4BFD"/>
    <w:rsid w:val="004F76FE"/>
    <w:rsid w:val="004F787C"/>
    <w:rsid w:val="0050034D"/>
    <w:rsid w:val="00500455"/>
    <w:rsid w:val="00500654"/>
    <w:rsid w:val="00503E64"/>
    <w:rsid w:val="005106A1"/>
    <w:rsid w:val="005118CD"/>
    <w:rsid w:val="005118FA"/>
    <w:rsid w:val="00520A46"/>
    <w:rsid w:val="005231DA"/>
    <w:rsid w:val="00524296"/>
    <w:rsid w:val="00525C50"/>
    <w:rsid w:val="005332A4"/>
    <w:rsid w:val="00533C1B"/>
    <w:rsid w:val="00535111"/>
    <w:rsid w:val="00536079"/>
    <w:rsid w:val="0054527D"/>
    <w:rsid w:val="00546E2E"/>
    <w:rsid w:val="00552D3A"/>
    <w:rsid w:val="00553269"/>
    <w:rsid w:val="00553490"/>
    <w:rsid w:val="005537FC"/>
    <w:rsid w:val="005550B8"/>
    <w:rsid w:val="005552C1"/>
    <w:rsid w:val="00555444"/>
    <w:rsid w:val="00555B03"/>
    <w:rsid w:val="00560DBE"/>
    <w:rsid w:val="005632E9"/>
    <w:rsid w:val="00572287"/>
    <w:rsid w:val="00572B2D"/>
    <w:rsid w:val="00574B59"/>
    <w:rsid w:val="005762A4"/>
    <w:rsid w:val="00581C3A"/>
    <w:rsid w:val="00583632"/>
    <w:rsid w:val="00583A52"/>
    <w:rsid w:val="005866D8"/>
    <w:rsid w:val="00590394"/>
    <w:rsid w:val="005907EA"/>
    <w:rsid w:val="00591FF2"/>
    <w:rsid w:val="00592E78"/>
    <w:rsid w:val="0059686E"/>
    <w:rsid w:val="00597503"/>
    <w:rsid w:val="005977AD"/>
    <w:rsid w:val="0059798C"/>
    <w:rsid w:val="00597EA8"/>
    <w:rsid w:val="005A28A2"/>
    <w:rsid w:val="005A3742"/>
    <w:rsid w:val="005A4067"/>
    <w:rsid w:val="005A6563"/>
    <w:rsid w:val="005B2190"/>
    <w:rsid w:val="005B26C6"/>
    <w:rsid w:val="005B4ABA"/>
    <w:rsid w:val="005B5674"/>
    <w:rsid w:val="005B7BE4"/>
    <w:rsid w:val="005C2590"/>
    <w:rsid w:val="005C37E4"/>
    <w:rsid w:val="005C5086"/>
    <w:rsid w:val="005C5657"/>
    <w:rsid w:val="005C6A45"/>
    <w:rsid w:val="005C7C60"/>
    <w:rsid w:val="005D01FA"/>
    <w:rsid w:val="005D0FDD"/>
    <w:rsid w:val="005D114F"/>
    <w:rsid w:val="005D260F"/>
    <w:rsid w:val="005D5894"/>
    <w:rsid w:val="005D762D"/>
    <w:rsid w:val="005D7C22"/>
    <w:rsid w:val="005E0CE6"/>
    <w:rsid w:val="005E31C1"/>
    <w:rsid w:val="005E44F0"/>
    <w:rsid w:val="005E5283"/>
    <w:rsid w:val="005E678B"/>
    <w:rsid w:val="005E6E42"/>
    <w:rsid w:val="005E7931"/>
    <w:rsid w:val="005F32C6"/>
    <w:rsid w:val="005F3A5D"/>
    <w:rsid w:val="005F3FCA"/>
    <w:rsid w:val="005F40E6"/>
    <w:rsid w:val="005F6690"/>
    <w:rsid w:val="005F6D17"/>
    <w:rsid w:val="00603788"/>
    <w:rsid w:val="006103DD"/>
    <w:rsid w:val="006118D8"/>
    <w:rsid w:val="00612CCC"/>
    <w:rsid w:val="00613D34"/>
    <w:rsid w:val="00615266"/>
    <w:rsid w:val="00615657"/>
    <w:rsid w:val="006160BE"/>
    <w:rsid w:val="006214BE"/>
    <w:rsid w:val="00621839"/>
    <w:rsid w:val="006262A7"/>
    <w:rsid w:val="00627CCF"/>
    <w:rsid w:val="00627FDA"/>
    <w:rsid w:val="00632A37"/>
    <w:rsid w:val="006379BD"/>
    <w:rsid w:val="00637FA7"/>
    <w:rsid w:val="00640782"/>
    <w:rsid w:val="00640AD2"/>
    <w:rsid w:val="006412B4"/>
    <w:rsid w:val="006451FF"/>
    <w:rsid w:val="0064692D"/>
    <w:rsid w:val="00647CCC"/>
    <w:rsid w:val="00655A81"/>
    <w:rsid w:val="006572FA"/>
    <w:rsid w:val="00657B37"/>
    <w:rsid w:val="0066268C"/>
    <w:rsid w:val="00665700"/>
    <w:rsid w:val="006700DE"/>
    <w:rsid w:val="00670318"/>
    <w:rsid w:val="0067097F"/>
    <w:rsid w:val="0067198E"/>
    <w:rsid w:val="006748E1"/>
    <w:rsid w:val="0067599D"/>
    <w:rsid w:val="00676049"/>
    <w:rsid w:val="0068024D"/>
    <w:rsid w:val="006820DE"/>
    <w:rsid w:val="00682BDF"/>
    <w:rsid w:val="006832EA"/>
    <w:rsid w:val="00684803"/>
    <w:rsid w:val="0068775C"/>
    <w:rsid w:val="00696E24"/>
    <w:rsid w:val="006A0305"/>
    <w:rsid w:val="006A0B13"/>
    <w:rsid w:val="006A5E4D"/>
    <w:rsid w:val="006A64D0"/>
    <w:rsid w:val="006A6570"/>
    <w:rsid w:val="006A7794"/>
    <w:rsid w:val="006B05B0"/>
    <w:rsid w:val="006B0B04"/>
    <w:rsid w:val="006B37BA"/>
    <w:rsid w:val="006B3C35"/>
    <w:rsid w:val="006B5824"/>
    <w:rsid w:val="006B71BB"/>
    <w:rsid w:val="006B72BD"/>
    <w:rsid w:val="006B740F"/>
    <w:rsid w:val="006C0A36"/>
    <w:rsid w:val="006C1291"/>
    <w:rsid w:val="006C1374"/>
    <w:rsid w:val="006C4EC0"/>
    <w:rsid w:val="006D2D69"/>
    <w:rsid w:val="006E145D"/>
    <w:rsid w:val="006E417A"/>
    <w:rsid w:val="006E53E9"/>
    <w:rsid w:val="006E572A"/>
    <w:rsid w:val="006E7F49"/>
    <w:rsid w:val="006F01B7"/>
    <w:rsid w:val="006F41F0"/>
    <w:rsid w:val="006F5DCD"/>
    <w:rsid w:val="006F6B42"/>
    <w:rsid w:val="006F76FC"/>
    <w:rsid w:val="00706238"/>
    <w:rsid w:val="00706C8C"/>
    <w:rsid w:val="00706C9F"/>
    <w:rsid w:val="00707E16"/>
    <w:rsid w:val="00711800"/>
    <w:rsid w:val="00711A8C"/>
    <w:rsid w:val="00712D1D"/>
    <w:rsid w:val="00713424"/>
    <w:rsid w:val="007135DB"/>
    <w:rsid w:val="00724ACC"/>
    <w:rsid w:val="00730E90"/>
    <w:rsid w:val="00730FF6"/>
    <w:rsid w:val="00734D4E"/>
    <w:rsid w:val="00735987"/>
    <w:rsid w:val="00736115"/>
    <w:rsid w:val="007406AE"/>
    <w:rsid w:val="007432B9"/>
    <w:rsid w:val="007443B5"/>
    <w:rsid w:val="0075109D"/>
    <w:rsid w:val="00754505"/>
    <w:rsid w:val="00755239"/>
    <w:rsid w:val="00761B82"/>
    <w:rsid w:val="007632BF"/>
    <w:rsid w:val="007655F3"/>
    <w:rsid w:val="00765B07"/>
    <w:rsid w:val="007702C9"/>
    <w:rsid w:val="00772B66"/>
    <w:rsid w:val="00774C1D"/>
    <w:rsid w:val="00775AC8"/>
    <w:rsid w:val="0078397E"/>
    <w:rsid w:val="00787F66"/>
    <w:rsid w:val="007916DD"/>
    <w:rsid w:val="0079403B"/>
    <w:rsid w:val="00797789"/>
    <w:rsid w:val="007A01A7"/>
    <w:rsid w:val="007A254A"/>
    <w:rsid w:val="007A46F2"/>
    <w:rsid w:val="007A70C9"/>
    <w:rsid w:val="007B2DAA"/>
    <w:rsid w:val="007B7FB9"/>
    <w:rsid w:val="007C1C4A"/>
    <w:rsid w:val="007C31BC"/>
    <w:rsid w:val="007C4716"/>
    <w:rsid w:val="007C4EBD"/>
    <w:rsid w:val="007C522B"/>
    <w:rsid w:val="007C52DB"/>
    <w:rsid w:val="007C6E2A"/>
    <w:rsid w:val="007D191D"/>
    <w:rsid w:val="007D1D4F"/>
    <w:rsid w:val="007E0FC3"/>
    <w:rsid w:val="007E5FCF"/>
    <w:rsid w:val="007F03FB"/>
    <w:rsid w:val="007F0C30"/>
    <w:rsid w:val="007F5C00"/>
    <w:rsid w:val="007F5D65"/>
    <w:rsid w:val="0080018B"/>
    <w:rsid w:val="0080182B"/>
    <w:rsid w:val="0080182E"/>
    <w:rsid w:val="00803C87"/>
    <w:rsid w:val="00805656"/>
    <w:rsid w:val="00811BF7"/>
    <w:rsid w:val="008145BE"/>
    <w:rsid w:val="00816B1E"/>
    <w:rsid w:val="00817BFF"/>
    <w:rsid w:val="008210D7"/>
    <w:rsid w:val="00821483"/>
    <w:rsid w:val="00822D93"/>
    <w:rsid w:val="00823F57"/>
    <w:rsid w:val="00832391"/>
    <w:rsid w:val="0083246D"/>
    <w:rsid w:val="0083323F"/>
    <w:rsid w:val="0083339D"/>
    <w:rsid w:val="00833455"/>
    <w:rsid w:val="00835248"/>
    <w:rsid w:val="0083710B"/>
    <w:rsid w:val="00841BEF"/>
    <w:rsid w:val="008438AB"/>
    <w:rsid w:val="00844AF4"/>
    <w:rsid w:val="00846887"/>
    <w:rsid w:val="00847C71"/>
    <w:rsid w:val="00854A71"/>
    <w:rsid w:val="008560FD"/>
    <w:rsid w:val="00860AB4"/>
    <w:rsid w:val="00863E46"/>
    <w:rsid w:val="00864EB4"/>
    <w:rsid w:val="008658AB"/>
    <w:rsid w:val="00867DA3"/>
    <w:rsid w:val="00867DFD"/>
    <w:rsid w:val="008722FD"/>
    <w:rsid w:val="008726BA"/>
    <w:rsid w:val="00872934"/>
    <w:rsid w:val="00876C3D"/>
    <w:rsid w:val="008853B6"/>
    <w:rsid w:val="0088637C"/>
    <w:rsid w:val="0089133F"/>
    <w:rsid w:val="008947AC"/>
    <w:rsid w:val="0089658E"/>
    <w:rsid w:val="008A01E9"/>
    <w:rsid w:val="008A0261"/>
    <w:rsid w:val="008A2E25"/>
    <w:rsid w:val="008B27BC"/>
    <w:rsid w:val="008B45A8"/>
    <w:rsid w:val="008B685D"/>
    <w:rsid w:val="008B6EAA"/>
    <w:rsid w:val="008C4807"/>
    <w:rsid w:val="008C6330"/>
    <w:rsid w:val="008C6A23"/>
    <w:rsid w:val="008C72B2"/>
    <w:rsid w:val="008D116F"/>
    <w:rsid w:val="008D2AE6"/>
    <w:rsid w:val="008E469C"/>
    <w:rsid w:val="008E4A86"/>
    <w:rsid w:val="008E56D3"/>
    <w:rsid w:val="008E6916"/>
    <w:rsid w:val="008E74DE"/>
    <w:rsid w:val="008F3692"/>
    <w:rsid w:val="008F4408"/>
    <w:rsid w:val="009007FC"/>
    <w:rsid w:val="00902A8B"/>
    <w:rsid w:val="00907FB1"/>
    <w:rsid w:val="00911490"/>
    <w:rsid w:val="0091259E"/>
    <w:rsid w:val="00913AA2"/>
    <w:rsid w:val="009175E9"/>
    <w:rsid w:val="009178A6"/>
    <w:rsid w:val="009200AF"/>
    <w:rsid w:val="009210FC"/>
    <w:rsid w:val="0092336E"/>
    <w:rsid w:val="00925209"/>
    <w:rsid w:val="00931397"/>
    <w:rsid w:val="00934EC1"/>
    <w:rsid w:val="00944FB8"/>
    <w:rsid w:val="0094757B"/>
    <w:rsid w:val="00950A09"/>
    <w:rsid w:val="009533B2"/>
    <w:rsid w:val="00955426"/>
    <w:rsid w:val="00957FDD"/>
    <w:rsid w:val="00964810"/>
    <w:rsid w:val="00964C81"/>
    <w:rsid w:val="00967976"/>
    <w:rsid w:val="00970400"/>
    <w:rsid w:val="0097205D"/>
    <w:rsid w:val="009771A2"/>
    <w:rsid w:val="00977CAA"/>
    <w:rsid w:val="00981154"/>
    <w:rsid w:val="00981AAB"/>
    <w:rsid w:val="00983684"/>
    <w:rsid w:val="00985B31"/>
    <w:rsid w:val="00986934"/>
    <w:rsid w:val="0099116C"/>
    <w:rsid w:val="00991CBA"/>
    <w:rsid w:val="0099281E"/>
    <w:rsid w:val="00997995"/>
    <w:rsid w:val="009A0F2F"/>
    <w:rsid w:val="009A29EA"/>
    <w:rsid w:val="009A2F9D"/>
    <w:rsid w:val="009A45FF"/>
    <w:rsid w:val="009A6844"/>
    <w:rsid w:val="009A6C54"/>
    <w:rsid w:val="009A6E98"/>
    <w:rsid w:val="009A6F59"/>
    <w:rsid w:val="009B7DF4"/>
    <w:rsid w:val="009C441D"/>
    <w:rsid w:val="009C5BC5"/>
    <w:rsid w:val="009C63B9"/>
    <w:rsid w:val="009C7411"/>
    <w:rsid w:val="009D01E7"/>
    <w:rsid w:val="009D2E10"/>
    <w:rsid w:val="009D32F1"/>
    <w:rsid w:val="009D35F0"/>
    <w:rsid w:val="009D3F68"/>
    <w:rsid w:val="009D6F85"/>
    <w:rsid w:val="009E3B9A"/>
    <w:rsid w:val="009F2E61"/>
    <w:rsid w:val="009F690B"/>
    <w:rsid w:val="00A02662"/>
    <w:rsid w:val="00A03FD8"/>
    <w:rsid w:val="00A05866"/>
    <w:rsid w:val="00A10487"/>
    <w:rsid w:val="00A128D9"/>
    <w:rsid w:val="00A14EFE"/>
    <w:rsid w:val="00A14F53"/>
    <w:rsid w:val="00A15ED8"/>
    <w:rsid w:val="00A17A36"/>
    <w:rsid w:val="00A20A0F"/>
    <w:rsid w:val="00A20CCE"/>
    <w:rsid w:val="00A20E98"/>
    <w:rsid w:val="00A21020"/>
    <w:rsid w:val="00A257AD"/>
    <w:rsid w:val="00A30062"/>
    <w:rsid w:val="00A32625"/>
    <w:rsid w:val="00A330D1"/>
    <w:rsid w:val="00A366C1"/>
    <w:rsid w:val="00A41659"/>
    <w:rsid w:val="00A4199E"/>
    <w:rsid w:val="00A44C74"/>
    <w:rsid w:val="00A50A03"/>
    <w:rsid w:val="00A523D4"/>
    <w:rsid w:val="00A524F3"/>
    <w:rsid w:val="00A52556"/>
    <w:rsid w:val="00A5403B"/>
    <w:rsid w:val="00A5542E"/>
    <w:rsid w:val="00A56993"/>
    <w:rsid w:val="00A579BC"/>
    <w:rsid w:val="00A609D4"/>
    <w:rsid w:val="00A62E9A"/>
    <w:rsid w:val="00A63E92"/>
    <w:rsid w:val="00A6646B"/>
    <w:rsid w:val="00A666D6"/>
    <w:rsid w:val="00A7029D"/>
    <w:rsid w:val="00A710A1"/>
    <w:rsid w:val="00A74786"/>
    <w:rsid w:val="00A77E50"/>
    <w:rsid w:val="00A818D6"/>
    <w:rsid w:val="00A83391"/>
    <w:rsid w:val="00A83921"/>
    <w:rsid w:val="00A90662"/>
    <w:rsid w:val="00A906BD"/>
    <w:rsid w:val="00A911CD"/>
    <w:rsid w:val="00A9465D"/>
    <w:rsid w:val="00A94B75"/>
    <w:rsid w:val="00A960E5"/>
    <w:rsid w:val="00A96780"/>
    <w:rsid w:val="00A97CAE"/>
    <w:rsid w:val="00AA635B"/>
    <w:rsid w:val="00AA64AA"/>
    <w:rsid w:val="00AB2EBD"/>
    <w:rsid w:val="00AB3EE8"/>
    <w:rsid w:val="00AB618A"/>
    <w:rsid w:val="00AB65E9"/>
    <w:rsid w:val="00AC1248"/>
    <w:rsid w:val="00AC184C"/>
    <w:rsid w:val="00AC1F91"/>
    <w:rsid w:val="00AC3488"/>
    <w:rsid w:val="00AC3BCF"/>
    <w:rsid w:val="00AC3E6D"/>
    <w:rsid w:val="00AC424D"/>
    <w:rsid w:val="00AC4C81"/>
    <w:rsid w:val="00AC69C8"/>
    <w:rsid w:val="00AC6E3C"/>
    <w:rsid w:val="00AC709B"/>
    <w:rsid w:val="00AC7779"/>
    <w:rsid w:val="00AD22A5"/>
    <w:rsid w:val="00AD5249"/>
    <w:rsid w:val="00AD5CE7"/>
    <w:rsid w:val="00AD68DE"/>
    <w:rsid w:val="00AE00D4"/>
    <w:rsid w:val="00AE0253"/>
    <w:rsid w:val="00AE0304"/>
    <w:rsid w:val="00AE0D16"/>
    <w:rsid w:val="00AE2BE1"/>
    <w:rsid w:val="00AF1805"/>
    <w:rsid w:val="00AF2C45"/>
    <w:rsid w:val="00AF4B25"/>
    <w:rsid w:val="00AF4E72"/>
    <w:rsid w:val="00AF5AD9"/>
    <w:rsid w:val="00AF6019"/>
    <w:rsid w:val="00B013DC"/>
    <w:rsid w:val="00B02B68"/>
    <w:rsid w:val="00B04A31"/>
    <w:rsid w:val="00B10579"/>
    <w:rsid w:val="00B107CF"/>
    <w:rsid w:val="00B11463"/>
    <w:rsid w:val="00B1148A"/>
    <w:rsid w:val="00B12106"/>
    <w:rsid w:val="00B158AC"/>
    <w:rsid w:val="00B15989"/>
    <w:rsid w:val="00B163A3"/>
    <w:rsid w:val="00B22292"/>
    <w:rsid w:val="00B23147"/>
    <w:rsid w:val="00B23EB0"/>
    <w:rsid w:val="00B24942"/>
    <w:rsid w:val="00B24D1A"/>
    <w:rsid w:val="00B254E4"/>
    <w:rsid w:val="00B25538"/>
    <w:rsid w:val="00B261F6"/>
    <w:rsid w:val="00B26504"/>
    <w:rsid w:val="00B26DEF"/>
    <w:rsid w:val="00B30890"/>
    <w:rsid w:val="00B3242A"/>
    <w:rsid w:val="00B33B45"/>
    <w:rsid w:val="00B3489F"/>
    <w:rsid w:val="00B34DD2"/>
    <w:rsid w:val="00B350AE"/>
    <w:rsid w:val="00B3521D"/>
    <w:rsid w:val="00B3598E"/>
    <w:rsid w:val="00B3717E"/>
    <w:rsid w:val="00B37669"/>
    <w:rsid w:val="00B42543"/>
    <w:rsid w:val="00B42641"/>
    <w:rsid w:val="00B427E1"/>
    <w:rsid w:val="00B42DC7"/>
    <w:rsid w:val="00B448CA"/>
    <w:rsid w:val="00B478F1"/>
    <w:rsid w:val="00B52BD3"/>
    <w:rsid w:val="00B53989"/>
    <w:rsid w:val="00B557DE"/>
    <w:rsid w:val="00B604CA"/>
    <w:rsid w:val="00B74CFB"/>
    <w:rsid w:val="00B82BD2"/>
    <w:rsid w:val="00B83005"/>
    <w:rsid w:val="00B8345C"/>
    <w:rsid w:val="00B83A84"/>
    <w:rsid w:val="00B83CCF"/>
    <w:rsid w:val="00B84966"/>
    <w:rsid w:val="00B86559"/>
    <w:rsid w:val="00B9210F"/>
    <w:rsid w:val="00B92BD1"/>
    <w:rsid w:val="00B973CF"/>
    <w:rsid w:val="00BA17B5"/>
    <w:rsid w:val="00BA7275"/>
    <w:rsid w:val="00BB44E4"/>
    <w:rsid w:val="00BB58E6"/>
    <w:rsid w:val="00BB5D58"/>
    <w:rsid w:val="00BB7BD9"/>
    <w:rsid w:val="00BC07BF"/>
    <w:rsid w:val="00BC15B0"/>
    <w:rsid w:val="00BC2B55"/>
    <w:rsid w:val="00BC2EF2"/>
    <w:rsid w:val="00BC30E7"/>
    <w:rsid w:val="00BC4CA5"/>
    <w:rsid w:val="00BC67A5"/>
    <w:rsid w:val="00BC7CF0"/>
    <w:rsid w:val="00BD0696"/>
    <w:rsid w:val="00BD2675"/>
    <w:rsid w:val="00BD3004"/>
    <w:rsid w:val="00BD693E"/>
    <w:rsid w:val="00BD6CF0"/>
    <w:rsid w:val="00BD7F43"/>
    <w:rsid w:val="00BE1B7B"/>
    <w:rsid w:val="00BE2183"/>
    <w:rsid w:val="00BE28BF"/>
    <w:rsid w:val="00BE3C41"/>
    <w:rsid w:val="00BE4EB4"/>
    <w:rsid w:val="00BE6578"/>
    <w:rsid w:val="00BF04FB"/>
    <w:rsid w:val="00BF13E7"/>
    <w:rsid w:val="00BF1445"/>
    <w:rsid w:val="00BF4322"/>
    <w:rsid w:val="00BF5772"/>
    <w:rsid w:val="00BF7AB3"/>
    <w:rsid w:val="00C0069D"/>
    <w:rsid w:val="00C00BBC"/>
    <w:rsid w:val="00C022F4"/>
    <w:rsid w:val="00C02CDC"/>
    <w:rsid w:val="00C03615"/>
    <w:rsid w:val="00C0521D"/>
    <w:rsid w:val="00C060CB"/>
    <w:rsid w:val="00C07D48"/>
    <w:rsid w:val="00C117B9"/>
    <w:rsid w:val="00C12735"/>
    <w:rsid w:val="00C1546B"/>
    <w:rsid w:val="00C211E1"/>
    <w:rsid w:val="00C21DB7"/>
    <w:rsid w:val="00C2256C"/>
    <w:rsid w:val="00C2299E"/>
    <w:rsid w:val="00C24E7E"/>
    <w:rsid w:val="00C25031"/>
    <w:rsid w:val="00C260F4"/>
    <w:rsid w:val="00C2743B"/>
    <w:rsid w:val="00C303BB"/>
    <w:rsid w:val="00C32DFE"/>
    <w:rsid w:val="00C33D1F"/>
    <w:rsid w:val="00C34597"/>
    <w:rsid w:val="00C34630"/>
    <w:rsid w:val="00C37046"/>
    <w:rsid w:val="00C420A1"/>
    <w:rsid w:val="00C432D9"/>
    <w:rsid w:val="00C439B7"/>
    <w:rsid w:val="00C43EE1"/>
    <w:rsid w:val="00C45D0D"/>
    <w:rsid w:val="00C479D3"/>
    <w:rsid w:val="00C52505"/>
    <w:rsid w:val="00C533CC"/>
    <w:rsid w:val="00C53450"/>
    <w:rsid w:val="00C56F8D"/>
    <w:rsid w:val="00C62423"/>
    <w:rsid w:val="00C64697"/>
    <w:rsid w:val="00C64A10"/>
    <w:rsid w:val="00C66218"/>
    <w:rsid w:val="00C6714F"/>
    <w:rsid w:val="00C673B3"/>
    <w:rsid w:val="00C6756E"/>
    <w:rsid w:val="00C767ED"/>
    <w:rsid w:val="00C8057A"/>
    <w:rsid w:val="00C81E82"/>
    <w:rsid w:val="00C820E9"/>
    <w:rsid w:val="00C86D98"/>
    <w:rsid w:val="00C86F27"/>
    <w:rsid w:val="00C90ED8"/>
    <w:rsid w:val="00C912D9"/>
    <w:rsid w:val="00C96A66"/>
    <w:rsid w:val="00C975BA"/>
    <w:rsid w:val="00CA1B17"/>
    <w:rsid w:val="00CA22C4"/>
    <w:rsid w:val="00CA3050"/>
    <w:rsid w:val="00CA4C24"/>
    <w:rsid w:val="00CA5AA0"/>
    <w:rsid w:val="00CA5E3F"/>
    <w:rsid w:val="00CA6EE9"/>
    <w:rsid w:val="00CB06CB"/>
    <w:rsid w:val="00CB1EE6"/>
    <w:rsid w:val="00CB54CD"/>
    <w:rsid w:val="00CC0876"/>
    <w:rsid w:val="00CC318C"/>
    <w:rsid w:val="00CC3FB0"/>
    <w:rsid w:val="00CD02C8"/>
    <w:rsid w:val="00CD317C"/>
    <w:rsid w:val="00CD4712"/>
    <w:rsid w:val="00CD4A58"/>
    <w:rsid w:val="00CE138C"/>
    <w:rsid w:val="00CE2496"/>
    <w:rsid w:val="00CE2E77"/>
    <w:rsid w:val="00CE409B"/>
    <w:rsid w:val="00CE5060"/>
    <w:rsid w:val="00CE6511"/>
    <w:rsid w:val="00CF0343"/>
    <w:rsid w:val="00CF0B70"/>
    <w:rsid w:val="00CF2841"/>
    <w:rsid w:val="00CF5FC4"/>
    <w:rsid w:val="00CF61B3"/>
    <w:rsid w:val="00D0225F"/>
    <w:rsid w:val="00D02A1A"/>
    <w:rsid w:val="00D0307C"/>
    <w:rsid w:val="00D04223"/>
    <w:rsid w:val="00D070E4"/>
    <w:rsid w:val="00D11D46"/>
    <w:rsid w:val="00D130AA"/>
    <w:rsid w:val="00D14FBA"/>
    <w:rsid w:val="00D166C0"/>
    <w:rsid w:val="00D174AC"/>
    <w:rsid w:val="00D17978"/>
    <w:rsid w:val="00D22DF4"/>
    <w:rsid w:val="00D23F25"/>
    <w:rsid w:val="00D244F8"/>
    <w:rsid w:val="00D24D98"/>
    <w:rsid w:val="00D26499"/>
    <w:rsid w:val="00D2737F"/>
    <w:rsid w:val="00D2746C"/>
    <w:rsid w:val="00D27ADF"/>
    <w:rsid w:val="00D27CBB"/>
    <w:rsid w:val="00D3696F"/>
    <w:rsid w:val="00D40DCB"/>
    <w:rsid w:val="00D4273F"/>
    <w:rsid w:val="00D54755"/>
    <w:rsid w:val="00D5481B"/>
    <w:rsid w:val="00D577A8"/>
    <w:rsid w:val="00D634B8"/>
    <w:rsid w:val="00D65826"/>
    <w:rsid w:val="00D71297"/>
    <w:rsid w:val="00D71417"/>
    <w:rsid w:val="00D72988"/>
    <w:rsid w:val="00D73E09"/>
    <w:rsid w:val="00D804FB"/>
    <w:rsid w:val="00D84B6B"/>
    <w:rsid w:val="00D8677A"/>
    <w:rsid w:val="00D90EBD"/>
    <w:rsid w:val="00D9414B"/>
    <w:rsid w:val="00D957B3"/>
    <w:rsid w:val="00D96247"/>
    <w:rsid w:val="00DA13BB"/>
    <w:rsid w:val="00DA20EA"/>
    <w:rsid w:val="00DA5023"/>
    <w:rsid w:val="00DA5F21"/>
    <w:rsid w:val="00DA6255"/>
    <w:rsid w:val="00DA6AB7"/>
    <w:rsid w:val="00DA6D93"/>
    <w:rsid w:val="00DB3B61"/>
    <w:rsid w:val="00DB4608"/>
    <w:rsid w:val="00DC116F"/>
    <w:rsid w:val="00DC2429"/>
    <w:rsid w:val="00DC76A3"/>
    <w:rsid w:val="00DD077C"/>
    <w:rsid w:val="00DD0F2D"/>
    <w:rsid w:val="00DD2685"/>
    <w:rsid w:val="00DD58EA"/>
    <w:rsid w:val="00DE01E5"/>
    <w:rsid w:val="00DE3DC3"/>
    <w:rsid w:val="00DE611E"/>
    <w:rsid w:val="00DE7936"/>
    <w:rsid w:val="00E057D9"/>
    <w:rsid w:val="00E11F54"/>
    <w:rsid w:val="00E14417"/>
    <w:rsid w:val="00E1637E"/>
    <w:rsid w:val="00E17639"/>
    <w:rsid w:val="00E208D9"/>
    <w:rsid w:val="00E2150D"/>
    <w:rsid w:val="00E22338"/>
    <w:rsid w:val="00E24661"/>
    <w:rsid w:val="00E26D36"/>
    <w:rsid w:val="00E325B5"/>
    <w:rsid w:val="00E42523"/>
    <w:rsid w:val="00E45801"/>
    <w:rsid w:val="00E458C7"/>
    <w:rsid w:val="00E45E73"/>
    <w:rsid w:val="00E4664F"/>
    <w:rsid w:val="00E4692A"/>
    <w:rsid w:val="00E52A95"/>
    <w:rsid w:val="00E5435C"/>
    <w:rsid w:val="00E55398"/>
    <w:rsid w:val="00E55CFB"/>
    <w:rsid w:val="00E652D9"/>
    <w:rsid w:val="00E6570C"/>
    <w:rsid w:val="00E65C51"/>
    <w:rsid w:val="00E6709C"/>
    <w:rsid w:val="00E71342"/>
    <w:rsid w:val="00E75338"/>
    <w:rsid w:val="00E762FD"/>
    <w:rsid w:val="00E7688F"/>
    <w:rsid w:val="00E81802"/>
    <w:rsid w:val="00E820E5"/>
    <w:rsid w:val="00E82BD7"/>
    <w:rsid w:val="00E861DA"/>
    <w:rsid w:val="00E86584"/>
    <w:rsid w:val="00E8717D"/>
    <w:rsid w:val="00E912C9"/>
    <w:rsid w:val="00E92859"/>
    <w:rsid w:val="00E92C0E"/>
    <w:rsid w:val="00E96F96"/>
    <w:rsid w:val="00EA0195"/>
    <w:rsid w:val="00EA0621"/>
    <w:rsid w:val="00EA24F0"/>
    <w:rsid w:val="00EA4559"/>
    <w:rsid w:val="00EA6CFF"/>
    <w:rsid w:val="00EB0D73"/>
    <w:rsid w:val="00EB18AD"/>
    <w:rsid w:val="00EB27D2"/>
    <w:rsid w:val="00EB357B"/>
    <w:rsid w:val="00EB3B6E"/>
    <w:rsid w:val="00EB4B0F"/>
    <w:rsid w:val="00EB4E87"/>
    <w:rsid w:val="00EB60D5"/>
    <w:rsid w:val="00EB62E5"/>
    <w:rsid w:val="00EB7082"/>
    <w:rsid w:val="00EC1F7C"/>
    <w:rsid w:val="00EC2A42"/>
    <w:rsid w:val="00EC485C"/>
    <w:rsid w:val="00EC50E0"/>
    <w:rsid w:val="00EC52B3"/>
    <w:rsid w:val="00EC54D6"/>
    <w:rsid w:val="00ED4FFA"/>
    <w:rsid w:val="00ED6C78"/>
    <w:rsid w:val="00EE4B2C"/>
    <w:rsid w:val="00EF1F23"/>
    <w:rsid w:val="00F049EC"/>
    <w:rsid w:val="00F05D0B"/>
    <w:rsid w:val="00F06952"/>
    <w:rsid w:val="00F06ADC"/>
    <w:rsid w:val="00F1026E"/>
    <w:rsid w:val="00F11C50"/>
    <w:rsid w:val="00F143F3"/>
    <w:rsid w:val="00F145C3"/>
    <w:rsid w:val="00F21CCF"/>
    <w:rsid w:val="00F23CD9"/>
    <w:rsid w:val="00F27D45"/>
    <w:rsid w:val="00F3125F"/>
    <w:rsid w:val="00F31B31"/>
    <w:rsid w:val="00F321DA"/>
    <w:rsid w:val="00F32AB7"/>
    <w:rsid w:val="00F34AC6"/>
    <w:rsid w:val="00F4037F"/>
    <w:rsid w:val="00F410AC"/>
    <w:rsid w:val="00F41848"/>
    <w:rsid w:val="00F41B2D"/>
    <w:rsid w:val="00F45D66"/>
    <w:rsid w:val="00F551EF"/>
    <w:rsid w:val="00F56E6A"/>
    <w:rsid w:val="00F61B71"/>
    <w:rsid w:val="00F62747"/>
    <w:rsid w:val="00F63504"/>
    <w:rsid w:val="00F66686"/>
    <w:rsid w:val="00F6668D"/>
    <w:rsid w:val="00F71800"/>
    <w:rsid w:val="00F71926"/>
    <w:rsid w:val="00F7237E"/>
    <w:rsid w:val="00F7272A"/>
    <w:rsid w:val="00F750AC"/>
    <w:rsid w:val="00F80A68"/>
    <w:rsid w:val="00F818EA"/>
    <w:rsid w:val="00F84721"/>
    <w:rsid w:val="00F84D80"/>
    <w:rsid w:val="00F873B5"/>
    <w:rsid w:val="00F958A5"/>
    <w:rsid w:val="00F95F52"/>
    <w:rsid w:val="00FA4D76"/>
    <w:rsid w:val="00FA4FDB"/>
    <w:rsid w:val="00FA7DAA"/>
    <w:rsid w:val="00FB132A"/>
    <w:rsid w:val="00FB511F"/>
    <w:rsid w:val="00FB58F5"/>
    <w:rsid w:val="00FB5DE6"/>
    <w:rsid w:val="00FB69F2"/>
    <w:rsid w:val="00FC42DE"/>
    <w:rsid w:val="00FC54B9"/>
    <w:rsid w:val="00FD363D"/>
    <w:rsid w:val="00FD4CE4"/>
    <w:rsid w:val="00FD7A6E"/>
    <w:rsid w:val="00FE0FD8"/>
    <w:rsid w:val="00FE34F3"/>
    <w:rsid w:val="00FE647A"/>
    <w:rsid w:val="00FF0C12"/>
    <w:rsid w:val="00FF0EFC"/>
    <w:rsid w:val="00FF3882"/>
    <w:rsid w:val="00FF5337"/>
    <w:rsid w:val="00FF5830"/>
    <w:rsid w:val="00FF6B9C"/>
    <w:rsid w:val="00FF72D9"/>
    <w:rsid w:val="00FF7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5:docId w15:val="{453C57E5-2DF1-4ED5-A5A1-29189494A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3C1E"/>
    <w:rPr>
      <w:rFonts w:ascii="Arial" w:hAnsi="Arial"/>
      <w:sz w:val="24"/>
      <w:szCs w:val="24"/>
    </w:rPr>
  </w:style>
  <w:style w:type="paragraph" w:styleId="Heading1">
    <w:name w:val="heading 1"/>
    <w:basedOn w:val="Normal"/>
    <w:next w:val="Normal"/>
    <w:qFormat/>
    <w:rsid w:val="003C3C1E"/>
    <w:pPr>
      <w:keepNext/>
      <w:jc w:val="right"/>
      <w:outlineLvl w:val="0"/>
    </w:pPr>
    <w:rPr>
      <w:b/>
    </w:rPr>
  </w:style>
  <w:style w:type="paragraph" w:styleId="Heading2">
    <w:name w:val="heading 2"/>
    <w:basedOn w:val="Normal"/>
    <w:next w:val="Normal"/>
    <w:qFormat/>
    <w:rsid w:val="003C3C1E"/>
    <w:pPr>
      <w:keepNext/>
      <w:jc w:val="center"/>
      <w:outlineLvl w:val="1"/>
    </w:pPr>
    <w:rPr>
      <w:b/>
      <w:u w:val="single"/>
    </w:rPr>
  </w:style>
  <w:style w:type="paragraph" w:styleId="Heading3">
    <w:name w:val="heading 3"/>
    <w:basedOn w:val="Normal"/>
    <w:next w:val="Normal"/>
    <w:qFormat/>
    <w:rsid w:val="003C3C1E"/>
    <w:pPr>
      <w:keepNext/>
      <w:outlineLvl w:val="2"/>
    </w:pPr>
    <w:rPr>
      <w:b/>
    </w:rPr>
  </w:style>
  <w:style w:type="paragraph" w:styleId="Heading4">
    <w:name w:val="heading 4"/>
    <w:basedOn w:val="Normal"/>
    <w:next w:val="Normal"/>
    <w:qFormat/>
    <w:rsid w:val="003C3C1E"/>
    <w:pPr>
      <w:keepNext/>
      <w:outlineLvl w:val="3"/>
    </w:pPr>
    <w:rPr>
      <w:b/>
      <w:u w:val="single"/>
    </w:rPr>
  </w:style>
  <w:style w:type="paragraph" w:styleId="Heading5">
    <w:name w:val="heading 5"/>
    <w:basedOn w:val="Normal"/>
    <w:next w:val="Normal"/>
    <w:qFormat/>
    <w:rsid w:val="003C3C1E"/>
    <w:pPr>
      <w:keepNext/>
      <w:ind w:firstLine="709"/>
      <w:jc w:val="both"/>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C3C1E"/>
    <w:pPr>
      <w:jc w:val="both"/>
    </w:pPr>
  </w:style>
  <w:style w:type="paragraph" w:styleId="BodyTextIndent">
    <w:name w:val="Body Text Indent"/>
    <w:basedOn w:val="Normal"/>
    <w:rsid w:val="003C3C1E"/>
    <w:pPr>
      <w:ind w:left="720"/>
      <w:jc w:val="both"/>
    </w:pPr>
  </w:style>
  <w:style w:type="paragraph" w:styleId="BodyTextIndent2">
    <w:name w:val="Body Text Indent 2"/>
    <w:basedOn w:val="Normal"/>
    <w:rsid w:val="003C3C1E"/>
    <w:pPr>
      <w:ind w:left="720" w:hanging="720"/>
      <w:jc w:val="both"/>
    </w:pPr>
  </w:style>
  <w:style w:type="paragraph" w:styleId="BodyTextIndent3">
    <w:name w:val="Body Text Indent 3"/>
    <w:basedOn w:val="Normal"/>
    <w:rsid w:val="003C3C1E"/>
    <w:pPr>
      <w:ind w:left="426" w:hanging="426"/>
      <w:jc w:val="both"/>
    </w:pPr>
  </w:style>
  <w:style w:type="paragraph" w:styleId="CommentText">
    <w:name w:val="annotation text"/>
    <w:basedOn w:val="Normal"/>
    <w:semiHidden/>
    <w:rsid w:val="003C3C1E"/>
    <w:rPr>
      <w:sz w:val="20"/>
    </w:rPr>
  </w:style>
  <w:style w:type="paragraph" w:styleId="BodyText2">
    <w:name w:val="Body Text 2"/>
    <w:basedOn w:val="Normal"/>
    <w:rsid w:val="003C3C1E"/>
    <w:pPr>
      <w:jc w:val="both"/>
    </w:pPr>
    <w:rPr>
      <w:sz w:val="22"/>
    </w:rPr>
  </w:style>
  <w:style w:type="paragraph" w:styleId="BodyText3">
    <w:name w:val="Body Text 3"/>
    <w:basedOn w:val="Normal"/>
    <w:rsid w:val="003C3C1E"/>
    <w:rPr>
      <w:sz w:val="22"/>
    </w:rPr>
  </w:style>
  <w:style w:type="paragraph" w:customStyle="1" w:styleId="DfESBullets">
    <w:name w:val="DfESBullets"/>
    <w:basedOn w:val="Normal"/>
    <w:rsid w:val="003C3C1E"/>
    <w:pPr>
      <w:widowControl w:val="0"/>
      <w:numPr>
        <w:numId w:val="1"/>
      </w:numPr>
      <w:overflowPunct w:val="0"/>
      <w:autoSpaceDE w:val="0"/>
      <w:autoSpaceDN w:val="0"/>
      <w:adjustRightInd w:val="0"/>
      <w:spacing w:after="240"/>
      <w:textAlignment w:val="baseline"/>
    </w:pPr>
    <w:rPr>
      <w:sz w:val="22"/>
    </w:rPr>
  </w:style>
  <w:style w:type="character" w:styleId="Hyperlink">
    <w:name w:val="Hyperlink"/>
    <w:basedOn w:val="DefaultParagraphFont"/>
    <w:rsid w:val="003C3C1E"/>
    <w:rPr>
      <w:color w:val="0000FF"/>
      <w:u w:val="single"/>
    </w:rPr>
  </w:style>
  <w:style w:type="paragraph" w:styleId="Header">
    <w:name w:val="header"/>
    <w:basedOn w:val="Normal"/>
    <w:rsid w:val="003C3C1E"/>
    <w:pPr>
      <w:tabs>
        <w:tab w:val="center" w:pos="4320"/>
        <w:tab w:val="right" w:pos="8640"/>
      </w:tabs>
    </w:pPr>
  </w:style>
  <w:style w:type="paragraph" w:styleId="Footer">
    <w:name w:val="footer"/>
    <w:basedOn w:val="Normal"/>
    <w:link w:val="FooterChar"/>
    <w:uiPriority w:val="99"/>
    <w:rsid w:val="003C3C1E"/>
    <w:pPr>
      <w:tabs>
        <w:tab w:val="center" w:pos="4320"/>
        <w:tab w:val="right" w:pos="8640"/>
      </w:tabs>
    </w:pPr>
  </w:style>
  <w:style w:type="character" w:styleId="CommentReference">
    <w:name w:val="annotation reference"/>
    <w:basedOn w:val="DefaultParagraphFont"/>
    <w:semiHidden/>
    <w:rsid w:val="003C3C1E"/>
    <w:rPr>
      <w:sz w:val="16"/>
      <w:szCs w:val="16"/>
    </w:rPr>
  </w:style>
  <w:style w:type="paragraph" w:styleId="Title">
    <w:name w:val="Title"/>
    <w:basedOn w:val="Normal"/>
    <w:qFormat/>
    <w:rsid w:val="003C3C1E"/>
    <w:pPr>
      <w:jc w:val="center"/>
    </w:pPr>
    <w:rPr>
      <w:b/>
      <w:lang w:eastAsia="en-US"/>
    </w:rPr>
  </w:style>
  <w:style w:type="paragraph" w:styleId="BalloonText">
    <w:name w:val="Balloon Text"/>
    <w:basedOn w:val="Normal"/>
    <w:semiHidden/>
    <w:rsid w:val="003C3C1E"/>
    <w:rPr>
      <w:rFonts w:ascii="Tahoma" w:hAnsi="Tahoma" w:cs="Tahoma"/>
      <w:sz w:val="16"/>
      <w:szCs w:val="16"/>
    </w:rPr>
  </w:style>
  <w:style w:type="paragraph" w:styleId="CommentSubject">
    <w:name w:val="annotation subject"/>
    <w:basedOn w:val="CommentText"/>
    <w:next w:val="CommentText"/>
    <w:semiHidden/>
    <w:rsid w:val="003C3C1E"/>
    <w:rPr>
      <w:b/>
      <w:bCs/>
    </w:rPr>
  </w:style>
  <w:style w:type="table" w:styleId="TableGrid">
    <w:name w:val="Table Grid"/>
    <w:basedOn w:val="TableNormal"/>
    <w:rsid w:val="001E0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C43EE1"/>
    <w:rPr>
      <w:color w:val="800080"/>
      <w:u w:val="single"/>
    </w:rPr>
  </w:style>
  <w:style w:type="paragraph" w:styleId="ListParagraph">
    <w:name w:val="List Paragraph"/>
    <w:basedOn w:val="Normal"/>
    <w:uiPriority w:val="34"/>
    <w:qFormat/>
    <w:rsid w:val="00BF04FB"/>
    <w:pPr>
      <w:ind w:left="720"/>
    </w:pPr>
  </w:style>
  <w:style w:type="character" w:customStyle="1" w:styleId="FooterChar">
    <w:name w:val="Footer Char"/>
    <w:basedOn w:val="DefaultParagraphFont"/>
    <w:link w:val="Footer"/>
    <w:uiPriority w:val="99"/>
    <w:rsid w:val="00A15ED8"/>
    <w:rPr>
      <w:rFonts w:ascii="Arial" w:hAnsi="Arial"/>
      <w:sz w:val="24"/>
      <w:szCs w:val="24"/>
    </w:rPr>
  </w:style>
  <w:style w:type="paragraph" w:styleId="EndnoteText">
    <w:name w:val="endnote text"/>
    <w:basedOn w:val="Normal"/>
    <w:link w:val="EndnoteTextChar"/>
    <w:rsid w:val="00F3125F"/>
    <w:rPr>
      <w:sz w:val="20"/>
      <w:szCs w:val="20"/>
    </w:rPr>
  </w:style>
  <w:style w:type="character" w:customStyle="1" w:styleId="EndnoteTextChar">
    <w:name w:val="Endnote Text Char"/>
    <w:basedOn w:val="DefaultParagraphFont"/>
    <w:link w:val="EndnoteText"/>
    <w:rsid w:val="00F3125F"/>
    <w:rPr>
      <w:rFonts w:ascii="Arial" w:hAnsi="Arial"/>
    </w:rPr>
  </w:style>
  <w:style w:type="character" w:styleId="EndnoteReference">
    <w:name w:val="endnote reference"/>
    <w:basedOn w:val="DefaultParagraphFont"/>
    <w:rsid w:val="00F3125F"/>
    <w:rPr>
      <w:vertAlign w:val="superscript"/>
    </w:rPr>
  </w:style>
  <w:style w:type="paragraph" w:styleId="FootnoteText">
    <w:name w:val="footnote text"/>
    <w:basedOn w:val="Normal"/>
    <w:link w:val="FootnoteTextChar"/>
    <w:rsid w:val="00D23F25"/>
    <w:rPr>
      <w:sz w:val="20"/>
      <w:szCs w:val="20"/>
    </w:rPr>
  </w:style>
  <w:style w:type="character" w:customStyle="1" w:styleId="FootnoteTextChar">
    <w:name w:val="Footnote Text Char"/>
    <w:basedOn w:val="DefaultParagraphFont"/>
    <w:link w:val="FootnoteText"/>
    <w:rsid w:val="00D23F25"/>
    <w:rPr>
      <w:rFonts w:ascii="Arial" w:hAnsi="Arial"/>
    </w:rPr>
  </w:style>
  <w:style w:type="character" w:styleId="FootnoteReference">
    <w:name w:val="footnote reference"/>
    <w:basedOn w:val="DefaultParagraphFont"/>
    <w:rsid w:val="00D23F25"/>
    <w:rPr>
      <w:vertAlign w:val="superscript"/>
    </w:rPr>
  </w:style>
  <w:style w:type="paragraph" w:customStyle="1" w:styleId="Default">
    <w:name w:val="Default"/>
    <w:rsid w:val="004C5BB6"/>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D166C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82665">
      <w:bodyDiv w:val="1"/>
      <w:marLeft w:val="0"/>
      <w:marRight w:val="0"/>
      <w:marTop w:val="0"/>
      <w:marBottom w:val="0"/>
      <w:divBdr>
        <w:top w:val="none" w:sz="0" w:space="0" w:color="auto"/>
        <w:left w:val="none" w:sz="0" w:space="0" w:color="auto"/>
        <w:bottom w:val="none" w:sz="0" w:space="0" w:color="auto"/>
        <w:right w:val="none" w:sz="0" w:space="0" w:color="auto"/>
      </w:divBdr>
    </w:div>
    <w:div w:id="141165217">
      <w:bodyDiv w:val="1"/>
      <w:marLeft w:val="0"/>
      <w:marRight w:val="0"/>
      <w:marTop w:val="0"/>
      <w:marBottom w:val="0"/>
      <w:divBdr>
        <w:top w:val="none" w:sz="0" w:space="0" w:color="auto"/>
        <w:left w:val="none" w:sz="0" w:space="0" w:color="auto"/>
        <w:bottom w:val="none" w:sz="0" w:space="0" w:color="auto"/>
        <w:right w:val="none" w:sz="0" w:space="0" w:color="auto"/>
      </w:divBdr>
    </w:div>
    <w:div w:id="327756895">
      <w:bodyDiv w:val="1"/>
      <w:marLeft w:val="0"/>
      <w:marRight w:val="0"/>
      <w:marTop w:val="0"/>
      <w:marBottom w:val="0"/>
      <w:divBdr>
        <w:top w:val="none" w:sz="0" w:space="0" w:color="auto"/>
        <w:left w:val="none" w:sz="0" w:space="0" w:color="auto"/>
        <w:bottom w:val="none" w:sz="0" w:space="0" w:color="auto"/>
        <w:right w:val="none" w:sz="0" w:space="0" w:color="auto"/>
      </w:divBdr>
    </w:div>
    <w:div w:id="447702742">
      <w:bodyDiv w:val="1"/>
      <w:marLeft w:val="0"/>
      <w:marRight w:val="0"/>
      <w:marTop w:val="0"/>
      <w:marBottom w:val="0"/>
      <w:divBdr>
        <w:top w:val="none" w:sz="0" w:space="0" w:color="auto"/>
        <w:left w:val="none" w:sz="0" w:space="0" w:color="auto"/>
        <w:bottom w:val="none" w:sz="0" w:space="0" w:color="auto"/>
        <w:right w:val="none" w:sz="0" w:space="0" w:color="auto"/>
      </w:divBdr>
    </w:div>
    <w:div w:id="481702077">
      <w:bodyDiv w:val="1"/>
      <w:marLeft w:val="0"/>
      <w:marRight w:val="0"/>
      <w:marTop w:val="0"/>
      <w:marBottom w:val="0"/>
      <w:divBdr>
        <w:top w:val="none" w:sz="0" w:space="0" w:color="auto"/>
        <w:left w:val="none" w:sz="0" w:space="0" w:color="auto"/>
        <w:bottom w:val="none" w:sz="0" w:space="0" w:color="auto"/>
        <w:right w:val="none" w:sz="0" w:space="0" w:color="auto"/>
      </w:divBdr>
    </w:div>
    <w:div w:id="717826829">
      <w:bodyDiv w:val="1"/>
      <w:marLeft w:val="0"/>
      <w:marRight w:val="0"/>
      <w:marTop w:val="0"/>
      <w:marBottom w:val="0"/>
      <w:divBdr>
        <w:top w:val="none" w:sz="0" w:space="0" w:color="auto"/>
        <w:left w:val="none" w:sz="0" w:space="0" w:color="auto"/>
        <w:bottom w:val="none" w:sz="0" w:space="0" w:color="auto"/>
        <w:right w:val="none" w:sz="0" w:space="0" w:color="auto"/>
      </w:divBdr>
    </w:div>
    <w:div w:id="955597336">
      <w:bodyDiv w:val="1"/>
      <w:marLeft w:val="0"/>
      <w:marRight w:val="0"/>
      <w:marTop w:val="0"/>
      <w:marBottom w:val="0"/>
      <w:divBdr>
        <w:top w:val="none" w:sz="0" w:space="0" w:color="auto"/>
        <w:left w:val="none" w:sz="0" w:space="0" w:color="auto"/>
        <w:bottom w:val="none" w:sz="0" w:space="0" w:color="auto"/>
        <w:right w:val="none" w:sz="0" w:space="0" w:color="auto"/>
      </w:divBdr>
    </w:div>
    <w:div w:id="1050349396">
      <w:bodyDiv w:val="1"/>
      <w:marLeft w:val="0"/>
      <w:marRight w:val="0"/>
      <w:marTop w:val="0"/>
      <w:marBottom w:val="0"/>
      <w:divBdr>
        <w:top w:val="none" w:sz="0" w:space="0" w:color="auto"/>
        <w:left w:val="none" w:sz="0" w:space="0" w:color="auto"/>
        <w:bottom w:val="none" w:sz="0" w:space="0" w:color="auto"/>
        <w:right w:val="none" w:sz="0" w:space="0" w:color="auto"/>
      </w:divBdr>
    </w:div>
    <w:div w:id="1088186430">
      <w:bodyDiv w:val="1"/>
      <w:marLeft w:val="0"/>
      <w:marRight w:val="0"/>
      <w:marTop w:val="0"/>
      <w:marBottom w:val="0"/>
      <w:divBdr>
        <w:top w:val="none" w:sz="0" w:space="0" w:color="auto"/>
        <w:left w:val="none" w:sz="0" w:space="0" w:color="auto"/>
        <w:bottom w:val="none" w:sz="0" w:space="0" w:color="auto"/>
        <w:right w:val="none" w:sz="0" w:space="0" w:color="auto"/>
      </w:divBdr>
    </w:div>
    <w:div w:id="1235164133">
      <w:bodyDiv w:val="1"/>
      <w:marLeft w:val="0"/>
      <w:marRight w:val="0"/>
      <w:marTop w:val="0"/>
      <w:marBottom w:val="0"/>
      <w:divBdr>
        <w:top w:val="none" w:sz="0" w:space="0" w:color="auto"/>
        <w:left w:val="none" w:sz="0" w:space="0" w:color="auto"/>
        <w:bottom w:val="none" w:sz="0" w:space="0" w:color="auto"/>
        <w:right w:val="none" w:sz="0" w:space="0" w:color="auto"/>
      </w:divBdr>
    </w:div>
    <w:div w:id="1274511138">
      <w:bodyDiv w:val="1"/>
      <w:marLeft w:val="0"/>
      <w:marRight w:val="0"/>
      <w:marTop w:val="0"/>
      <w:marBottom w:val="0"/>
      <w:divBdr>
        <w:top w:val="none" w:sz="0" w:space="0" w:color="auto"/>
        <w:left w:val="none" w:sz="0" w:space="0" w:color="auto"/>
        <w:bottom w:val="none" w:sz="0" w:space="0" w:color="auto"/>
        <w:right w:val="none" w:sz="0" w:space="0" w:color="auto"/>
      </w:divBdr>
    </w:div>
    <w:div w:id="1306351044">
      <w:bodyDiv w:val="1"/>
      <w:marLeft w:val="0"/>
      <w:marRight w:val="0"/>
      <w:marTop w:val="0"/>
      <w:marBottom w:val="0"/>
      <w:divBdr>
        <w:top w:val="none" w:sz="0" w:space="0" w:color="auto"/>
        <w:left w:val="none" w:sz="0" w:space="0" w:color="auto"/>
        <w:bottom w:val="none" w:sz="0" w:space="0" w:color="auto"/>
        <w:right w:val="none" w:sz="0" w:space="0" w:color="auto"/>
      </w:divBdr>
    </w:div>
    <w:div w:id="1552304278">
      <w:bodyDiv w:val="1"/>
      <w:marLeft w:val="0"/>
      <w:marRight w:val="0"/>
      <w:marTop w:val="0"/>
      <w:marBottom w:val="0"/>
      <w:divBdr>
        <w:top w:val="none" w:sz="0" w:space="0" w:color="auto"/>
        <w:left w:val="none" w:sz="0" w:space="0" w:color="auto"/>
        <w:bottom w:val="none" w:sz="0" w:space="0" w:color="auto"/>
        <w:right w:val="none" w:sz="0" w:space="0" w:color="auto"/>
      </w:divBdr>
    </w:div>
    <w:div w:id="1577667731">
      <w:bodyDiv w:val="1"/>
      <w:marLeft w:val="0"/>
      <w:marRight w:val="0"/>
      <w:marTop w:val="0"/>
      <w:marBottom w:val="0"/>
      <w:divBdr>
        <w:top w:val="none" w:sz="0" w:space="0" w:color="auto"/>
        <w:left w:val="none" w:sz="0" w:space="0" w:color="auto"/>
        <w:bottom w:val="none" w:sz="0" w:space="0" w:color="auto"/>
        <w:right w:val="none" w:sz="0" w:space="0" w:color="auto"/>
      </w:divBdr>
    </w:div>
    <w:div w:id="205076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EEB5F-114D-4C60-8774-DBC2A1ADA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2265</Words>
  <Characters>12913</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Appendix A - New Report Layout including Sign Off Sheet</vt:lpstr>
    </vt:vector>
  </TitlesOfParts>
  <Company>LBBD</Company>
  <LinksUpToDate>false</LinksUpToDate>
  <CharactersWithSpaces>15148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 - New Report Layout including Sign Off Sheet</dc:title>
  <dc:subject>Report Writing</dc:subject>
  <dc:creator>Barry Ray</dc:creator>
  <cp:lastModifiedBy>Young Nichola</cp:lastModifiedBy>
  <cp:revision>2</cp:revision>
  <cp:lastPrinted>2017-11-14T09:18:00Z</cp:lastPrinted>
  <dcterms:created xsi:type="dcterms:W3CDTF">2017-12-18T15:19:00Z</dcterms:created>
  <dcterms:modified xsi:type="dcterms:W3CDTF">2017-12-18T15:19:00Z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endixCharacter">
    <vt:lpwstr> </vt:lpwstr>
  </property>
</Properties>
</file>