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245" w:rsidRPr="000A25CC" w:rsidRDefault="006C423C" w:rsidP="000A25CC">
      <w:pPr>
        <w:ind w:left="-993"/>
        <w:rPr>
          <w:rFonts w:ascii="Arial" w:hAnsi="Arial" w:cs="Arial"/>
          <w:b/>
          <w:bCs/>
          <w:color w:val="320A4B"/>
          <w:sz w:val="40"/>
          <w:szCs w:val="40"/>
        </w:rPr>
      </w:pPr>
      <w:r w:rsidRPr="000A25CC">
        <w:rPr>
          <w:rFonts w:ascii="Arial" w:hAnsi="Arial" w:cs="Arial"/>
          <w:b/>
          <w:bCs/>
          <w:color w:val="320A4B"/>
          <w:sz w:val="40"/>
          <w:szCs w:val="40"/>
        </w:rPr>
        <w:t xml:space="preserve">Rapid Review </w:t>
      </w:r>
      <w:r w:rsidR="008A04EC" w:rsidRPr="000A25CC">
        <w:rPr>
          <w:rFonts w:ascii="Arial" w:hAnsi="Arial" w:cs="Arial"/>
          <w:b/>
          <w:bCs/>
          <w:color w:val="320A4B"/>
          <w:sz w:val="40"/>
          <w:szCs w:val="40"/>
        </w:rPr>
        <w:t xml:space="preserve">Process </w:t>
      </w:r>
    </w:p>
    <w:p w:rsidR="00E37288" w:rsidRDefault="00E37288" w:rsidP="00757245">
      <w:pPr>
        <w:jc w:val="center"/>
        <w:rPr>
          <w:rFonts w:ascii="Arial" w:hAnsi="Arial" w:cs="Arial"/>
          <w:b/>
          <w:bCs/>
          <w:color w:val="320A4B"/>
          <w:sz w:val="28"/>
          <w:szCs w:val="28"/>
        </w:rPr>
      </w:pPr>
    </w:p>
    <w:p w:rsidR="00E37288" w:rsidRPr="009939DF" w:rsidRDefault="00E37288" w:rsidP="00E37288">
      <w:pPr>
        <w:ind w:hanging="993"/>
        <w:rPr>
          <w:rFonts w:ascii="Arial" w:hAnsi="Arial" w:cs="Arial"/>
          <w:b/>
          <w:bCs/>
          <w:color w:val="320A4B"/>
          <w:sz w:val="24"/>
          <w:szCs w:val="24"/>
        </w:rPr>
      </w:pPr>
      <w:r w:rsidRPr="009939DF">
        <w:rPr>
          <w:rFonts w:ascii="Arial" w:hAnsi="Arial" w:cs="Arial"/>
          <w:b/>
          <w:bCs/>
          <w:color w:val="320A4B"/>
          <w:sz w:val="24"/>
          <w:szCs w:val="24"/>
        </w:rPr>
        <w:t xml:space="preserve">What leads to a Rapid Review? </w:t>
      </w:r>
    </w:p>
    <w:p w:rsidR="00176CF7" w:rsidRDefault="00F6538A" w:rsidP="008E1E12">
      <w:pPr>
        <w:spacing w:after="0" w:line="240" w:lineRule="auto"/>
        <w:ind w:left="-992"/>
        <w:rPr>
          <w:rFonts w:ascii="Arial" w:hAnsi="Arial" w:cs="Arial"/>
          <w:color w:val="320A4B"/>
          <w:kern w:val="0"/>
          <w:sz w:val="24"/>
          <w:szCs w:val="24"/>
          <w14:ligatures w14:val="none"/>
        </w:rPr>
      </w:pPr>
      <w:r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A Rapid Review is a multi-agency process </w:t>
      </w:r>
      <w:r w:rsidR="00176CF7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which considers the circumstances of a Serious Child Safeguarding Incident. </w:t>
      </w:r>
    </w:p>
    <w:p w:rsidR="00176CF7" w:rsidRDefault="00176CF7" w:rsidP="008E1E12">
      <w:pPr>
        <w:spacing w:after="0" w:line="240" w:lineRule="auto"/>
        <w:ind w:left="-992"/>
        <w:rPr>
          <w:rFonts w:ascii="Arial" w:hAnsi="Arial" w:cs="Arial"/>
          <w:color w:val="320A4B"/>
          <w:kern w:val="0"/>
          <w:sz w:val="24"/>
          <w:szCs w:val="24"/>
          <w14:ligatures w14:val="none"/>
        </w:rPr>
      </w:pPr>
    </w:p>
    <w:p w:rsidR="00B41A24" w:rsidRPr="009939DF" w:rsidRDefault="0081043D" w:rsidP="008E1E12">
      <w:pPr>
        <w:spacing w:after="0" w:line="240" w:lineRule="auto"/>
        <w:ind w:left="-992"/>
        <w:rPr>
          <w:rFonts w:ascii="Arial" w:hAnsi="Arial" w:cs="Arial"/>
          <w:color w:val="320A4B"/>
          <w:kern w:val="0"/>
          <w:sz w:val="24"/>
          <w:szCs w:val="24"/>
          <w14:ligatures w14:val="none"/>
        </w:rPr>
      </w:pPr>
      <w:r w:rsidRPr="0081043D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Following a notification of a Serious Incident to the Child Safeguarding Practice Review Panel a </w:t>
      </w:r>
      <w:r w:rsidRPr="00547518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Rapid Review must be scheduled within 15 working days </w:t>
      </w:r>
      <w:r w:rsidRPr="0081043D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of that notification. </w:t>
      </w:r>
      <w:r w:rsidR="00301971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>This would normally be arranged by the Business Manager for the BDSCP</w:t>
      </w:r>
      <w:r w:rsidR="00C7744A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. </w:t>
      </w:r>
      <w:r w:rsidR="008E1E12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br/>
      </w:r>
    </w:p>
    <w:p w:rsidR="003253BF" w:rsidRDefault="00B41A24" w:rsidP="003253BF">
      <w:pPr>
        <w:ind w:left="-993"/>
        <w:rPr>
          <w:rFonts w:ascii="Arial" w:hAnsi="Arial" w:cs="Arial"/>
          <w:color w:val="320A4B"/>
          <w:kern w:val="0"/>
          <w:sz w:val="24"/>
          <w:szCs w:val="24"/>
          <w14:ligatures w14:val="none"/>
        </w:rPr>
      </w:pPr>
      <w:r w:rsidRPr="009939DF">
        <w:rPr>
          <w:rFonts w:ascii="Arial" w:hAnsi="Arial" w:cs="Arial"/>
          <w:b/>
          <w:bCs/>
          <w:color w:val="320A4B"/>
          <w:kern w:val="0"/>
          <w:sz w:val="24"/>
          <w:szCs w:val="24"/>
          <w14:ligatures w14:val="none"/>
        </w:rPr>
        <w:t>What does a Rapid Review look to achieve?</w:t>
      </w:r>
      <w:r w:rsidRPr="009939DF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 </w:t>
      </w:r>
      <w:r w:rsidRPr="009939DF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br/>
      </w:r>
      <w:r w:rsidRPr="00BD47CB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br/>
      </w:r>
      <w:r w:rsidR="0081043D" w:rsidRPr="0081043D">
        <w:rPr>
          <w:rFonts w:ascii="Arial" w:eastAsia="Times New Roman" w:hAnsi="Arial" w:cs="Arial"/>
          <w:color w:val="320A4B"/>
          <w:kern w:val="0"/>
          <w:sz w:val="24"/>
          <w:szCs w:val="24"/>
          <w:lang w:eastAsia="en-GB"/>
          <w14:ligatures w14:val="none"/>
        </w:rPr>
        <w:t>The aim of th</w:t>
      </w:r>
      <w:r w:rsidRPr="00BD47CB">
        <w:rPr>
          <w:rFonts w:ascii="Arial" w:eastAsia="Times New Roman" w:hAnsi="Arial" w:cs="Arial"/>
          <w:color w:val="320A4B"/>
          <w:kern w:val="0"/>
          <w:sz w:val="24"/>
          <w:szCs w:val="24"/>
          <w:lang w:eastAsia="en-GB"/>
          <w14:ligatures w14:val="none"/>
        </w:rPr>
        <w:t>e</w:t>
      </w:r>
      <w:r w:rsidR="0081043D" w:rsidRPr="0081043D">
        <w:rPr>
          <w:rFonts w:ascii="Arial" w:eastAsia="Times New Roman" w:hAnsi="Arial" w:cs="Arial"/>
          <w:color w:val="320A4B"/>
          <w:kern w:val="0"/>
          <w:sz w:val="24"/>
          <w:szCs w:val="24"/>
          <w:lang w:eastAsia="en-GB"/>
          <w14:ligatures w14:val="none"/>
        </w:rPr>
        <w:t xml:space="preserve"> rapid review is to enable safeguarding partners to:</w:t>
      </w:r>
    </w:p>
    <w:p w:rsidR="003253BF" w:rsidRPr="003253BF" w:rsidRDefault="0081043D" w:rsidP="003253BF">
      <w:pPr>
        <w:pStyle w:val="ListParagraph"/>
        <w:numPr>
          <w:ilvl w:val="0"/>
          <w:numId w:val="11"/>
        </w:numPr>
        <w:rPr>
          <w:rFonts w:ascii="Arial" w:hAnsi="Arial" w:cs="Arial"/>
          <w:color w:val="320A4B"/>
          <w:kern w:val="0"/>
          <w:sz w:val="24"/>
          <w:szCs w:val="24"/>
          <w14:ligatures w14:val="none"/>
        </w:rPr>
      </w:pPr>
      <w:r w:rsidRPr="003253BF">
        <w:rPr>
          <w:rFonts w:ascii="Arial" w:eastAsia="Times New Roman" w:hAnsi="Arial" w:cs="Arial"/>
          <w:color w:val="320A4B"/>
          <w:kern w:val="0"/>
          <w:sz w:val="24"/>
          <w:szCs w:val="24"/>
          <w:lang w:eastAsia="en-GB"/>
          <w14:ligatures w14:val="none"/>
        </w:rPr>
        <w:t>Gather the facts about the case, as far as they can be readily established at the time.</w:t>
      </w:r>
    </w:p>
    <w:p w:rsidR="003253BF" w:rsidRPr="003253BF" w:rsidRDefault="0081043D" w:rsidP="003253BF">
      <w:pPr>
        <w:pStyle w:val="ListParagraph"/>
        <w:numPr>
          <w:ilvl w:val="0"/>
          <w:numId w:val="11"/>
        </w:numPr>
        <w:rPr>
          <w:rFonts w:ascii="Arial" w:hAnsi="Arial" w:cs="Arial"/>
          <w:color w:val="320A4B"/>
          <w:kern w:val="0"/>
          <w:sz w:val="24"/>
          <w:szCs w:val="24"/>
          <w14:ligatures w14:val="none"/>
        </w:rPr>
      </w:pPr>
      <w:r w:rsidRPr="003253BF">
        <w:rPr>
          <w:rFonts w:ascii="Arial" w:eastAsia="Times New Roman" w:hAnsi="Arial" w:cs="Arial"/>
          <w:color w:val="320A4B"/>
          <w:kern w:val="0"/>
          <w:sz w:val="24"/>
          <w:szCs w:val="24"/>
          <w:lang w:eastAsia="en-GB"/>
          <w14:ligatures w14:val="none"/>
        </w:rPr>
        <w:t>Discuss whether there is any immediate action needed to ensure children’s safety and share any learning appropriately.</w:t>
      </w:r>
    </w:p>
    <w:p w:rsidR="003253BF" w:rsidRPr="003253BF" w:rsidRDefault="0081043D" w:rsidP="003253BF">
      <w:pPr>
        <w:pStyle w:val="ListParagraph"/>
        <w:numPr>
          <w:ilvl w:val="0"/>
          <w:numId w:val="11"/>
        </w:numPr>
        <w:rPr>
          <w:rFonts w:ascii="Arial" w:hAnsi="Arial" w:cs="Arial"/>
          <w:color w:val="320A4B"/>
          <w:kern w:val="0"/>
          <w:sz w:val="24"/>
          <w:szCs w:val="24"/>
          <w14:ligatures w14:val="none"/>
        </w:rPr>
      </w:pPr>
      <w:r w:rsidRPr="003253BF">
        <w:rPr>
          <w:rFonts w:ascii="Arial" w:eastAsia="Times New Roman" w:hAnsi="Arial" w:cs="Arial"/>
          <w:color w:val="320A4B"/>
          <w:kern w:val="0"/>
          <w:sz w:val="24"/>
          <w:szCs w:val="24"/>
          <w:lang w:eastAsia="en-GB"/>
          <w14:ligatures w14:val="none"/>
        </w:rPr>
        <w:t>Consider the potential for identifying improvements to safeguard and promote the welfare of children.</w:t>
      </w:r>
    </w:p>
    <w:p w:rsidR="00BD47CB" w:rsidRPr="003253BF" w:rsidRDefault="0081043D" w:rsidP="003253BF">
      <w:pPr>
        <w:pStyle w:val="ListParagraph"/>
        <w:numPr>
          <w:ilvl w:val="0"/>
          <w:numId w:val="11"/>
        </w:numPr>
        <w:rPr>
          <w:rFonts w:ascii="Arial" w:hAnsi="Arial" w:cs="Arial"/>
          <w:color w:val="320A4B"/>
          <w:kern w:val="0"/>
          <w:sz w:val="24"/>
          <w:szCs w:val="24"/>
          <w14:ligatures w14:val="none"/>
        </w:rPr>
      </w:pPr>
      <w:r w:rsidRPr="003253BF">
        <w:rPr>
          <w:rFonts w:ascii="Arial" w:eastAsia="Times New Roman" w:hAnsi="Arial" w:cs="Arial"/>
          <w:color w:val="320A4B"/>
          <w:kern w:val="0"/>
          <w:sz w:val="24"/>
          <w:szCs w:val="24"/>
          <w:lang w:eastAsia="en-GB"/>
          <w14:ligatures w14:val="none"/>
        </w:rPr>
        <w:t xml:space="preserve">Decide what steps they should take next, including </w:t>
      </w:r>
      <w:proofErr w:type="gramStart"/>
      <w:r w:rsidRPr="003253BF">
        <w:rPr>
          <w:rFonts w:ascii="Arial" w:eastAsia="Times New Roman" w:hAnsi="Arial" w:cs="Arial"/>
          <w:color w:val="320A4B"/>
          <w:kern w:val="0"/>
          <w:sz w:val="24"/>
          <w:szCs w:val="24"/>
          <w:lang w:eastAsia="en-GB"/>
          <w14:ligatures w14:val="none"/>
        </w:rPr>
        <w:t>whether or not</w:t>
      </w:r>
      <w:proofErr w:type="gramEnd"/>
      <w:r w:rsidRPr="003253BF">
        <w:rPr>
          <w:rFonts w:ascii="Arial" w:eastAsia="Times New Roman" w:hAnsi="Arial" w:cs="Arial"/>
          <w:color w:val="320A4B"/>
          <w:kern w:val="0"/>
          <w:sz w:val="24"/>
          <w:szCs w:val="24"/>
          <w:lang w:eastAsia="en-GB"/>
          <w14:ligatures w14:val="none"/>
        </w:rPr>
        <w:t xml:space="preserve"> to undertake a child safeguarding practice review.</w:t>
      </w:r>
    </w:p>
    <w:p w:rsidR="00BD47CB" w:rsidRDefault="00BD47CB" w:rsidP="00BD47CB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color w:val="320A4B"/>
          <w:kern w:val="0"/>
          <w:sz w:val="24"/>
          <w:szCs w:val="24"/>
          <w:lang w:eastAsia="en-GB"/>
          <w14:ligatures w14:val="none"/>
        </w:rPr>
      </w:pPr>
    </w:p>
    <w:p w:rsidR="00BD47CB" w:rsidRPr="0081043D" w:rsidRDefault="00BD47CB" w:rsidP="00BD47CB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bCs/>
          <w:color w:val="320A4B"/>
          <w:kern w:val="0"/>
          <w:sz w:val="24"/>
          <w:szCs w:val="24"/>
          <w:lang w:eastAsia="en-GB"/>
          <w14:ligatures w14:val="none"/>
        </w:rPr>
      </w:pPr>
      <w:r w:rsidRPr="00BD47CB">
        <w:rPr>
          <w:rFonts w:ascii="Arial" w:eastAsia="Times New Roman" w:hAnsi="Arial" w:cs="Arial"/>
          <w:b/>
          <w:bCs/>
          <w:color w:val="320A4B"/>
          <w:kern w:val="0"/>
          <w:sz w:val="24"/>
          <w:szCs w:val="24"/>
          <w:lang w:eastAsia="en-GB"/>
          <w14:ligatures w14:val="none"/>
        </w:rPr>
        <w:t>Who attends and what do they need to do?</w:t>
      </w:r>
    </w:p>
    <w:p w:rsidR="0081043D" w:rsidRPr="0081043D" w:rsidRDefault="0081043D" w:rsidP="0081043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i/>
          <w:iCs/>
          <w:color w:val="320A4B"/>
          <w:kern w:val="0"/>
          <w:lang w:eastAsia="en-GB"/>
          <w14:ligatures w14:val="none"/>
        </w:rPr>
      </w:pPr>
    </w:p>
    <w:p w:rsidR="00385551" w:rsidRPr="0032005B" w:rsidRDefault="0081043D" w:rsidP="00385551">
      <w:pPr>
        <w:ind w:left="-993"/>
        <w:jc w:val="both"/>
        <w:rPr>
          <w:rFonts w:ascii="Arial" w:hAnsi="Arial" w:cs="Arial"/>
          <w:color w:val="320A4B"/>
          <w:kern w:val="0"/>
          <w:sz w:val="24"/>
          <w:szCs w:val="24"/>
          <w14:ligatures w14:val="none"/>
        </w:rPr>
      </w:pPr>
      <w:r w:rsidRPr="0081043D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The regular membership </w:t>
      </w:r>
      <w:r w:rsidR="00321F5F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of the </w:t>
      </w:r>
      <w:r w:rsidR="0009232F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One Panel </w:t>
      </w:r>
      <w:r w:rsidR="00C26310" w:rsidRPr="0032005B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>(in Barking and Dagenham)</w:t>
      </w:r>
      <w:r w:rsidRPr="0081043D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 must be invited to the Rapid Review and additional members/partners will be added on a review-by-review basis, as they are identified and as agreed by the Chair. Initial Scoping documents must be sent as soon after the notification as possible by the Business Manager to </w:t>
      </w:r>
      <w:r w:rsidR="00062FE6" w:rsidRPr="0032005B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>the agreed members as set out in the BDSCP Child Safeguarding Review Group Terms of Reference as well as a</w:t>
      </w:r>
      <w:r w:rsidRPr="0081043D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ny other partner, partnership or organisation identified on the child’s records. </w:t>
      </w:r>
    </w:p>
    <w:p w:rsidR="0081043D" w:rsidRPr="0081043D" w:rsidRDefault="0081043D" w:rsidP="0032005B">
      <w:pPr>
        <w:ind w:left="-993"/>
        <w:jc w:val="both"/>
        <w:rPr>
          <w:rFonts w:ascii="Arial" w:hAnsi="Arial" w:cs="Arial"/>
          <w:color w:val="320A4B"/>
          <w:kern w:val="0"/>
          <w:sz w:val="24"/>
          <w:szCs w:val="24"/>
          <w14:ligatures w14:val="none"/>
        </w:rPr>
      </w:pPr>
      <w:r w:rsidRPr="0081043D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All </w:t>
      </w:r>
      <w:r w:rsidR="00385551" w:rsidRPr="0032005B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completed </w:t>
      </w:r>
      <w:r w:rsidRPr="0081043D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templates need to be returned to the Chair at an agreed time to allow time for reading and preparation. Completed templates should not be circulated beyond the Chair. </w:t>
      </w:r>
    </w:p>
    <w:p w:rsidR="0081043D" w:rsidRPr="0081043D" w:rsidRDefault="0081043D" w:rsidP="0032005B">
      <w:pPr>
        <w:ind w:left="-993"/>
        <w:jc w:val="both"/>
        <w:rPr>
          <w:rFonts w:ascii="Arial" w:hAnsi="Arial" w:cs="Arial"/>
          <w:color w:val="320A4B"/>
          <w:kern w:val="0"/>
          <w:sz w:val="24"/>
          <w:szCs w:val="24"/>
          <w14:ligatures w14:val="none"/>
        </w:rPr>
      </w:pPr>
      <w:r w:rsidRPr="0081043D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An agenda and confidentiality statement/agreement should be circulated to Rapid Review Panel once agreed by the Chair and ahead of the meeting. The Rapid Review will be recorded for accuracy of minutes and actions. </w:t>
      </w:r>
    </w:p>
    <w:p w:rsidR="0064199A" w:rsidRPr="000A25CC" w:rsidRDefault="0081043D" w:rsidP="000A25CC">
      <w:pPr>
        <w:ind w:left="-993"/>
        <w:jc w:val="both"/>
        <w:rPr>
          <w:rFonts w:ascii="Arial" w:hAnsi="Arial" w:cs="Arial"/>
          <w:color w:val="320A4B"/>
          <w:kern w:val="0"/>
          <w:sz w:val="24"/>
          <w:szCs w:val="24"/>
          <w14:ligatures w14:val="none"/>
        </w:rPr>
      </w:pPr>
      <w:r w:rsidRPr="0081043D">
        <w:rPr>
          <w:rFonts w:ascii="Arial" w:hAnsi="Arial" w:cs="Arial"/>
          <w:color w:val="320A4B"/>
          <w:kern w:val="0"/>
          <w:sz w:val="24"/>
          <w:szCs w:val="24"/>
          <w14:ligatures w14:val="none"/>
        </w:rPr>
        <w:t xml:space="preserve">Members/attendees of the Rapid Review must be prepared to present their agency summary and respond to questions. The Chair can request further information outside of the meeting if questions/queries are not able to be answered in full which will be considered in the analysis. </w:t>
      </w:r>
    </w:p>
    <w:p w:rsidR="0064199A" w:rsidRPr="00280DFA" w:rsidRDefault="0064199A">
      <w:pPr>
        <w:rPr>
          <w:rFonts w:ascii="Arial" w:hAnsi="Arial" w:cs="Arial"/>
          <w:b/>
          <w:bCs/>
          <w:color w:val="320A4B"/>
        </w:rPr>
      </w:pPr>
    </w:p>
    <w:sectPr w:rsidR="0064199A" w:rsidRPr="00280DFA" w:rsidSect="00787ACB">
      <w:headerReference w:type="default" r:id="rId12"/>
      <w:footerReference w:type="default" r:id="rId13"/>
      <w:pgSz w:w="11906" w:h="16838"/>
      <w:pgMar w:top="1440" w:right="1274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0CCC" w:rsidRDefault="007B0CCC" w:rsidP="00757245">
      <w:pPr>
        <w:spacing w:after="0" w:line="240" w:lineRule="auto"/>
      </w:pPr>
      <w:r>
        <w:separator/>
      </w:r>
    </w:p>
  </w:endnote>
  <w:endnote w:type="continuationSeparator" w:id="0">
    <w:p w:rsidR="007B0CCC" w:rsidRDefault="007B0CCC" w:rsidP="00757245">
      <w:pPr>
        <w:spacing w:after="0" w:line="240" w:lineRule="auto"/>
      </w:pPr>
      <w:r>
        <w:continuationSeparator/>
      </w:r>
    </w:p>
  </w:endnote>
  <w:endnote w:type="continuationNotice" w:id="1">
    <w:p w:rsidR="007B0CCC" w:rsidRDefault="007B0C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6619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4CC6" w:rsidRPr="00464CC6" w:rsidRDefault="00464CC6">
            <w:pPr>
              <w:pStyle w:val="Footer"/>
              <w:jc w:val="right"/>
              <w:rPr>
                <w:sz w:val="16"/>
                <w:szCs w:val="16"/>
              </w:rPr>
            </w:pPr>
            <w:r w:rsidRPr="00464CC6">
              <w:rPr>
                <w:sz w:val="16"/>
                <w:szCs w:val="16"/>
              </w:rPr>
              <w:t xml:space="preserve">Page </w:t>
            </w:r>
            <w:r w:rsidRPr="00464CC6">
              <w:rPr>
                <w:b/>
                <w:bCs/>
                <w:sz w:val="16"/>
                <w:szCs w:val="16"/>
              </w:rPr>
              <w:fldChar w:fldCharType="begin"/>
            </w:r>
            <w:r w:rsidRPr="00464CC6">
              <w:rPr>
                <w:b/>
                <w:bCs/>
                <w:sz w:val="16"/>
                <w:szCs w:val="16"/>
              </w:rPr>
              <w:instrText>PAGE</w:instrText>
            </w:r>
            <w:r w:rsidRPr="00464CC6">
              <w:rPr>
                <w:b/>
                <w:bCs/>
                <w:sz w:val="16"/>
                <w:szCs w:val="16"/>
              </w:rPr>
              <w:fldChar w:fldCharType="separate"/>
            </w:r>
            <w:r w:rsidRPr="00464CC6">
              <w:rPr>
                <w:b/>
                <w:bCs/>
                <w:sz w:val="16"/>
                <w:szCs w:val="16"/>
              </w:rPr>
              <w:t>2</w:t>
            </w:r>
            <w:r w:rsidRPr="00464CC6">
              <w:rPr>
                <w:b/>
                <w:bCs/>
                <w:sz w:val="16"/>
                <w:szCs w:val="16"/>
              </w:rPr>
              <w:fldChar w:fldCharType="end"/>
            </w:r>
            <w:r w:rsidRPr="00464CC6">
              <w:rPr>
                <w:sz w:val="16"/>
                <w:szCs w:val="16"/>
              </w:rPr>
              <w:t xml:space="preserve"> of </w:t>
            </w:r>
            <w:r w:rsidRPr="00464CC6">
              <w:rPr>
                <w:b/>
                <w:bCs/>
                <w:sz w:val="16"/>
                <w:szCs w:val="16"/>
              </w:rPr>
              <w:fldChar w:fldCharType="begin"/>
            </w:r>
            <w:r w:rsidRPr="00464CC6">
              <w:rPr>
                <w:b/>
                <w:bCs/>
                <w:sz w:val="16"/>
                <w:szCs w:val="16"/>
              </w:rPr>
              <w:instrText>NUMPAGES</w:instrText>
            </w:r>
            <w:r w:rsidRPr="00464CC6">
              <w:rPr>
                <w:b/>
                <w:bCs/>
                <w:sz w:val="16"/>
                <w:szCs w:val="16"/>
              </w:rPr>
              <w:fldChar w:fldCharType="separate"/>
            </w:r>
            <w:r w:rsidRPr="00464CC6">
              <w:rPr>
                <w:b/>
                <w:bCs/>
                <w:sz w:val="16"/>
                <w:szCs w:val="16"/>
              </w:rPr>
              <w:t>2</w:t>
            </w:r>
            <w:r w:rsidRPr="00464CC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64CC6" w:rsidRDefault="00464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0CCC" w:rsidRDefault="007B0CCC" w:rsidP="00757245">
      <w:pPr>
        <w:spacing w:after="0" w:line="240" w:lineRule="auto"/>
      </w:pPr>
      <w:r>
        <w:separator/>
      </w:r>
    </w:p>
  </w:footnote>
  <w:footnote w:type="continuationSeparator" w:id="0">
    <w:p w:rsidR="007B0CCC" w:rsidRDefault="007B0CCC" w:rsidP="00757245">
      <w:pPr>
        <w:spacing w:after="0" w:line="240" w:lineRule="auto"/>
      </w:pPr>
      <w:r>
        <w:continuationSeparator/>
      </w:r>
    </w:p>
  </w:footnote>
  <w:footnote w:type="continuationNotice" w:id="1">
    <w:p w:rsidR="007B0CCC" w:rsidRDefault="007B0C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7245" w:rsidRDefault="00757245" w:rsidP="00757245">
    <w:pPr>
      <w:pStyle w:val="Header"/>
      <w:jc w:val="right"/>
    </w:pPr>
    <w:r>
      <w:rPr>
        <w:noProof/>
      </w:rPr>
      <w:drawing>
        <wp:inline distT="0" distB="0" distL="0" distR="0" wp14:anchorId="68DBED7B" wp14:editId="21AD8B0F">
          <wp:extent cx="2061210" cy="963930"/>
          <wp:effectExtent l="0" t="0" r="0" b="0"/>
          <wp:docPr id="19" name="Picture 19" descr="A close-up of a child's h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child's hea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BD0"/>
    <w:multiLevelType w:val="multilevel"/>
    <w:tmpl w:val="132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C56A2"/>
    <w:multiLevelType w:val="multilevel"/>
    <w:tmpl w:val="9A54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514FC"/>
    <w:multiLevelType w:val="multilevel"/>
    <w:tmpl w:val="8982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587BD8"/>
    <w:multiLevelType w:val="multilevel"/>
    <w:tmpl w:val="A54C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31E93"/>
    <w:multiLevelType w:val="hybridMultilevel"/>
    <w:tmpl w:val="2C028CE2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28AF7936"/>
    <w:multiLevelType w:val="hybridMultilevel"/>
    <w:tmpl w:val="A1084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71000"/>
    <w:multiLevelType w:val="multilevel"/>
    <w:tmpl w:val="0B22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481484"/>
    <w:multiLevelType w:val="multilevel"/>
    <w:tmpl w:val="67FC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B96A39"/>
    <w:multiLevelType w:val="multilevel"/>
    <w:tmpl w:val="AE6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183497"/>
    <w:multiLevelType w:val="multilevel"/>
    <w:tmpl w:val="75DE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A147E1"/>
    <w:multiLevelType w:val="multilevel"/>
    <w:tmpl w:val="840A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828785">
    <w:abstractNumId w:val="3"/>
  </w:num>
  <w:num w:numId="2" w16cid:durableId="1137793166">
    <w:abstractNumId w:val="8"/>
  </w:num>
  <w:num w:numId="3" w16cid:durableId="845636133">
    <w:abstractNumId w:val="10"/>
  </w:num>
  <w:num w:numId="4" w16cid:durableId="1594123423">
    <w:abstractNumId w:val="1"/>
  </w:num>
  <w:num w:numId="5" w16cid:durableId="98261833">
    <w:abstractNumId w:val="7"/>
  </w:num>
  <w:num w:numId="6" w16cid:durableId="1440176131">
    <w:abstractNumId w:val="9"/>
  </w:num>
  <w:num w:numId="7" w16cid:durableId="728965599">
    <w:abstractNumId w:val="0"/>
  </w:num>
  <w:num w:numId="8" w16cid:durableId="630592380">
    <w:abstractNumId w:val="2"/>
  </w:num>
  <w:num w:numId="9" w16cid:durableId="620190828">
    <w:abstractNumId w:val="5"/>
  </w:num>
  <w:num w:numId="10" w16cid:durableId="1867255194">
    <w:abstractNumId w:val="6"/>
  </w:num>
  <w:num w:numId="11" w16cid:durableId="1872955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45"/>
    <w:rsid w:val="00012F83"/>
    <w:rsid w:val="00027C62"/>
    <w:rsid w:val="000603A4"/>
    <w:rsid w:val="00062FE6"/>
    <w:rsid w:val="0007047C"/>
    <w:rsid w:val="00082A81"/>
    <w:rsid w:val="0009232F"/>
    <w:rsid w:val="000946B1"/>
    <w:rsid w:val="000A25CC"/>
    <w:rsid w:val="0012427E"/>
    <w:rsid w:val="00176CF7"/>
    <w:rsid w:val="00193007"/>
    <w:rsid w:val="001D68BD"/>
    <w:rsid w:val="00280DFA"/>
    <w:rsid w:val="002811A8"/>
    <w:rsid w:val="002C175B"/>
    <w:rsid w:val="00301971"/>
    <w:rsid w:val="0032005B"/>
    <w:rsid w:val="00321F5F"/>
    <w:rsid w:val="003253BF"/>
    <w:rsid w:val="00341A0F"/>
    <w:rsid w:val="00385551"/>
    <w:rsid w:val="003C0536"/>
    <w:rsid w:val="003F357E"/>
    <w:rsid w:val="004258D9"/>
    <w:rsid w:val="00454E64"/>
    <w:rsid w:val="00456356"/>
    <w:rsid w:val="00464CC6"/>
    <w:rsid w:val="005226FE"/>
    <w:rsid w:val="00532951"/>
    <w:rsid w:val="00547518"/>
    <w:rsid w:val="005A3A39"/>
    <w:rsid w:val="00605EA0"/>
    <w:rsid w:val="0064199A"/>
    <w:rsid w:val="006826A5"/>
    <w:rsid w:val="006C423C"/>
    <w:rsid w:val="00746311"/>
    <w:rsid w:val="007505B3"/>
    <w:rsid w:val="00757245"/>
    <w:rsid w:val="00787ACB"/>
    <w:rsid w:val="007B0CCC"/>
    <w:rsid w:val="007D6A8B"/>
    <w:rsid w:val="007F40BD"/>
    <w:rsid w:val="008045E5"/>
    <w:rsid w:val="0081043D"/>
    <w:rsid w:val="00840D56"/>
    <w:rsid w:val="0085622C"/>
    <w:rsid w:val="008A04EC"/>
    <w:rsid w:val="008D42DE"/>
    <w:rsid w:val="008D7412"/>
    <w:rsid w:val="008E1E12"/>
    <w:rsid w:val="00940172"/>
    <w:rsid w:val="00980711"/>
    <w:rsid w:val="009939DF"/>
    <w:rsid w:val="009A42A6"/>
    <w:rsid w:val="009C2742"/>
    <w:rsid w:val="00A11BED"/>
    <w:rsid w:val="00A92F0A"/>
    <w:rsid w:val="00AB5553"/>
    <w:rsid w:val="00AD49AE"/>
    <w:rsid w:val="00B41A24"/>
    <w:rsid w:val="00B8482A"/>
    <w:rsid w:val="00BD47CB"/>
    <w:rsid w:val="00BD783A"/>
    <w:rsid w:val="00C068D0"/>
    <w:rsid w:val="00C07B42"/>
    <w:rsid w:val="00C26310"/>
    <w:rsid w:val="00C734C2"/>
    <w:rsid w:val="00C7744A"/>
    <w:rsid w:val="00CE15A2"/>
    <w:rsid w:val="00D161A2"/>
    <w:rsid w:val="00D31508"/>
    <w:rsid w:val="00D568B4"/>
    <w:rsid w:val="00DA3C1D"/>
    <w:rsid w:val="00DE7E9F"/>
    <w:rsid w:val="00E0485C"/>
    <w:rsid w:val="00E37288"/>
    <w:rsid w:val="00EB5EA3"/>
    <w:rsid w:val="00EE3D18"/>
    <w:rsid w:val="00F1583F"/>
    <w:rsid w:val="00F6538A"/>
    <w:rsid w:val="00F92092"/>
    <w:rsid w:val="00F9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55AFE"/>
  <w15:chartTrackingRefBased/>
  <w15:docId w15:val="{F64A7CF9-6BBF-44EA-989D-CFF1BE9C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45"/>
  </w:style>
  <w:style w:type="paragraph" w:styleId="Footer">
    <w:name w:val="footer"/>
    <w:basedOn w:val="Normal"/>
    <w:link w:val="FooterChar"/>
    <w:uiPriority w:val="99"/>
    <w:unhideWhenUsed/>
    <w:rsid w:val="00757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45"/>
  </w:style>
  <w:style w:type="character" w:styleId="Strong">
    <w:name w:val="Strong"/>
    <w:basedOn w:val="DefaultParagraphFont"/>
    <w:uiPriority w:val="22"/>
    <w:qFormat/>
    <w:rsid w:val="00757245"/>
    <w:rPr>
      <w:b/>
      <w:bCs/>
    </w:rPr>
  </w:style>
  <w:style w:type="paragraph" w:styleId="ListParagraph">
    <w:name w:val="List Paragraph"/>
    <w:basedOn w:val="Normal"/>
    <w:uiPriority w:val="34"/>
    <w:qFormat/>
    <w:rsid w:val="00325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5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0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59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06CEF6814786534796DE6803CDB791A8" ma:contentTypeVersion="256" ma:contentTypeDescription="Document with LGCS and Type of Content Classification" ma:contentTypeScope="" ma:versionID="871afeb00034cd62798d7b83b36f7beb">
  <xsd:schema xmlns:xsd="http://www.w3.org/2001/XMLSchema" xmlns:xs="http://www.w3.org/2001/XMLSchema" xmlns:p="http://schemas.microsoft.com/office/2006/metadata/properties" xmlns:ns2="6f247cf5-36db-4625-96bb-fe9ae63417ad" xmlns:ns3="b393f1dc-b536-4e21-a6c1-92b3070ac674" targetNamespace="http://schemas.microsoft.com/office/2006/metadata/properties" ma:root="true" ma:fieldsID="d0d2821c9b355144dc8f4f4f9f7229fe" ns2:_="" ns3:_="">
    <xsd:import namespace="6f247cf5-36db-4625-96bb-fe9ae63417ad"/>
    <xsd:import namespace="b393f1dc-b536-4e21-a6c1-92b3070ac674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eb2f01-a88c-424e-bf6d-94c0b9701b7c}" ma:internalName="TaxCatchAll" ma:showField="CatchAllData" ma:web="b393f1dc-b536-4e21-a6c1-92b3070ac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eb2f01-a88c-424e-bf6d-94c0b9701b7c}" ma:internalName="TaxCatchAllLabel" ma:readOnly="true" ma:showField="CatchAllDataLabel" ma:web="b393f1dc-b536-4e21-a6c1-92b3070ac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f1dc-b536-4e21-a6c1-92b3070ac67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b393f1dc-b536-4e21-a6c1-92b3070ac674">MXVKPAD3RZ76-119435568-105715</_dlc_DocId>
    <_dlc_DocIdUrl xmlns="b393f1dc-b536-4e21-a6c1-92b3070ac674">
      <Url>https://lbbd.sharepoint.com/teams/T1056-INT-FNC-CHCC-Childrens-Safeguarding-Pships/_layouts/15/DocIdRedir.aspx?ID=MXVKPAD3RZ76-119435568-105715</Url>
      <Description>MXVKPAD3RZ76-119435568-105715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5FF2F3-F3A9-4DE8-9C1E-51E48BC093A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12455E8-2723-4ABF-A2AC-E3A9E26C6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b393f1dc-b536-4e21-a6c1-92b3070ac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34B20-EF2B-48CF-AB28-8D48615A1F5B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b393f1dc-b536-4e21-a6c1-92b3070ac674"/>
  </ds:schemaRefs>
</ds:datastoreItem>
</file>

<file path=customXml/itemProps4.xml><?xml version="1.0" encoding="utf-8"?>
<ds:datastoreItem xmlns:ds="http://schemas.openxmlformats.org/officeDocument/2006/customXml" ds:itemID="{BCF3C1A6-33D8-4615-8011-77FC6E06C3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194A0E-120A-414B-8EAB-5852BC4FFC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Barking and Dagenham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Breslin</dc:creator>
  <cp:keywords/>
  <dc:description/>
  <cp:lastModifiedBy>Athena Parnell</cp:lastModifiedBy>
  <cp:revision>1</cp:revision>
  <dcterms:created xsi:type="dcterms:W3CDTF">2023-12-15T14:30:00Z</dcterms:created>
  <dcterms:modified xsi:type="dcterms:W3CDTF">2023-12-15T14:30:00Z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0x0101003D111B80989C2F48A98656A918A919A00006CEF6814786534796DE6803CDB791A8</vt:lpwstr>
  </property>
  <property fmtid="{D5CDD505-2E9C-101B-9397-08002B2CF9AE}" pid="3" name="_dlc_DocIdItemGuid">
    <vt:lpwstr>87858eb7-a048-4b3e-bd26-ecb480fae0fa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LGCS">
    <vt:lpwstr/>
  </property>
  <property fmtid="{D5CDD505-2E9C-101B-9397-08002B2CF9AE}" pid="7" name="CType">
    <vt:lpwstr/>
  </property>
  <property fmtid="{D5CDD505-2E9C-101B-9397-08002B2CF9AE}" pid="8" name="Financial_x0020_Year">
    <vt:lpwstr/>
  </property>
  <property fmtid="{D5CDD505-2E9C-101B-9397-08002B2CF9AE}" pid="9" name="a8455ed1fd22475083a09a91de16b8fd">
    <vt:lpwstr/>
  </property>
  <property fmtid="{D5CDD505-2E9C-101B-9397-08002B2CF9AE}" pid="10" name="Financial Year">
    <vt:lpwstr/>
  </property>
</Properties>
</file>