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34AD" w14:textId="3F34B15E" w:rsidR="00511F34" w:rsidRPr="003B7C4C" w:rsidRDefault="00511F34" w:rsidP="00511F34">
      <w:pPr>
        <w:widowControl w:val="0"/>
        <w:spacing w:line="283" w:lineRule="auto"/>
        <w:rPr>
          <w:rFonts w:asciiTheme="minorHAnsi" w:hAnsiTheme="minorHAnsi"/>
          <w:color w:val="auto"/>
          <w:sz w:val="42"/>
          <w:szCs w:val="42"/>
          <w14:ligatures w14:val="none"/>
        </w:rPr>
      </w:pPr>
      <w:r w:rsidRPr="003B7C4C">
        <w:rPr>
          <w:rFonts w:asciiTheme="minorHAnsi" w:hAnsiTheme="minorHAnsi"/>
          <w:color w:val="auto"/>
          <w:sz w:val="42"/>
          <w:szCs w:val="42"/>
          <w14:ligatures w14:val="none"/>
        </w:rPr>
        <w:t>Summary of Approach TSM Survey 202</w:t>
      </w:r>
      <w:r w:rsidR="00F4747C">
        <w:rPr>
          <w:rFonts w:asciiTheme="minorHAnsi" w:hAnsiTheme="minorHAnsi"/>
          <w:color w:val="auto"/>
          <w:sz w:val="42"/>
          <w:szCs w:val="42"/>
          <w14:ligatures w14:val="none"/>
        </w:rPr>
        <w:t>4</w:t>
      </w:r>
      <w:r w:rsidRPr="003B7C4C">
        <w:rPr>
          <w:rFonts w:asciiTheme="minorHAnsi" w:hAnsiTheme="minorHAnsi"/>
          <w:color w:val="auto"/>
          <w:sz w:val="42"/>
          <w:szCs w:val="42"/>
          <w14:ligatures w14:val="none"/>
        </w:rPr>
        <w:t>-202</w:t>
      </w:r>
      <w:r w:rsidR="00F4747C">
        <w:rPr>
          <w:rFonts w:asciiTheme="minorHAnsi" w:hAnsiTheme="minorHAnsi"/>
          <w:color w:val="auto"/>
          <w:sz w:val="42"/>
          <w:szCs w:val="42"/>
          <w14:ligatures w14:val="none"/>
        </w:rPr>
        <w:t>5</w:t>
      </w:r>
    </w:p>
    <w:p w14:paraId="30D13371" w14:textId="6559BCD3" w:rsidR="00511F34" w:rsidRPr="003B7C4C" w:rsidRDefault="00A838D1" w:rsidP="00797359">
      <w:pPr>
        <w:widowControl w:val="0"/>
        <w:spacing w:line="283" w:lineRule="auto"/>
        <w:rPr>
          <w:rFonts w:asciiTheme="minorHAnsi" w:hAnsiTheme="minorHAnsi"/>
          <w:b/>
          <w:bCs/>
          <w:color w:val="auto"/>
          <w:sz w:val="42"/>
          <w:szCs w:val="42"/>
          <w14:ligatures w14:val="none"/>
        </w:rPr>
      </w:pPr>
      <w:r w:rsidRPr="003B7C4C">
        <w:rPr>
          <w:rFonts w:asciiTheme="minorHAnsi" w:hAnsiTheme="minorHAnsi"/>
          <w:b/>
          <w:bCs/>
          <w:color w:val="auto"/>
          <w:sz w:val="42"/>
          <w:szCs w:val="42"/>
          <w14:ligatures w14:val="none"/>
        </w:rPr>
        <w:t>LB of Barking &amp; Dagenha</w:t>
      </w:r>
      <w:r w:rsidR="00C41683">
        <w:rPr>
          <w:rFonts w:asciiTheme="minorHAnsi" w:hAnsiTheme="minorHAnsi"/>
          <w:b/>
          <w:bCs/>
          <w:color w:val="auto"/>
          <w:sz w:val="42"/>
          <w:szCs w:val="42"/>
          <w14:ligatures w14:val="none"/>
        </w:rPr>
        <w:t>m</w:t>
      </w:r>
    </w:p>
    <w:p w14:paraId="5163E3D7" w14:textId="4DAB6ED8" w:rsidR="00511F34" w:rsidRPr="003B7C4C" w:rsidRDefault="00511F34" w:rsidP="00511F34">
      <w:pPr>
        <w:widowControl w:val="0"/>
        <w:spacing w:line="283" w:lineRule="auto"/>
        <w:rPr>
          <w:rFonts w:asciiTheme="minorHAnsi" w:hAnsiTheme="minorHAnsi"/>
          <w:color w:val="4BAAD3"/>
          <w:sz w:val="32"/>
          <w:szCs w:val="32"/>
          <w14:ligatures w14:val="none"/>
        </w:rPr>
      </w:pPr>
      <w:r w:rsidRPr="003B7C4C">
        <w:rPr>
          <w:rFonts w:asciiTheme="minorHAnsi" w:hAnsiTheme="minorHAnsi"/>
          <w:color w:val="4BAAD3"/>
          <w:sz w:val="32"/>
          <w:szCs w:val="32"/>
          <w14:ligatures w14:val="none"/>
        </w:rPr>
        <w:t>Overview</w:t>
      </w:r>
    </w:p>
    <w:p w14:paraId="6E832502" w14:textId="245CCEED" w:rsidR="003D1B7D" w:rsidRPr="003B7C4C" w:rsidRDefault="003D1B7D" w:rsidP="003D1B7D">
      <w:pPr>
        <w:widowControl w:val="0"/>
        <w:spacing w:line="283" w:lineRule="auto"/>
        <w:rPr>
          <w:rFonts w:asciiTheme="minorHAnsi" w:hAnsiTheme="minorHAnsi"/>
          <w14:ligatures w14:val="none"/>
        </w:rPr>
      </w:pPr>
      <w:r w:rsidRPr="003B7C4C">
        <w:rPr>
          <w:rFonts w:asciiTheme="minorHAnsi" w:hAnsiTheme="minorHAnsi"/>
          <w14:ligatures w14:val="none"/>
        </w:rPr>
        <w:t xml:space="preserve">The survey was conducted by ARP Research between </w:t>
      </w:r>
      <w:r w:rsidR="004E44ED">
        <w:rPr>
          <w:rFonts w:asciiTheme="minorHAnsi" w:hAnsiTheme="minorHAnsi"/>
          <w14:ligatures w14:val="none"/>
        </w:rPr>
        <w:t>22</w:t>
      </w:r>
      <w:r w:rsidRPr="003B7C4C">
        <w:rPr>
          <w:rFonts w:asciiTheme="minorHAnsi" w:hAnsiTheme="minorHAnsi"/>
          <w14:ligatures w14:val="none"/>
        </w:rPr>
        <w:t xml:space="preserve"> Ju</w:t>
      </w:r>
      <w:r w:rsidR="004E44ED">
        <w:rPr>
          <w:rFonts w:asciiTheme="minorHAnsi" w:hAnsiTheme="minorHAnsi"/>
          <w14:ligatures w14:val="none"/>
        </w:rPr>
        <w:t>ly</w:t>
      </w:r>
      <w:r w:rsidRPr="003B7C4C">
        <w:rPr>
          <w:rFonts w:asciiTheme="minorHAnsi" w:hAnsiTheme="minorHAnsi"/>
          <w14:ligatures w14:val="none"/>
        </w:rPr>
        <w:t xml:space="preserve"> 202</w:t>
      </w:r>
      <w:r w:rsidR="004E44ED">
        <w:rPr>
          <w:rFonts w:asciiTheme="minorHAnsi" w:hAnsiTheme="minorHAnsi"/>
          <w14:ligatures w14:val="none"/>
        </w:rPr>
        <w:t>4</w:t>
      </w:r>
      <w:r w:rsidRPr="003B7C4C">
        <w:rPr>
          <w:rFonts w:asciiTheme="minorHAnsi" w:hAnsiTheme="minorHAnsi"/>
          <w14:ligatures w14:val="none"/>
        </w:rPr>
        <w:t xml:space="preserve"> and </w:t>
      </w:r>
      <w:r w:rsidR="004E44ED">
        <w:rPr>
          <w:rFonts w:asciiTheme="minorHAnsi" w:hAnsiTheme="minorHAnsi"/>
          <w14:ligatures w14:val="none"/>
        </w:rPr>
        <w:t>31</w:t>
      </w:r>
      <w:r w:rsidRPr="003B7C4C">
        <w:rPr>
          <w:rFonts w:asciiTheme="minorHAnsi" w:hAnsiTheme="minorHAnsi"/>
          <w14:ligatures w14:val="none"/>
        </w:rPr>
        <w:t xml:space="preserve"> March 202</w:t>
      </w:r>
      <w:r w:rsidR="004E44ED">
        <w:rPr>
          <w:rFonts w:asciiTheme="minorHAnsi" w:hAnsiTheme="minorHAnsi"/>
          <w14:ligatures w14:val="none"/>
        </w:rPr>
        <w:t>5</w:t>
      </w:r>
      <w:r w:rsidRPr="003B7C4C">
        <w:rPr>
          <w:rFonts w:asciiTheme="minorHAnsi" w:hAnsiTheme="minorHAnsi"/>
          <w14:ligatures w14:val="none"/>
        </w:rPr>
        <w:t xml:space="preserve">. </w:t>
      </w:r>
    </w:p>
    <w:p w14:paraId="3022C62E" w14:textId="074DE9DB" w:rsidR="00511F34" w:rsidRPr="003B7C4C" w:rsidRDefault="003D1B7D" w:rsidP="00F66460">
      <w:pPr>
        <w:widowControl w:val="0"/>
        <w:rPr>
          <w:rFonts w:asciiTheme="minorHAnsi" w:hAnsiTheme="minorHAnsi"/>
          <w:color w:val="4BAAD3"/>
          <w:sz w:val="32"/>
          <w:szCs w:val="32"/>
          <w14:ligatures w14:val="none"/>
        </w:rPr>
      </w:pPr>
      <w:r w:rsidRPr="003B7C4C">
        <w:rPr>
          <w:rFonts w:asciiTheme="minorHAnsi" w:hAnsiTheme="minorHAnsi"/>
          <w:color w:val="4BAAD3"/>
          <w:sz w:val="32"/>
          <w:szCs w:val="32"/>
          <w14:ligatures w14:val="none"/>
        </w:rPr>
        <w:t>R</w:t>
      </w:r>
      <w:r w:rsidR="00511F34" w:rsidRPr="003B7C4C">
        <w:rPr>
          <w:rFonts w:asciiTheme="minorHAnsi" w:hAnsiTheme="minorHAnsi"/>
          <w:color w:val="4BAAD3"/>
          <w:sz w:val="32"/>
          <w:szCs w:val="32"/>
          <w14:ligatures w14:val="none"/>
        </w:rPr>
        <w:t>esponses</w:t>
      </w:r>
    </w:p>
    <w:p w14:paraId="6D7CF363" w14:textId="51504A2B" w:rsidR="003D1B7D" w:rsidRPr="003B7C4C" w:rsidRDefault="003D1B7D" w:rsidP="003D1B7D">
      <w:pPr>
        <w:widowControl w:val="0"/>
        <w:spacing w:line="283" w:lineRule="auto"/>
        <w:rPr>
          <w:rFonts w:asciiTheme="minorHAnsi" w:hAnsiTheme="minorHAnsi"/>
          <w14:ligatures w14:val="none"/>
        </w:rPr>
      </w:pPr>
      <w:r w:rsidRPr="003B7C4C">
        <w:rPr>
          <w:rFonts w:asciiTheme="minorHAnsi" w:hAnsiTheme="minorHAnsi"/>
          <w14:ligatures w14:val="none"/>
        </w:rPr>
        <w:t>In total 3,0</w:t>
      </w:r>
      <w:r w:rsidR="00BB1985">
        <w:rPr>
          <w:rFonts w:asciiTheme="minorHAnsi" w:hAnsiTheme="minorHAnsi"/>
          <w14:ligatures w14:val="none"/>
        </w:rPr>
        <w:t>87</w:t>
      </w:r>
      <w:r w:rsidRPr="003B7C4C">
        <w:rPr>
          <w:rFonts w:asciiTheme="minorHAnsi" w:hAnsiTheme="minorHAnsi"/>
          <w14:ligatures w14:val="none"/>
        </w:rPr>
        <w:t xml:space="preserve"> LCRA (</w:t>
      </w:r>
      <w:proofErr w:type="gramStart"/>
      <w:r w:rsidRPr="003B7C4C">
        <w:rPr>
          <w:rFonts w:asciiTheme="minorHAnsi" w:hAnsiTheme="minorHAnsi"/>
          <w14:ligatures w14:val="none"/>
        </w:rPr>
        <w:t>low cost</w:t>
      </w:r>
      <w:proofErr w:type="gramEnd"/>
      <w:r w:rsidRPr="003B7C4C">
        <w:rPr>
          <w:rFonts w:asciiTheme="minorHAnsi" w:hAnsiTheme="minorHAnsi"/>
          <w14:ligatures w14:val="none"/>
        </w:rPr>
        <w:t xml:space="preserve"> rental accommodation) tenant households took part in the TSM survey, which represented </w:t>
      </w:r>
      <w:r w:rsidR="00151FB2" w:rsidRPr="00151FB2">
        <w:rPr>
          <w:rFonts w:asciiTheme="minorHAnsi" w:hAnsiTheme="minorHAnsi"/>
          <w:color w:val="auto"/>
          <w14:ligatures w14:val="none"/>
        </w:rPr>
        <w:t>20</w:t>
      </w:r>
      <w:r w:rsidRPr="00151FB2">
        <w:rPr>
          <w:rFonts w:asciiTheme="minorHAnsi" w:hAnsiTheme="minorHAnsi"/>
          <w:color w:val="auto"/>
          <w14:ligatures w14:val="none"/>
        </w:rPr>
        <w:t xml:space="preserve">% of the tenant population (error margin +/- 1.6%). This exceeded the stipulated TSM target error margin of +/- 3%. </w:t>
      </w:r>
    </w:p>
    <w:p w14:paraId="3C8A7FDB" w14:textId="695C7170" w:rsidR="003D1B7D" w:rsidRPr="003B7C4C" w:rsidRDefault="003D1B7D" w:rsidP="003D1B7D">
      <w:pPr>
        <w:widowControl w:val="0"/>
        <w:spacing w:line="283" w:lineRule="auto"/>
        <w:rPr>
          <w:rFonts w:asciiTheme="minorHAnsi" w:hAnsiTheme="minorHAnsi"/>
          <w14:ligatures w14:val="none"/>
        </w:rPr>
      </w:pPr>
      <w:r w:rsidRPr="003B7C4C">
        <w:rPr>
          <w:rFonts w:asciiTheme="minorHAnsi" w:hAnsiTheme="minorHAnsi"/>
          <w14:ligatures w14:val="none"/>
        </w:rPr>
        <w:t xml:space="preserve">There were </w:t>
      </w:r>
      <w:r w:rsidR="00BB1985">
        <w:rPr>
          <w:rFonts w:asciiTheme="minorHAnsi" w:hAnsiTheme="minorHAnsi"/>
          <w14:ligatures w14:val="none"/>
        </w:rPr>
        <w:t>708</w:t>
      </w:r>
      <w:r w:rsidRPr="003B7C4C">
        <w:rPr>
          <w:rFonts w:asciiTheme="minorHAnsi" w:hAnsiTheme="minorHAnsi"/>
          <w14:ligatures w14:val="none"/>
        </w:rPr>
        <w:t xml:space="preserve"> postal (2</w:t>
      </w:r>
      <w:r w:rsidR="00BB1985">
        <w:rPr>
          <w:rFonts w:asciiTheme="minorHAnsi" w:hAnsiTheme="minorHAnsi"/>
          <w14:ligatures w14:val="none"/>
        </w:rPr>
        <w:t>3</w:t>
      </w:r>
      <w:r w:rsidRPr="003B7C4C">
        <w:rPr>
          <w:rFonts w:asciiTheme="minorHAnsi" w:hAnsiTheme="minorHAnsi"/>
          <w14:ligatures w14:val="none"/>
        </w:rPr>
        <w:t>%) and 2,</w:t>
      </w:r>
      <w:r w:rsidR="00BB1985">
        <w:rPr>
          <w:rFonts w:asciiTheme="minorHAnsi" w:hAnsiTheme="minorHAnsi"/>
          <w14:ligatures w14:val="none"/>
        </w:rPr>
        <w:t xml:space="preserve">379 </w:t>
      </w:r>
      <w:r w:rsidRPr="003B7C4C">
        <w:rPr>
          <w:rFonts w:asciiTheme="minorHAnsi" w:hAnsiTheme="minorHAnsi"/>
          <w14:ligatures w14:val="none"/>
        </w:rPr>
        <w:t>online completions (7</w:t>
      </w:r>
      <w:r w:rsidR="00BB1985">
        <w:rPr>
          <w:rFonts w:asciiTheme="minorHAnsi" w:hAnsiTheme="minorHAnsi"/>
          <w14:ligatures w14:val="none"/>
        </w:rPr>
        <w:t>7</w:t>
      </w:r>
      <w:r w:rsidRPr="003B7C4C">
        <w:rPr>
          <w:rFonts w:asciiTheme="minorHAnsi" w:hAnsiTheme="minorHAnsi"/>
          <w14:ligatures w14:val="none"/>
        </w:rPr>
        <w:t>%).</w:t>
      </w:r>
    </w:p>
    <w:p w14:paraId="200E7D5D" w14:textId="758675CD" w:rsidR="00E54D09" w:rsidRDefault="00E54D09" w:rsidP="00F66460">
      <w:pPr>
        <w:widowControl w:val="0"/>
        <w:rPr>
          <w:rFonts w:asciiTheme="minorHAnsi" w:hAnsiTheme="minorHAnsi"/>
          <w:color w:val="4BAAD3"/>
          <w:sz w:val="32"/>
          <w:szCs w:val="32"/>
          <w14:ligatures w14:val="none"/>
        </w:rPr>
      </w:pPr>
      <w:r>
        <w:rPr>
          <w:rFonts w:asciiTheme="minorHAnsi" w:hAnsiTheme="minorHAnsi"/>
          <w:color w:val="4BAAD3"/>
          <w:sz w:val="32"/>
          <w:szCs w:val="32"/>
          <w14:ligatures w14:val="none"/>
        </w:rPr>
        <w:t>Sampling</w:t>
      </w:r>
    </w:p>
    <w:p w14:paraId="5F3AC0D2" w14:textId="1EAC32B0" w:rsidR="00E54D09" w:rsidRPr="00AF5D19" w:rsidRDefault="00E54D09" w:rsidP="00E54D09">
      <w:pPr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14:ligatures w14:val="none"/>
        </w:rPr>
        <w:t xml:space="preserve">This was phased sample survey across </w:t>
      </w:r>
      <w:r w:rsidRPr="003B7C4C">
        <w:rPr>
          <w:rFonts w:asciiTheme="minorHAnsi" w:hAnsiTheme="minorHAnsi"/>
          <w14:ligatures w14:val="none"/>
        </w:rPr>
        <w:t>four quarterly waves</w:t>
      </w:r>
      <w:r>
        <w:rPr>
          <w:rFonts w:asciiTheme="minorHAnsi" w:hAnsiTheme="minorHAnsi"/>
          <w14:ligatures w14:val="none"/>
        </w:rPr>
        <w:t xml:space="preserve">, each including approximately a quarter of the LCRA tenant population in the sample. This used a </w:t>
      </w:r>
      <w:r w:rsidRPr="003B7C4C">
        <w:rPr>
          <w:rFonts w:asciiTheme="minorHAnsi" w:hAnsiTheme="minorHAnsi"/>
          <w14:ligatures w14:val="none"/>
        </w:rPr>
        <w:t>computer-generated random sample</w:t>
      </w:r>
      <w:r>
        <w:rPr>
          <w:rFonts w:asciiTheme="minorHAnsi" w:hAnsiTheme="minorHAnsi"/>
          <w14:ligatures w14:val="none"/>
        </w:rPr>
        <w:t xml:space="preserve"> stratified by stock type, selected each quarter whilst excluding any household that had either already taken part during the current financial year or within any of the three previous waves.</w:t>
      </w:r>
    </w:p>
    <w:p w14:paraId="1BAF0AC5" w14:textId="66EC2A9B" w:rsidR="00511F34" w:rsidRPr="003B7C4C" w:rsidRDefault="00E54D09" w:rsidP="00F66460">
      <w:pPr>
        <w:widowControl w:val="0"/>
        <w:rPr>
          <w:rFonts w:asciiTheme="minorHAnsi" w:hAnsiTheme="minorHAnsi"/>
          <w14:ligatures w14:val="none"/>
        </w:rPr>
      </w:pPr>
      <w:r>
        <w:rPr>
          <w:rFonts w:asciiTheme="minorHAnsi" w:hAnsiTheme="minorHAnsi"/>
          <w:color w:val="4BAAD3"/>
          <w:sz w:val="32"/>
          <w:szCs w:val="32"/>
          <w14:ligatures w14:val="none"/>
        </w:rPr>
        <w:t>F</w:t>
      </w:r>
      <w:r w:rsidR="00511F34" w:rsidRPr="003B7C4C">
        <w:rPr>
          <w:rFonts w:asciiTheme="minorHAnsi" w:hAnsiTheme="minorHAnsi"/>
          <w:color w:val="4BAAD3"/>
          <w:sz w:val="32"/>
          <w:szCs w:val="32"/>
          <w14:ligatures w14:val="none"/>
        </w:rPr>
        <w:t>ieldwork</w:t>
      </w:r>
    </w:p>
    <w:p w14:paraId="2B280945" w14:textId="56572BA4" w:rsidR="003D1B7D" w:rsidRPr="003B7C4C" w:rsidRDefault="003D1B7D" w:rsidP="003D1B7D">
      <w:pPr>
        <w:widowControl w:val="0"/>
        <w:spacing w:line="283" w:lineRule="auto"/>
        <w:rPr>
          <w:rFonts w:asciiTheme="minorHAnsi" w:hAnsiTheme="minorHAnsi"/>
          <w14:ligatures w14:val="none"/>
        </w:rPr>
      </w:pPr>
      <w:r w:rsidRPr="003B7C4C">
        <w:rPr>
          <w:rFonts w:asciiTheme="minorHAnsi" w:hAnsiTheme="minorHAnsi"/>
          <w14:ligatures w14:val="none"/>
        </w:rPr>
        <w:t>The surveys were carried out in Ju</w:t>
      </w:r>
      <w:r w:rsidR="004E7770">
        <w:rPr>
          <w:rFonts w:asciiTheme="minorHAnsi" w:hAnsiTheme="minorHAnsi"/>
          <w14:ligatures w14:val="none"/>
        </w:rPr>
        <w:t>ly</w:t>
      </w:r>
      <w:r w:rsidRPr="003B7C4C">
        <w:rPr>
          <w:rFonts w:asciiTheme="minorHAnsi" w:hAnsiTheme="minorHAnsi"/>
          <w14:ligatures w14:val="none"/>
        </w:rPr>
        <w:t>, September, November/December 202</w:t>
      </w:r>
      <w:r w:rsidR="004E7770">
        <w:rPr>
          <w:rFonts w:asciiTheme="minorHAnsi" w:hAnsiTheme="minorHAnsi"/>
          <w14:ligatures w14:val="none"/>
        </w:rPr>
        <w:t>4</w:t>
      </w:r>
      <w:r w:rsidRPr="003B7C4C">
        <w:rPr>
          <w:rFonts w:asciiTheme="minorHAnsi" w:hAnsiTheme="minorHAnsi"/>
          <w14:ligatures w14:val="none"/>
        </w:rPr>
        <w:t xml:space="preserve"> and March 202</w:t>
      </w:r>
      <w:r w:rsidR="004E7770">
        <w:rPr>
          <w:rFonts w:asciiTheme="minorHAnsi" w:hAnsiTheme="minorHAnsi"/>
          <w14:ligatures w14:val="none"/>
        </w:rPr>
        <w:t>5</w:t>
      </w:r>
      <w:r w:rsidRPr="003B7C4C">
        <w:rPr>
          <w:rFonts w:asciiTheme="minorHAnsi" w:hAnsiTheme="minorHAnsi"/>
          <w14:ligatures w14:val="none"/>
        </w:rPr>
        <w:t>. Each wave was carried out with three elements:</w:t>
      </w:r>
    </w:p>
    <w:p w14:paraId="39F85AEF" w14:textId="34C53903" w:rsidR="003D1B7D" w:rsidRPr="003B7C4C" w:rsidRDefault="003D1B7D" w:rsidP="003D1B7D">
      <w:pPr>
        <w:pStyle w:val="ListParagraph"/>
        <w:widowControl w:val="0"/>
        <w:numPr>
          <w:ilvl w:val="0"/>
          <w:numId w:val="2"/>
        </w:numPr>
        <w:spacing w:line="283" w:lineRule="auto"/>
        <w:rPr>
          <w:rFonts w:asciiTheme="minorHAnsi" w:hAnsiTheme="minorHAnsi"/>
          <w14:ligatures w14:val="none"/>
        </w:rPr>
      </w:pPr>
      <w:r w:rsidRPr="003B7C4C">
        <w:rPr>
          <w:rFonts w:asciiTheme="minorHAnsi" w:hAnsiTheme="minorHAnsi"/>
          <w14:ligatures w14:val="none"/>
        </w:rPr>
        <w:t xml:space="preserve">A paper survey was distributed to computer-generated random sample of 885 general needs tenants, and a quarter of all sheltered tenants. This was followed by a paper reminder for those that couldn’t be reminded by text message. </w:t>
      </w:r>
    </w:p>
    <w:p w14:paraId="07C54584" w14:textId="7C309169" w:rsidR="003D1B7D" w:rsidRPr="003B7C4C" w:rsidRDefault="003D1B7D" w:rsidP="003D1B7D">
      <w:pPr>
        <w:pStyle w:val="ListParagraph"/>
        <w:widowControl w:val="0"/>
        <w:numPr>
          <w:ilvl w:val="0"/>
          <w:numId w:val="2"/>
        </w:numPr>
        <w:spacing w:line="283" w:lineRule="auto"/>
        <w:rPr>
          <w:rFonts w:asciiTheme="minorHAnsi" w:hAnsiTheme="minorHAnsi"/>
          <w14:ligatures w14:val="none"/>
        </w:rPr>
      </w:pPr>
      <w:r w:rsidRPr="003B7C4C">
        <w:rPr>
          <w:rFonts w:asciiTheme="minorHAnsi" w:hAnsiTheme="minorHAnsi"/>
          <w14:ligatures w14:val="none"/>
        </w:rPr>
        <w:t xml:space="preserve">Concurrent with the paper survey, an email invitation plus one reminder </w:t>
      </w:r>
      <w:r w:rsidR="005D3267">
        <w:rPr>
          <w:rFonts w:asciiTheme="minorHAnsi" w:hAnsiTheme="minorHAnsi"/>
          <w14:ligatures w14:val="none"/>
        </w:rPr>
        <w:t>were</w:t>
      </w:r>
      <w:r w:rsidRPr="003B7C4C">
        <w:rPr>
          <w:rFonts w:asciiTheme="minorHAnsi" w:hAnsiTheme="minorHAnsi"/>
          <w14:ligatures w14:val="none"/>
        </w:rPr>
        <w:t xml:space="preserve"> distributed to </w:t>
      </w:r>
      <w:r w:rsidR="00E54D09">
        <w:rPr>
          <w:rFonts w:asciiTheme="minorHAnsi" w:hAnsiTheme="minorHAnsi"/>
          <w14:ligatures w14:val="none"/>
        </w:rPr>
        <w:t>sample members</w:t>
      </w:r>
      <w:r w:rsidRPr="003B7C4C">
        <w:rPr>
          <w:rFonts w:asciiTheme="minorHAnsi" w:hAnsiTheme="minorHAnsi"/>
          <w14:ligatures w14:val="none"/>
        </w:rPr>
        <w:t xml:space="preserve"> for whom an email address was available inviting them to complete the survey online, including circa additional 1,650 general needs residents not part of the main postal survey.</w:t>
      </w:r>
    </w:p>
    <w:p w14:paraId="36087F64" w14:textId="4CEA7BE2" w:rsidR="003D1B7D" w:rsidRDefault="003D1B7D" w:rsidP="003D1B7D">
      <w:pPr>
        <w:pStyle w:val="ListParagraph"/>
        <w:widowControl w:val="0"/>
        <w:numPr>
          <w:ilvl w:val="0"/>
          <w:numId w:val="2"/>
        </w:numPr>
        <w:spacing w:line="283" w:lineRule="auto"/>
        <w:rPr>
          <w:rFonts w:asciiTheme="minorHAnsi" w:hAnsiTheme="minorHAnsi"/>
          <w14:ligatures w14:val="none"/>
        </w:rPr>
      </w:pPr>
      <w:r w:rsidRPr="003B7C4C">
        <w:rPr>
          <w:rFonts w:asciiTheme="minorHAnsi" w:hAnsiTheme="minorHAnsi"/>
          <w14:ligatures w14:val="none"/>
        </w:rPr>
        <w:t>During the latter half of each wave, every resident for whom LBBD held a mobile phone number were also texted a link to the online survey, plus one reminder. This included circa 1,000 general needs residents that had not been invited via either of the other two routes.</w:t>
      </w:r>
    </w:p>
    <w:p w14:paraId="7F0C0022" w14:textId="1D1F9548" w:rsidR="003D1B7D" w:rsidRPr="003B7C4C" w:rsidRDefault="003D1B7D" w:rsidP="003D1B7D">
      <w:pPr>
        <w:widowControl w:val="0"/>
        <w:spacing w:line="283" w:lineRule="auto"/>
        <w:rPr>
          <w:rFonts w:asciiTheme="minorHAnsi" w:hAnsiTheme="minorHAnsi"/>
          <w14:ligatures w14:val="none"/>
        </w:rPr>
      </w:pPr>
      <w:r w:rsidRPr="003B7C4C">
        <w:rPr>
          <w:rFonts w:asciiTheme="minorHAnsi" w:hAnsiTheme="minorHAnsi"/>
          <w14:ligatures w14:val="none"/>
        </w:rPr>
        <w:t xml:space="preserve">This methodology was chosen to be consistent with previous </w:t>
      </w:r>
      <w:r w:rsidR="005D3267">
        <w:rPr>
          <w:rFonts w:asciiTheme="minorHAnsi" w:hAnsiTheme="minorHAnsi"/>
          <w14:ligatures w14:val="none"/>
        </w:rPr>
        <w:t xml:space="preserve">TSM and </w:t>
      </w:r>
      <w:r w:rsidRPr="003B7C4C">
        <w:rPr>
          <w:rFonts w:asciiTheme="minorHAnsi" w:hAnsiTheme="minorHAnsi"/>
          <w14:ligatures w14:val="none"/>
        </w:rPr>
        <w:t>STAR annual surveys conducted by LB of Barking &amp; Dagenham. This mixed-method self-completion approach offers good value for money whilst helping to maximise returns and ensure responses from a range of different age groups. The online component is also intended to engage younger and/or more diverse respondents who might be less likely to answer a voice call. There was no incentive offered.</w:t>
      </w:r>
    </w:p>
    <w:p w14:paraId="3800CB71" w14:textId="29156EBE" w:rsidR="00511F34" w:rsidRPr="003B7C4C" w:rsidRDefault="00511F34" w:rsidP="00F6559C">
      <w:pPr>
        <w:widowControl w:val="0"/>
        <w:rPr>
          <w:rFonts w:asciiTheme="minorHAnsi" w:hAnsiTheme="minorHAnsi"/>
          <w:color w:val="4BAAD3"/>
          <w:sz w:val="32"/>
          <w:szCs w:val="32"/>
          <w14:ligatures w14:val="none"/>
        </w:rPr>
      </w:pPr>
      <w:r w:rsidRPr="003B7C4C">
        <w:rPr>
          <w:rFonts w:asciiTheme="minorHAnsi" w:hAnsiTheme="minorHAnsi"/>
          <w:color w:val="4BAAD3"/>
          <w:sz w:val="32"/>
          <w:szCs w:val="32"/>
          <w14:ligatures w14:val="none"/>
        </w:rPr>
        <w:t>Population</w:t>
      </w:r>
    </w:p>
    <w:p w14:paraId="4654292A" w14:textId="3C8E2A21" w:rsidR="003D1B7D" w:rsidRPr="003B7C4C" w:rsidRDefault="003D1B7D" w:rsidP="003D1B7D">
      <w:pPr>
        <w:widowControl w:val="0"/>
        <w:spacing w:line="283" w:lineRule="auto"/>
        <w:rPr>
          <w:rFonts w:asciiTheme="minorHAnsi" w:hAnsiTheme="minorHAnsi"/>
          <w14:ligatures w14:val="none"/>
        </w:rPr>
      </w:pPr>
      <w:r w:rsidRPr="003B7C4C">
        <w:rPr>
          <w:rFonts w:asciiTheme="minorHAnsi" w:hAnsiTheme="minorHAnsi"/>
          <w14:ligatures w14:val="none"/>
        </w:rPr>
        <w:t>The population for the TSM survey was all 15,7</w:t>
      </w:r>
      <w:r w:rsidR="00A24D47">
        <w:rPr>
          <w:rFonts w:asciiTheme="minorHAnsi" w:hAnsiTheme="minorHAnsi"/>
          <w14:ligatures w14:val="none"/>
        </w:rPr>
        <w:t>37</w:t>
      </w:r>
      <w:r w:rsidRPr="003B7C4C">
        <w:rPr>
          <w:rFonts w:asciiTheme="minorHAnsi" w:hAnsiTheme="minorHAnsi"/>
          <w14:ligatures w14:val="none"/>
        </w:rPr>
        <w:t xml:space="preserve"> LB of Barking &amp; Dagenham LCRA tenant households on </w:t>
      </w:r>
      <w:r w:rsidR="00A24D47">
        <w:rPr>
          <w:rFonts w:asciiTheme="minorHAnsi" w:hAnsiTheme="minorHAnsi"/>
          <w14:ligatures w14:val="none"/>
        </w:rPr>
        <w:t>16</w:t>
      </w:r>
      <w:r w:rsidRPr="003B7C4C">
        <w:rPr>
          <w:rFonts w:asciiTheme="minorHAnsi" w:hAnsiTheme="minorHAnsi"/>
          <w14:ligatures w14:val="none"/>
        </w:rPr>
        <w:t xml:space="preserve"> </w:t>
      </w:r>
      <w:r w:rsidR="00A24D47">
        <w:rPr>
          <w:rFonts w:asciiTheme="minorHAnsi" w:hAnsiTheme="minorHAnsi"/>
          <w14:ligatures w14:val="none"/>
        </w:rPr>
        <w:t>July</w:t>
      </w:r>
      <w:r w:rsidRPr="003B7C4C">
        <w:rPr>
          <w:rFonts w:asciiTheme="minorHAnsi" w:hAnsiTheme="minorHAnsi"/>
          <w14:ligatures w14:val="none"/>
        </w:rPr>
        <w:t xml:space="preserve"> 202</w:t>
      </w:r>
      <w:r w:rsidR="00A24D47">
        <w:rPr>
          <w:rFonts w:asciiTheme="minorHAnsi" w:hAnsiTheme="minorHAnsi"/>
          <w14:ligatures w14:val="none"/>
        </w:rPr>
        <w:t>4</w:t>
      </w:r>
      <w:r w:rsidRPr="003B7C4C">
        <w:rPr>
          <w:rFonts w:asciiTheme="minorHAnsi" w:hAnsiTheme="minorHAnsi"/>
          <w14:ligatures w14:val="none"/>
        </w:rPr>
        <w:t xml:space="preserve">. None were removed from the sample frame. The survey used paper and online methods to ensure accessibility from a wide range of tenants. The online survey was available in alternative languages via Google translate. </w:t>
      </w:r>
    </w:p>
    <w:p w14:paraId="02CE6EDB" w14:textId="0744F84B" w:rsidR="00511F34" w:rsidRPr="003B7C4C" w:rsidRDefault="003D1B7D" w:rsidP="003D1B7D">
      <w:pPr>
        <w:widowControl w:val="0"/>
        <w:rPr>
          <w:rFonts w:asciiTheme="minorHAnsi" w:hAnsiTheme="minorHAnsi"/>
          <w:color w:val="4BAAD3"/>
          <w:sz w:val="32"/>
          <w:szCs w:val="32"/>
          <w14:ligatures w14:val="none"/>
        </w:rPr>
      </w:pPr>
      <w:r w:rsidRPr="003B7C4C">
        <w:rPr>
          <w:rFonts w:asciiTheme="minorHAnsi" w:hAnsiTheme="minorHAnsi"/>
          <w14:ligatures w14:val="none"/>
        </w:rPr>
        <w:lastRenderedPageBreak/>
        <w:t> </w:t>
      </w:r>
      <w:r w:rsidR="00511F34" w:rsidRPr="003B7C4C">
        <w:rPr>
          <w:rFonts w:asciiTheme="minorHAnsi" w:hAnsiTheme="minorHAnsi"/>
          <w:color w:val="4BAAD3"/>
          <w:sz w:val="32"/>
          <w:szCs w:val="32"/>
          <w14:ligatures w14:val="none"/>
        </w:rPr>
        <w:t>Representativeness</w:t>
      </w:r>
    </w:p>
    <w:p w14:paraId="31D6EC82" w14:textId="6C96715E" w:rsidR="00744259" w:rsidRPr="003B7C4C" w:rsidRDefault="00F6559C" w:rsidP="00F6559C">
      <w:pPr>
        <w:widowControl w:val="0"/>
        <w:spacing w:line="283" w:lineRule="auto"/>
        <w:rPr>
          <w:rFonts w:asciiTheme="minorHAnsi" w:hAnsiTheme="minorHAnsi"/>
          <w14:ligatures w14:val="none"/>
        </w:rPr>
      </w:pPr>
      <w:r w:rsidRPr="003B7C4C">
        <w:rPr>
          <w:rFonts w:asciiTheme="minorHAnsi" w:hAnsiTheme="minorHAnsi"/>
          <w14:ligatures w14:val="none"/>
        </w:rPr>
        <w:t xml:space="preserve">The final survey data was weighted by </w:t>
      </w:r>
      <w:r w:rsidR="00443227">
        <w:rPr>
          <w:rFonts w:asciiTheme="minorHAnsi" w:hAnsiTheme="minorHAnsi"/>
          <w14:ligatures w14:val="none"/>
        </w:rPr>
        <w:t xml:space="preserve">stock type, </w:t>
      </w:r>
      <w:r w:rsidRPr="003B7C4C">
        <w:rPr>
          <w:rFonts w:asciiTheme="minorHAnsi" w:hAnsiTheme="minorHAnsi"/>
          <w14:ligatures w14:val="none"/>
        </w:rPr>
        <w:t xml:space="preserve">age group, </w:t>
      </w:r>
      <w:r w:rsidR="00443227">
        <w:rPr>
          <w:rFonts w:asciiTheme="minorHAnsi" w:hAnsiTheme="minorHAnsi"/>
          <w14:ligatures w14:val="none"/>
        </w:rPr>
        <w:t>ward and ethnic background</w:t>
      </w:r>
      <w:r w:rsidRPr="003B7C4C">
        <w:rPr>
          <w:rFonts w:asciiTheme="minorHAnsi" w:hAnsiTheme="minorHAnsi"/>
          <w14:ligatures w14:val="none"/>
        </w:rPr>
        <w:t xml:space="preserve"> to ensure that the survey was representative of the tenant </w:t>
      </w:r>
      <w:proofErr w:type="gramStart"/>
      <w:r w:rsidRPr="003B7C4C">
        <w:rPr>
          <w:rFonts w:asciiTheme="minorHAnsi" w:hAnsiTheme="minorHAnsi"/>
          <w14:ligatures w14:val="none"/>
        </w:rPr>
        <w:t>population as a whole</w:t>
      </w:r>
      <w:proofErr w:type="gramEnd"/>
      <w:r w:rsidRPr="003B7C4C">
        <w:rPr>
          <w:rFonts w:asciiTheme="minorHAnsi" w:hAnsiTheme="minorHAnsi"/>
          <w14:ligatures w14:val="none"/>
        </w:rPr>
        <w:t xml:space="preserve">. The characteristics by which representativeness was determined were: </w:t>
      </w:r>
    </w:p>
    <w:tbl>
      <w:tblPr>
        <w:tblW w:w="5312" w:type="dxa"/>
        <w:tblLook w:val="04A0" w:firstRow="1" w:lastRow="0" w:firstColumn="1" w:lastColumn="0" w:noHBand="0" w:noVBand="1"/>
      </w:tblPr>
      <w:tblGrid>
        <w:gridCol w:w="2340"/>
        <w:gridCol w:w="969"/>
        <w:gridCol w:w="1043"/>
        <w:gridCol w:w="960"/>
      </w:tblGrid>
      <w:tr w:rsidR="003D1B7D" w:rsidRPr="003B7C4C" w14:paraId="08AAFE04" w14:textId="77777777" w:rsidTr="00AE5922">
        <w:trPr>
          <w:trHeight w:val="51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78C4ECD" w14:textId="77777777" w:rsidR="003D1B7D" w:rsidRPr="003B7C4C" w:rsidRDefault="003D1B7D" w:rsidP="003D1B7D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  <w:t>Stock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3CB7FD4B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 xml:space="preserve">Population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797CF285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Unweighted survey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4970D512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Weighted survey</w:t>
            </w:r>
          </w:p>
        </w:tc>
      </w:tr>
      <w:tr w:rsidR="0032360D" w:rsidRPr="003B7C4C" w14:paraId="2B8EB8C7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2DF9734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 xml:space="preserve">General needs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76B85EC2" w14:textId="37750985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95.3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1A183383" w14:textId="57FA233C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2D7CE5F5" w14:textId="47E4E724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95.3</w:t>
            </w:r>
          </w:p>
        </w:tc>
      </w:tr>
      <w:tr w:rsidR="0032360D" w:rsidRPr="003B7C4C" w14:paraId="675A6A4B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D537CCB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Sheltered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6E72AB3" w14:textId="7E5F7BC0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4.7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D5DDC4A" w14:textId="0E379E00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64D8AC64" w14:textId="6E186742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4.7</w:t>
            </w:r>
          </w:p>
        </w:tc>
      </w:tr>
      <w:tr w:rsidR="003D1B7D" w:rsidRPr="003B7C4C" w14:paraId="352BC2B0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A3A7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006F" w14:textId="77777777" w:rsidR="003D1B7D" w:rsidRPr="003B7C4C" w:rsidRDefault="003D1B7D" w:rsidP="003D1B7D">
            <w:pPr>
              <w:spacing w:after="0" w:line="240" w:lineRule="auto"/>
              <w:rPr>
                <w:rFonts w:asciiTheme="minorHAnsi" w:hAnsiTheme="minorHAnsi" w:cs="Times New Roman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4FBB" w14:textId="77777777" w:rsidR="003D1B7D" w:rsidRPr="003B7C4C" w:rsidRDefault="003D1B7D" w:rsidP="003D1B7D">
            <w:pPr>
              <w:spacing w:after="0" w:line="240" w:lineRule="auto"/>
              <w:rPr>
                <w:rFonts w:asciiTheme="minorHAnsi" w:hAnsiTheme="minorHAnsi" w:cs="Times New Roman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95A0" w14:textId="77777777" w:rsidR="003D1B7D" w:rsidRPr="003B7C4C" w:rsidRDefault="003D1B7D" w:rsidP="003D1B7D">
            <w:pPr>
              <w:spacing w:after="0" w:line="240" w:lineRule="auto"/>
              <w:rPr>
                <w:rFonts w:asciiTheme="minorHAnsi" w:hAnsiTheme="minorHAnsi" w:cs="Times New Roman"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3D1B7D" w:rsidRPr="003B7C4C" w14:paraId="2E58973C" w14:textId="77777777" w:rsidTr="00AE5922">
        <w:trPr>
          <w:trHeight w:val="51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AD8B02D" w14:textId="77777777" w:rsidR="003D1B7D" w:rsidRPr="003B7C4C" w:rsidRDefault="003D1B7D" w:rsidP="003D1B7D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  <w:t>Ward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15EBB12D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 xml:space="preserve">Population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0DF8C485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Unweighted survey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1B97EC7F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Weighted survey</w:t>
            </w:r>
          </w:p>
        </w:tc>
      </w:tr>
      <w:tr w:rsidR="0032360D" w:rsidRPr="003B7C4C" w14:paraId="3F6247DF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7AE9D22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Abbey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0CEEE01" w14:textId="0841DE77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1.0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D8D6F3C" w14:textId="0D4BD4EF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75F12696" w14:textId="709EE594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0.7</w:t>
            </w:r>
          </w:p>
        </w:tc>
      </w:tr>
      <w:tr w:rsidR="0032360D" w:rsidRPr="003B7C4C" w14:paraId="375319D3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86C07C2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proofErr w:type="spellStart"/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Alibon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3727DD6" w14:textId="3A82D925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4.4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7A5244D8" w14:textId="49E4868C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412804F6" w14:textId="46FE5BE4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4.4</w:t>
            </w:r>
          </w:p>
        </w:tc>
      </w:tr>
      <w:tr w:rsidR="0032360D" w:rsidRPr="003B7C4C" w14:paraId="5F6F55C6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A127FEF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Beam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2C2A3DB" w14:textId="1C03A15C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1.7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014CC99" w14:textId="30398ABA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38F9BA5D" w14:textId="6307A9A9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1.7</w:t>
            </w:r>
          </w:p>
        </w:tc>
      </w:tr>
      <w:tr w:rsidR="0032360D" w:rsidRPr="003B7C4C" w14:paraId="3AA8071C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D3A6D96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Becontree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58AF978" w14:textId="2F205064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4.2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4F915299" w14:textId="524D7E3D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151AA7E7" w14:textId="24D4DDAA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4.4</w:t>
            </w:r>
          </w:p>
        </w:tc>
      </w:tr>
      <w:tr w:rsidR="0032360D" w:rsidRPr="003B7C4C" w14:paraId="2B002A22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B258DDE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Barking Riverside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4AC06F8A" w14:textId="1E7A52CA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3.0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383DE91" w14:textId="0D961A6D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04FE4DED" w14:textId="1D0E525F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3.1</w:t>
            </w:r>
          </w:p>
        </w:tc>
      </w:tr>
      <w:tr w:rsidR="0032360D" w:rsidRPr="003B7C4C" w14:paraId="54C46724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05D1432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Chadwell Heath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4DDCA4B2" w14:textId="49D72DEC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6.3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4A71509" w14:textId="23F0683F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38DEC1FA" w14:textId="03A59771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6.4</w:t>
            </w:r>
          </w:p>
        </w:tc>
      </w:tr>
      <w:tr w:rsidR="0032360D" w:rsidRPr="003B7C4C" w14:paraId="6EDAD999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DB5A952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Eastbrook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D2D6F15" w14:textId="0F54EE0C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3.3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30B2643" w14:textId="0A63224D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7DC7A390" w14:textId="1F9AEACC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3.6</w:t>
            </w:r>
          </w:p>
        </w:tc>
      </w:tr>
      <w:tr w:rsidR="0032360D" w:rsidRPr="003B7C4C" w14:paraId="381D9831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CDAC063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Eastbury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4F136EE7" w14:textId="68C660D9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8.6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792850F" w14:textId="44624BFF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0B0774EE" w14:textId="2E5A2D31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8.5</w:t>
            </w:r>
          </w:p>
        </w:tc>
      </w:tr>
      <w:tr w:rsidR="0032360D" w:rsidRPr="003B7C4C" w14:paraId="3BDD1F68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2645F73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Gascoigne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FAE9BD7" w14:textId="11C9608B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5.2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89D5183" w14:textId="4AA2F574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364CD03A" w14:textId="7818B1AA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4.8</w:t>
            </w:r>
          </w:p>
        </w:tc>
      </w:tr>
      <w:tr w:rsidR="0032360D" w:rsidRPr="003B7C4C" w14:paraId="1426A91A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D0AA68F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proofErr w:type="spellStart"/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Goresbrook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CA48442" w14:textId="35A29365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7.5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1E729652" w14:textId="28471DE3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2CFD8010" w14:textId="44794E5F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7.7</w:t>
            </w:r>
          </w:p>
        </w:tc>
      </w:tr>
      <w:tr w:rsidR="0032360D" w:rsidRPr="003B7C4C" w14:paraId="043F5BC7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A320245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Heath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B8DD0E7" w14:textId="69A703AF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8.0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6A9424D4" w14:textId="32E4B1EC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5055BCF8" w14:textId="7C996F68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8.2</w:t>
            </w:r>
          </w:p>
        </w:tc>
      </w:tr>
      <w:tr w:rsidR="0032360D" w:rsidRPr="003B7C4C" w14:paraId="7D3BC47B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DB08111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Longbridge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47541D40" w14:textId="44F4651C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2.2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0F3034F" w14:textId="7F74486A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05D2A620" w14:textId="20265166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2.3</w:t>
            </w:r>
          </w:p>
        </w:tc>
      </w:tr>
      <w:tr w:rsidR="0032360D" w:rsidRPr="003B7C4C" w14:paraId="77B588AB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8EDAA7C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proofErr w:type="spellStart"/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Mayesbrook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0B2451E" w14:textId="64613A6F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7.2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6212634B" w14:textId="6258F1D8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76781473" w14:textId="143CE512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7.2</w:t>
            </w:r>
          </w:p>
        </w:tc>
      </w:tr>
      <w:tr w:rsidR="0032360D" w:rsidRPr="003B7C4C" w14:paraId="0A3D3D19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A4902EF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proofErr w:type="spellStart"/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Northbury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E023336" w14:textId="365090CA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3.8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57374C9" w14:textId="6486779D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59541883" w14:textId="6DCF78EE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3.4</w:t>
            </w:r>
          </w:p>
        </w:tc>
      </w:tr>
      <w:tr w:rsidR="0032360D" w:rsidRPr="003B7C4C" w14:paraId="281510C6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A5DA3F3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proofErr w:type="spellStart"/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Parsloes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5678023" w14:textId="6DC8936A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9.6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EAB96E9" w14:textId="5F8B9310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67C9141A" w14:textId="20BB4370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9.6</w:t>
            </w:r>
          </w:p>
        </w:tc>
      </w:tr>
      <w:tr w:rsidR="0032360D" w:rsidRPr="003B7C4C" w14:paraId="13BEA6D3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B3141EA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Thames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BBA7A83" w14:textId="2D8BB276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4.5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7BFAB885" w14:textId="7406D9B8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5C85CAB7" w14:textId="4847C60E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4.1</w:t>
            </w:r>
          </w:p>
        </w:tc>
      </w:tr>
      <w:tr w:rsidR="0032360D" w:rsidRPr="003B7C4C" w14:paraId="3A38C6DE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412A60D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Valence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A78F972" w14:textId="2E0CD802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9.2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7E065125" w14:textId="0CC90AF8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5363E443" w14:textId="20128A43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9.2</w:t>
            </w:r>
          </w:p>
        </w:tc>
      </w:tr>
      <w:tr w:rsidR="0032360D" w:rsidRPr="003B7C4C" w14:paraId="36AF7941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F31F509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Village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A923190" w14:textId="2C8B6453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7.7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45842C3E" w14:textId="5128E01D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7AA21293" w14:textId="2962AA47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8.1</w:t>
            </w:r>
          </w:p>
        </w:tc>
      </w:tr>
      <w:tr w:rsidR="0032360D" w:rsidRPr="003B7C4C" w14:paraId="629C53A5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4CB832A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Whalebone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E739FDA" w14:textId="32081040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2.6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4C82D83" w14:textId="04861B51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0E86C0BA" w14:textId="181E9618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2.6</w:t>
            </w:r>
          </w:p>
        </w:tc>
      </w:tr>
      <w:tr w:rsidR="003D1B7D" w:rsidRPr="003B7C4C" w14:paraId="366BBE5E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C400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EC6C" w14:textId="77777777" w:rsidR="003D1B7D" w:rsidRPr="003B7C4C" w:rsidRDefault="003D1B7D" w:rsidP="003D1B7D">
            <w:pPr>
              <w:spacing w:after="0" w:line="240" w:lineRule="auto"/>
              <w:rPr>
                <w:rFonts w:asciiTheme="minorHAnsi" w:hAnsiTheme="minorHAnsi" w:cs="Times New Roman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BC76" w14:textId="77777777" w:rsidR="003D1B7D" w:rsidRPr="003B7C4C" w:rsidRDefault="003D1B7D" w:rsidP="003D1B7D">
            <w:pPr>
              <w:spacing w:after="0" w:line="240" w:lineRule="auto"/>
              <w:rPr>
                <w:rFonts w:asciiTheme="minorHAnsi" w:hAnsiTheme="minorHAnsi" w:cs="Times New Roman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AA72" w14:textId="77777777" w:rsidR="003D1B7D" w:rsidRPr="003B7C4C" w:rsidRDefault="003D1B7D" w:rsidP="003D1B7D">
            <w:pPr>
              <w:spacing w:after="0" w:line="240" w:lineRule="auto"/>
              <w:rPr>
                <w:rFonts w:asciiTheme="minorHAnsi" w:hAnsiTheme="minorHAnsi" w:cs="Times New Roman"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3D1B7D" w:rsidRPr="003B7C4C" w14:paraId="44713E44" w14:textId="77777777" w:rsidTr="00AE5922">
        <w:trPr>
          <w:trHeight w:val="51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E72F11E" w14:textId="77777777" w:rsidR="003D1B7D" w:rsidRPr="003B7C4C" w:rsidRDefault="003D1B7D" w:rsidP="003D1B7D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  <w:t>Property type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7A98E4FC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 xml:space="preserve">Population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569596A0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Unweighted survey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43C0545D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Weighted survey</w:t>
            </w:r>
          </w:p>
        </w:tc>
      </w:tr>
      <w:tr w:rsidR="0032360D" w:rsidRPr="003B7C4C" w14:paraId="58219E2E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76E7F4F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Bedsit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7516D3E9" w14:textId="1942AF8B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2.5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7CC8629" w14:textId="50F699B7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4C4397C1" w14:textId="1A970F17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3.2</w:t>
            </w:r>
          </w:p>
        </w:tc>
      </w:tr>
      <w:tr w:rsidR="0032360D" w:rsidRPr="003B7C4C" w14:paraId="09C17B83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CBE271A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Bungalow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45EEC27F" w14:textId="13A7C0BC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1.7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73A868DC" w14:textId="3AEE1EC0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1ECBC140" w14:textId="71CDA027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1.9</w:t>
            </w:r>
          </w:p>
        </w:tc>
      </w:tr>
      <w:tr w:rsidR="0032360D" w:rsidRPr="003B7C4C" w14:paraId="51769380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EABFA19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Flat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6A6830D" w14:textId="10DB48E2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36.3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CFE47C4" w14:textId="171224E5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0213ECF8" w14:textId="46E3C2D7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36.3</w:t>
            </w:r>
          </w:p>
        </w:tc>
      </w:tr>
      <w:tr w:rsidR="0032360D" w:rsidRPr="003B7C4C" w14:paraId="60545C12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D057230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House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64FA805D" w14:textId="3C1DFD7E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55.0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791B6352" w14:textId="57AFFB3C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48.0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2ABE4471" w14:textId="3ABE7695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54.1</w:t>
            </w:r>
          </w:p>
        </w:tc>
      </w:tr>
      <w:tr w:rsidR="0032360D" w:rsidRPr="003B7C4C" w14:paraId="7F4C8B0F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F5D0126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Maisonette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4E01C3C7" w14:textId="42ED8D4C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4.4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4C0933E" w14:textId="3C4B17F0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5ADD8538" w14:textId="76B1B65E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4.5</w:t>
            </w:r>
          </w:p>
        </w:tc>
      </w:tr>
      <w:tr w:rsidR="0032360D" w:rsidRPr="003B7C4C" w14:paraId="26A8F7DE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67FB6DC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Caravan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C96EBDD" w14:textId="2113DCE4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4E3643D" w14:textId="285E75A2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428941AA" w14:textId="2449DE6A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0.1</w:t>
            </w:r>
          </w:p>
        </w:tc>
      </w:tr>
      <w:tr w:rsidR="003D1B7D" w:rsidRPr="003B7C4C" w14:paraId="08306894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C2B6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8966" w14:textId="77777777" w:rsidR="003D1B7D" w:rsidRPr="003B7C4C" w:rsidRDefault="003D1B7D" w:rsidP="003D1B7D">
            <w:pPr>
              <w:spacing w:after="0" w:line="240" w:lineRule="auto"/>
              <w:rPr>
                <w:rFonts w:asciiTheme="minorHAnsi" w:hAnsiTheme="minorHAnsi" w:cs="Times New Roman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DA42" w14:textId="77777777" w:rsidR="003D1B7D" w:rsidRPr="003B7C4C" w:rsidRDefault="003D1B7D" w:rsidP="003D1B7D">
            <w:pPr>
              <w:spacing w:after="0" w:line="240" w:lineRule="auto"/>
              <w:rPr>
                <w:rFonts w:asciiTheme="minorHAnsi" w:hAnsiTheme="minorHAnsi" w:cs="Times New Roman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E566" w14:textId="77777777" w:rsidR="003D1B7D" w:rsidRPr="003B7C4C" w:rsidRDefault="003D1B7D" w:rsidP="003D1B7D">
            <w:pPr>
              <w:spacing w:after="0" w:line="240" w:lineRule="auto"/>
              <w:rPr>
                <w:rFonts w:asciiTheme="minorHAnsi" w:hAnsiTheme="minorHAnsi" w:cs="Times New Roman"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3D1B7D" w:rsidRPr="003B7C4C" w14:paraId="289BEE30" w14:textId="77777777" w:rsidTr="00AE5922">
        <w:trPr>
          <w:trHeight w:val="51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428A62B" w14:textId="77777777" w:rsidR="003D1B7D" w:rsidRPr="003B7C4C" w:rsidRDefault="003D1B7D" w:rsidP="003D1B7D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  <w:t>Property size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667BA67F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 xml:space="preserve">Population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30AF3F0A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Unweighted survey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4E12217F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Weighted survey</w:t>
            </w:r>
          </w:p>
        </w:tc>
      </w:tr>
      <w:tr w:rsidR="0032360D" w:rsidRPr="003B7C4C" w14:paraId="60299469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10D743E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Bedsit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7C3128F7" w14:textId="37DCA779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2.6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4FD7FA6" w14:textId="0808FE52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0C16C253" w14:textId="354A0FE3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3.3</w:t>
            </w:r>
          </w:p>
        </w:tc>
      </w:tr>
      <w:tr w:rsidR="0032360D" w:rsidRPr="003B7C4C" w14:paraId="2EF0F991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62F6B11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One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42B4CBB" w14:textId="6BB44C38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22.8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1C2B8ECF" w14:textId="204DD6D9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4E124BC1" w14:textId="21BF97E0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22.9</w:t>
            </w:r>
          </w:p>
        </w:tc>
      </w:tr>
      <w:tr w:rsidR="0032360D" w:rsidRPr="003B7C4C" w14:paraId="15876B03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DA2E9F8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Two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1DF6B513" w14:textId="7BCA564D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42.8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1C8D559F" w14:textId="30B45211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40.0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751A85AE" w14:textId="796081CA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44.0</w:t>
            </w:r>
          </w:p>
        </w:tc>
      </w:tr>
      <w:tr w:rsidR="0032360D" w:rsidRPr="003B7C4C" w14:paraId="4D459A46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720FCE1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lastRenderedPageBreak/>
              <w:t>Three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1791EC5A" w14:textId="53094CC9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30.4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424FD67" w14:textId="459CF2FA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2A1A47EA" w14:textId="2DCE8C43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28.9</w:t>
            </w:r>
          </w:p>
        </w:tc>
      </w:tr>
      <w:tr w:rsidR="0032360D" w:rsidRPr="003B7C4C" w14:paraId="3B60F5A0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23C471A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Four or more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D80517D" w14:textId="201095EE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1.5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1EC3063A" w14:textId="0A760875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3AD29312" w14:textId="3F5766CF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0.9</w:t>
            </w:r>
          </w:p>
        </w:tc>
      </w:tr>
    </w:tbl>
    <w:p w14:paraId="6F41A9C0" w14:textId="77777777" w:rsidR="003D1B7D" w:rsidRPr="003B7C4C" w:rsidRDefault="003D1B7D" w:rsidP="00F6559C">
      <w:pPr>
        <w:widowControl w:val="0"/>
        <w:spacing w:line="283" w:lineRule="auto"/>
        <w:rPr>
          <w:rFonts w:asciiTheme="minorHAnsi" w:hAnsiTheme="minorHAnsi"/>
          <w14:ligatures w14:val="none"/>
        </w:rPr>
      </w:pPr>
    </w:p>
    <w:tbl>
      <w:tblPr>
        <w:tblW w:w="5312" w:type="dxa"/>
        <w:tblLook w:val="04A0" w:firstRow="1" w:lastRow="0" w:firstColumn="1" w:lastColumn="0" w:noHBand="0" w:noVBand="1"/>
      </w:tblPr>
      <w:tblGrid>
        <w:gridCol w:w="2340"/>
        <w:gridCol w:w="969"/>
        <w:gridCol w:w="1043"/>
        <w:gridCol w:w="960"/>
      </w:tblGrid>
      <w:tr w:rsidR="003D1B7D" w:rsidRPr="003B7C4C" w14:paraId="319B4140" w14:textId="77777777" w:rsidTr="00AE5922">
        <w:trPr>
          <w:trHeight w:val="51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E99CEDC" w14:textId="77777777" w:rsidR="003D1B7D" w:rsidRPr="003B7C4C" w:rsidRDefault="003D1B7D" w:rsidP="003D1B7D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  <w:t>Length of tenure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0DA1988E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 xml:space="preserve">Population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0B662FC5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Unweighted survey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6A43442C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Weighted survey</w:t>
            </w:r>
          </w:p>
        </w:tc>
      </w:tr>
      <w:tr w:rsidR="0032360D" w:rsidRPr="003B7C4C" w14:paraId="0462951B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C22F1FE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Under 1 year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3AA6A86" w14:textId="5A747EEC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2.0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4BC57AEF" w14:textId="1E9CAEBD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7209FE02" w14:textId="00112BB7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3.4</w:t>
            </w:r>
          </w:p>
        </w:tc>
      </w:tr>
      <w:tr w:rsidR="0032360D" w:rsidRPr="003B7C4C" w14:paraId="4FDE57A0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4FEE262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1 - 2 years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13F9E92" w14:textId="2D0E5969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8.7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10B32022" w14:textId="17FE94E3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42E46AB4" w14:textId="39683368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12.2</w:t>
            </w:r>
          </w:p>
        </w:tc>
      </w:tr>
      <w:tr w:rsidR="0032360D" w:rsidRPr="003B7C4C" w14:paraId="0AAA8DA3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FD485F8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3 - 5 years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72443B3" w14:textId="1078050F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11.4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546043F" w14:textId="24D4EC0C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6A1D8CAC" w14:textId="398F8D43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12.4</w:t>
            </w:r>
          </w:p>
        </w:tc>
      </w:tr>
      <w:tr w:rsidR="0032360D" w:rsidRPr="003B7C4C" w14:paraId="5831411A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C084FF3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6 - 10 years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75EFFDC8" w14:textId="6F3D2CD3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22.6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12E7E010" w14:textId="497A7DFB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648B89C5" w14:textId="38F1350A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19.1</w:t>
            </w:r>
          </w:p>
        </w:tc>
      </w:tr>
      <w:tr w:rsidR="0032360D" w:rsidRPr="003B7C4C" w14:paraId="11452275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49B69EB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11 - 20 years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93B56A8" w14:textId="6B38994F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32.0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44782F4A" w14:textId="5C9916D1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51BB15EE" w14:textId="6193CDB8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30.1</w:t>
            </w:r>
          </w:p>
        </w:tc>
      </w:tr>
      <w:tr w:rsidR="0032360D" w:rsidRPr="003B7C4C" w14:paraId="49EC1AD8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4479190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21 years and over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68A7F77C" w14:textId="4221F175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23.2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ECE3667" w14:textId="2CCB8D15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1809C58B" w14:textId="28ECA91C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22.9</w:t>
            </w:r>
          </w:p>
        </w:tc>
      </w:tr>
      <w:tr w:rsidR="003D1B7D" w:rsidRPr="003B7C4C" w14:paraId="76F2F07B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B6E6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54A4" w14:textId="77777777" w:rsidR="003D1B7D" w:rsidRPr="003B7C4C" w:rsidRDefault="003D1B7D" w:rsidP="003D1B7D">
            <w:pPr>
              <w:spacing w:after="0" w:line="240" w:lineRule="auto"/>
              <w:rPr>
                <w:rFonts w:asciiTheme="minorHAnsi" w:hAnsiTheme="minorHAnsi" w:cs="Times New Roman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1589" w14:textId="77777777" w:rsidR="003D1B7D" w:rsidRPr="003B7C4C" w:rsidRDefault="003D1B7D" w:rsidP="003D1B7D">
            <w:pPr>
              <w:spacing w:after="0" w:line="240" w:lineRule="auto"/>
              <w:rPr>
                <w:rFonts w:asciiTheme="minorHAnsi" w:hAnsiTheme="minorHAnsi" w:cs="Times New Roman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0037" w14:textId="77777777" w:rsidR="003D1B7D" w:rsidRPr="003B7C4C" w:rsidRDefault="003D1B7D" w:rsidP="003D1B7D">
            <w:pPr>
              <w:spacing w:after="0" w:line="240" w:lineRule="auto"/>
              <w:rPr>
                <w:rFonts w:asciiTheme="minorHAnsi" w:hAnsiTheme="minorHAnsi" w:cs="Times New Roman"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3D1B7D" w:rsidRPr="003B7C4C" w14:paraId="0E3854BE" w14:textId="77777777" w:rsidTr="00AE5922">
        <w:trPr>
          <w:trHeight w:val="51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10088DB" w14:textId="77777777" w:rsidR="003D1B7D" w:rsidRPr="003B7C4C" w:rsidRDefault="003D1B7D" w:rsidP="003D1B7D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  <w:t>Age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6C8F223B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 xml:space="preserve">Population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4A21281F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Unweighted survey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750CFC4F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Weighted survey</w:t>
            </w:r>
          </w:p>
        </w:tc>
      </w:tr>
      <w:tr w:rsidR="0032360D" w:rsidRPr="003B7C4C" w14:paraId="69F57247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217C22F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16 - 24 years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48151A8" w14:textId="6EB8846F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70263F91" w14:textId="3D66CC92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06619DF5" w14:textId="65E556A1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0.4</w:t>
            </w:r>
          </w:p>
        </w:tc>
      </w:tr>
      <w:tr w:rsidR="0032360D" w:rsidRPr="003B7C4C" w14:paraId="689C035F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82E096E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25 - 34 years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692C6932" w14:textId="0E5F834B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8.2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67CC91C2" w14:textId="6E8352D8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2E009D37" w14:textId="72BF42D4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7.5</w:t>
            </w:r>
          </w:p>
        </w:tc>
      </w:tr>
      <w:tr w:rsidR="0032360D" w:rsidRPr="003B7C4C" w14:paraId="59BFD930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43A3CC9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35 - 44 years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93ACCBB" w14:textId="0DCD2C3D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19.6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FCCD004" w14:textId="1CB4063D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5F54F820" w14:textId="27341345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18.7</w:t>
            </w:r>
          </w:p>
        </w:tc>
      </w:tr>
      <w:tr w:rsidR="0032360D" w:rsidRPr="003B7C4C" w14:paraId="64B6334C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FFBE00E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45 - 54 years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6CCF35DA" w14:textId="55DC5701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21.5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6451D1F2" w14:textId="1BFBAD6F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31F02488" w14:textId="49781E88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20.4</w:t>
            </w:r>
          </w:p>
        </w:tc>
      </w:tr>
      <w:tr w:rsidR="0032360D" w:rsidRPr="003B7C4C" w14:paraId="5B281A3A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CDAC5CC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55 - 64 years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FE2FF1F" w14:textId="5EA81D67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23.0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2622433" w14:textId="2977A3A3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7A138D7E" w14:textId="25EA0DD8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23.7</w:t>
            </w:r>
          </w:p>
        </w:tc>
      </w:tr>
      <w:tr w:rsidR="0032360D" w:rsidRPr="003B7C4C" w14:paraId="37DAC0C1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C82FBDD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65 - 74 years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8050A21" w14:textId="39954B5F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15.2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4625A59" w14:textId="7EC5D820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3C30D150" w14:textId="7003059B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16.3</w:t>
            </w:r>
          </w:p>
        </w:tc>
      </w:tr>
      <w:tr w:rsidR="0032360D" w:rsidRPr="003B7C4C" w14:paraId="27FBFBCB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E218C05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75 - 84 years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480588D6" w14:textId="5CC66FA0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8.6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175F5E99" w14:textId="573AA643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40BCD9CA" w14:textId="4048CE83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9.4</w:t>
            </w:r>
          </w:p>
        </w:tc>
      </w:tr>
      <w:tr w:rsidR="0032360D" w:rsidRPr="003B7C4C" w14:paraId="710D4F52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8F75352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85+ years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13442996" w14:textId="18CF95F5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3.5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8FC2D32" w14:textId="7B7DC463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3D5E9881" w14:textId="32B0E30A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3.6</w:t>
            </w:r>
          </w:p>
        </w:tc>
      </w:tr>
      <w:tr w:rsidR="003D1B7D" w:rsidRPr="003B7C4C" w14:paraId="2A7F4F3E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016A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0677" w14:textId="77777777" w:rsidR="003D1B7D" w:rsidRPr="003B7C4C" w:rsidRDefault="003D1B7D" w:rsidP="003D1B7D">
            <w:pPr>
              <w:spacing w:after="0" w:line="240" w:lineRule="auto"/>
              <w:rPr>
                <w:rFonts w:asciiTheme="minorHAnsi" w:hAnsiTheme="minorHAnsi" w:cs="Times New Roman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DD99" w14:textId="77777777" w:rsidR="003D1B7D" w:rsidRPr="003B7C4C" w:rsidRDefault="003D1B7D" w:rsidP="003D1B7D">
            <w:pPr>
              <w:spacing w:after="0" w:line="240" w:lineRule="auto"/>
              <w:rPr>
                <w:rFonts w:asciiTheme="minorHAnsi" w:hAnsiTheme="minorHAnsi" w:cs="Times New Roman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EC4F" w14:textId="77777777" w:rsidR="003D1B7D" w:rsidRPr="003B7C4C" w:rsidRDefault="003D1B7D" w:rsidP="003D1B7D">
            <w:pPr>
              <w:spacing w:after="0" w:line="240" w:lineRule="auto"/>
              <w:rPr>
                <w:rFonts w:asciiTheme="minorHAnsi" w:hAnsiTheme="minorHAnsi" w:cs="Times New Roman"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3D1B7D" w:rsidRPr="003B7C4C" w14:paraId="61316C20" w14:textId="77777777" w:rsidTr="00AE5922">
        <w:trPr>
          <w:trHeight w:val="51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10FCE5E" w14:textId="77777777" w:rsidR="003D1B7D" w:rsidRPr="003B7C4C" w:rsidRDefault="003D1B7D" w:rsidP="003D1B7D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  <w:t xml:space="preserve">Ethnic background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066CEBFB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 xml:space="preserve">Population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1BA5AB2B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Unweighted survey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3DA43FD4" w14:textId="77777777" w:rsidR="003D1B7D" w:rsidRPr="003B7C4C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3B7C4C">
              <w:rPr>
                <w:rFonts w:asciiTheme="minorHAnsi" w:hAnsiTheme="minorHAnsi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Weighted survey</w:t>
            </w:r>
          </w:p>
        </w:tc>
      </w:tr>
      <w:tr w:rsidR="0032360D" w:rsidRPr="003B7C4C" w14:paraId="0D95F5B4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00DE5BC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White British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70333C87" w14:textId="69AAB641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56.2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78A60212" w14:textId="041921CF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13AA76A3" w14:textId="5A612F09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56.7</w:t>
            </w:r>
          </w:p>
        </w:tc>
      </w:tr>
      <w:tr w:rsidR="0032360D" w:rsidRPr="003B7C4C" w14:paraId="35A15E2C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CFFAD7E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Irish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7AF8FF8" w14:textId="34F1BEFB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7532E4B9" w14:textId="5CB830C6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3C7D7FEC" w14:textId="51B869C0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0.6</w:t>
            </w:r>
          </w:p>
        </w:tc>
      </w:tr>
      <w:tr w:rsidR="003D1B7D" w:rsidRPr="003B7C4C" w14:paraId="78574E9A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AA684DF" w14:textId="77777777" w:rsidR="003D1B7D" w:rsidRPr="00731A2D" w:rsidRDefault="003D1B7D" w:rsidP="003D1B7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Gypsy or Irish Traveller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1440C0B" w14:textId="77777777" w:rsidR="003D1B7D" w:rsidRPr="0032360D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0.01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1A8EE235" w14:textId="002EAFD3" w:rsidR="003D1B7D" w:rsidRPr="0032360D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  <w:r w:rsidR="00E047F0" w:rsidRPr="0032360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7688C76B" w14:textId="3A29808F" w:rsidR="003D1B7D" w:rsidRPr="0032360D" w:rsidRDefault="003D1B7D" w:rsidP="003D1B7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  <w:r w:rsidR="00E047F0" w:rsidRPr="0032360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.0</w:t>
            </w:r>
          </w:p>
        </w:tc>
      </w:tr>
      <w:tr w:rsidR="0032360D" w:rsidRPr="003B7C4C" w14:paraId="4B47691B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86F582A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 xml:space="preserve">Any other white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72962496" w14:textId="1D5D6E54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4.9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5068CD3" w14:textId="6E04DACD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675537B8" w14:textId="07601A73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4.9</w:t>
            </w:r>
          </w:p>
        </w:tc>
      </w:tr>
      <w:tr w:rsidR="0032360D" w:rsidRPr="003B7C4C" w14:paraId="46246D63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D9813CB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White and Black Caribbean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1E3C0433" w14:textId="53952DB9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1.1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7F79EDDE" w14:textId="12C3AFEA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03A75995" w14:textId="0AF70234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1.1</w:t>
            </w:r>
          </w:p>
        </w:tc>
      </w:tr>
      <w:tr w:rsidR="0032360D" w:rsidRPr="003B7C4C" w14:paraId="15227970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E855B02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White and Black African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D015915" w14:textId="415BAFFB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17C35020" w14:textId="5618B0D9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3AE598C4" w14:textId="706C59AF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0.6</w:t>
            </w:r>
          </w:p>
        </w:tc>
      </w:tr>
      <w:tr w:rsidR="0032360D" w:rsidRPr="003B7C4C" w14:paraId="0679F5B7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699762E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White and Asian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857C144" w14:textId="525C7E07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499E1F86" w14:textId="5D1E092B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522C3F01" w14:textId="719F1CF4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0.1</w:t>
            </w:r>
          </w:p>
        </w:tc>
      </w:tr>
      <w:tr w:rsidR="0032360D" w:rsidRPr="003B7C4C" w14:paraId="5B100A09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FD4139F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 xml:space="preserve">Any other mixed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6017FB2" w14:textId="1EDE5480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128CADB4" w14:textId="5003BEF3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39F0844B" w14:textId="6A2750A1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0.6</w:t>
            </w:r>
          </w:p>
        </w:tc>
      </w:tr>
      <w:tr w:rsidR="0032360D" w:rsidRPr="003B7C4C" w14:paraId="1CB6B7AF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15DDE7A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Indian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92CB4AD" w14:textId="54781C31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31C4031" w14:textId="2672D97C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0DD76E7F" w14:textId="06079C41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0.5</w:t>
            </w:r>
          </w:p>
        </w:tc>
      </w:tr>
      <w:tr w:rsidR="0032360D" w:rsidRPr="003B7C4C" w14:paraId="1AFEDAC7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8B17B3C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Pakistani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BD16B4A" w14:textId="740A4F68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1.8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6C0DBC17" w14:textId="7C69E585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65F59FC3" w14:textId="07142228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1.8</w:t>
            </w:r>
          </w:p>
        </w:tc>
      </w:tr>
      <w:tr w:rsidR="0032360D" w:rsidRPr="003B7C4C" w14:paraId="25A154BB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E1BBD17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Bangladeshi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4931E90E" w14:textId="59467E16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2.0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1AC6A5CA" w14:textId="109E4EB5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51D2F8D8" w14:textId="7ED0D58E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2.1</w:t>
            </w:r>
          </w:p>
        </w:tc>
      </w:tr>
      <w:tr w:rsidR="0032360D" w:rsidRPr="003B7C4C" w14:paraId="7EF0BD9E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93C50BE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Chinese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9F25573" w14:textId="41E6F5FF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40C5011B" w14:textId="7ED1F8D6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60C84AF7" w14:textId="34C63D22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0.1</w:t>
            </w:r>
          </w:p>
        </w:tc>
      </w:tr>
      <w:tr w:rsidR="0032360D" w:rsidRPr="003B7C4C" w14:paraId="0A0C257F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4A75912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 xml:space="preserve">Any other Asian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310FF59" w14:textId="1CBA9E34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1.1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4E20E441" w14:textId="497D2113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5EE1732B" w14:textId="68BB1264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1.2</w:t>
            </w:r>
          </w:p>
        </w:tc>
      </w:tr>
      <w:tr w:rsidR="0032360D" w:rsidRPr="003B7C4C" w14:paraId="5FC2168E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F0729B2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Caribbean background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0D739C1" w14:textId="32D182CE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2.3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7BCF5B67" w14:textId="75AE972B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5CF28AC2" w14:textId="6085C516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2.4</w:t>
            </w:r>
          </w:p>
        </w:tc>
      </w:tr>
      <w:tr w:rsidR="0032360D" w:rsidRPr="003B7C4C" w14:paraId="6E8B3171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3E83CDF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African background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6F741771" w14:textId="079B367E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15.4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3B4417C" w14:textId="496F625E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45412091" w14:textId="5DD845D7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15.4</w:t>
            </w:r>
          </w:p>
        </w:tc>
      </w:tr>
      <w:tr w:rsidR="0032360D" w:rsidRPr="003B7C4C" w14:paraId="7DB69485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CF4A2ED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 xml:space="preserve">Any other Black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01B4714" w14:textId="7D0D4B14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2.8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18269D0" w14:textId="73A2B355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73221618" w14:textId="01F79705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2.7</w:t>
            </w:r>
          </w:p>
        </w:tc>
      </w:tr>
      <w:tr w:rsidR="0032360D" w:rsidRPr="003B7C4C" w14:paraId="53C7C80E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06CB19E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Arab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44E6EB9D" w14:textId="41FC7158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0.03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69E9D17B" w14:textId="38DC2824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4A1647A8" w14:textId="6A8080DA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0.1</w:t>
            </w:r>
          </w:p>
        </w:tc>
      </w:tr>
      <w:tr w:rsidR="0032360D" w:rsidRPr="003B7C4C" w14:paraId="63B6C7B5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2529AA0" w14:textId="77777777" w:rsidR="0032360D" w:rsidRPr="00731A2D" w:rsidRDefault="0032360D" w:rsidP="0032360D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Any other ethnic group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602C84A" w14:textId="4F2005CC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3.2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3CA8264" w14:textId="2C149ACC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1AF9296C" w14:textId="3E462791" w:rsidR="0032360D" w:rsidRPr="0032360D" w:rsidRDefault="0032360D" w:rsidP="0032360D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3.0</w:t>
            </w:r>
          </w:p>
        </w:tc>
      </w:tr>
      <w:tr w:rsidR="00E047F0" w:rsidRPr="003B7C4C" w14:paraId="4A36EA63" w14:textId="77777777" w:rsidTr="00AE592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61862C9" w14:textId="77777777" w:rsidR="00E047F0" w:rsidRPr="00731A2D" w:rsidRDefault="00E047F0" w:rsidP="00E047F0">
            <w:pPr>
              <w:spacing w:after="0" w:line="240" w:lineRule="auto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731A2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No record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092B8C6" w14:textId="4D7CA586" w:rsidR="00E047F0" w:rsidRPr="0032360D" w:rsidRDefault="00E047F0" w:rsidP="00E047F0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6.3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7C7523B" w14:textId="47E56C7B" w:rsidR="00E047F0" w:rsidRPr="0032360D" w:rsidRDefault="00E047F0" w:rsidP="00E047F0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Arial"/>
                <w:sz w:val="18"/>
                <w:szCs w:val="18"/>
              </w:rPr>
              <w:t>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74AA7427" w14:textId="5E8E3EE5" w:rsidR="00E047F0" w:rsidRPr="0032360D" w:rsidRDefault="00E047F0" w:rsidP="00E047F0">
            <w:pPr>
              <w:spacing w:after="0" w:line="240" w:lineRule="auto"/>
              <w:jc w:val="center"/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32360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6.</w:t>
            </w:r>
            <w:r w:rsidR="0032360D" w:rsidRPr="0032360D">
              <w:rPr>
                <w:rFonts w:asciiTheme="minorHAnsi" w:hAnsiTheme="minorHAnsi" w:cs="Times New Roman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</w:tbl>
    <w:p w14:paraId="17E0451D" w14:textId="77777777" w:rsidR="003D1B7D" w:rsidRPr="003B7C4C" w:rsidRDefault="003D1B7D" w:rsidP="00731A2D">
      <w:pPr>
        <w:widowControl w:val="0"/>
        <w:spacing w:line="283" w:lineRule="auto"/>
        <w:rPr>
          <w:rFonts w:asciiTheme="minorHAnsi" w:hAnsiTheme="minorHAnsi"/>
          <w14:ligatures w14:val="none"/>
        </w:rPr>
      </w:pPr>
    </w:p>
    <w:sectPr w:rsidR="003D1B7D" w:rsidRPr="003B7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1721C"/>
    <w:multiLevelType w:val="hybridMultilevel"/>
    <w:tmpl w:val="B476C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16C38"/>
    <w:multiLevelType w:val="hybridMultilevel"/>
    <w:tmpl w:val="EF7285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9586400">
    <w:abstractNumId w:val="0"/>
  </w:num>
  <w:num w:numId="2" w16cid:durableId="1218974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34"/>
    <w:rsid w:val="000F3103"/>
    <w:rsid w:val="001028E7"/>
    <w:rsid w:val="00151FB2"/>
    <w:rsid w:val="001557D2"/>
    <w:rsid w:val="001D7B14"/>
    <w:rsid w:val="0032360D"/>
    <w:rsid w:val="0032710B"/>
    <w:rsid w:val="003B7C4C"/>
    <w:rsid w:val="003D1B7D"/>
    <w:rsid w:val="00443227"/>
    <w:rsid w:val="004B0FE7"/>
    <w:rsid w:val="004E44ED"/>
    <w:rsid w:val="004E7770"/>
    <w:rsid w:val="00511F34"/>
    <w:rsid w:val="005D3267"/>
    <w:rsid w:val="005D56CC"/>
    <w:rsid w:val="00731A2D"/>
    <w:rsid w:val="00744259"/>
    <w:rsid w:val="00797359"/>
    <w:rsid w:val="00861966"/>
    <w:rsid w:val="00923035"/>
    <w:rsid w:val="00A24D47"/>
    <w:rsid w:val="00A838D1"/>
    <w:rsid w:val="00AE5922"/>
    <w:rsid w:val="00AF47EA"/>
    <w:rsid w:val="00B25DE5"/>
    <w:rsid w:val="00B3042A"/>
    <w:rsid w:val="00B6160A"/>
    <w:rsid w:val="00BB1985"/>
    <w:rsid w:val="00BC73F6"/>
    <w:rsid w:val="00BF0BD5"/>
    <w:rsid w:val="00C41683"/>
    <w:rsid w:val="00D06FD7"/>
    <w:rsid w:val="00D444AB"/>
    <w:rsid w:val="00DC0AA5"/>
    <w:rsid w:val="00E047F0"/>
    <w:rsid w:val="00E54D09"/>
    <w:rsid w:val="00F4747C"/>
    <w:rsid w:val="00F51D13"/>
    <w:rsid w:val="00F6559C"/>
    <w:rsid w:val="00F66460"/>
    <w:rsid w:val="00F9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5BE5E"/>
  <w15:chartTrackingRefBased/>
  <w15:docId w15:val="{EDE4E01A-F6A5-46A9-90F1-67F31F5E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3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F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F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F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F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F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F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F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F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F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F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F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4210</Characters>
  <Application>Microsoft Office Word</Application>
  <DocSecurity>4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Payne</dc:creator>
  <cp:keywords/>
  <dc:description/>
  <cp:lastModifiedBy>Rubina Abi</cp:lastModifiedBy>
  <cp:revision>2</cp:revision>
  <dcterms:created xsi:type="dcterms:W3CDTF">2025-06-25T13:36:00Z</dcterms:created>
  <dcterms:modified xsi:type="dcterms:W3CDTF">2025-06-25T13:36:00Z</dcterms:modified>
</cp:coreProperties>
</file>