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8370" w14:textId="0572EB31" w:rsidR="00D26A15" w:rsidRPr="00D26A15" w:rsidRDefault="00D26A15" w:rsidP="605D3DF1">
      <w:pPr>
        <w:rPr>
          <w:b/>
          <w:bCs/>
          <w:sz w:val="28"/>
          <w:szCs w:val="28"/>
        </w:rPr>
      </w:pPr>
      <w:r w:rsidRPr="605D3DF1">
        <w:rPr>
          <w:b/>
          <w:bCs/>
          <w:sz w:val="28"/>
          <w:szCs w:val="28"/>
        </w:rPr>
        <w:t>Lease Extension Guidance for Leaseholders</w:t>
      </w:r>
    </w:p>
    <w:p w14:paraId="15DD2B5E" w14:textId="77777777" w:rsidR="00D26A15" w:rsidRPr="00D26A15" w:rsidRDefault="00D26A15" w:rsidP="00D26A15">
      <w:r w:rsidRPr="00D26A15">
        <w:t xml:space="preserve">Under </w:t>
      </w:r>
      <w:r w:rsidRPr="00D26A15">
        <w:rPr>
          <w:b/>
          <w:bCs/>
        </w:rPr>
        <w:t>Section 42 of the Leasehold Reform, Housing and Urban Development Act 1993</w:t>
      </w:r>
      <w:r w:rsidRPr="00D26A15">
        <w:t>, qualifying leaseholders have the legal right to apply for a lease extension.</w:t>
      </w:r>
    </w:p>
    <w:p w14:paraId="60D57A28" w14:textId="2B2135CC" w:rsidR="00D26A15" w:rsidRPr="00D26A15" w:rsidRDefault="00D26A15" w:rsidP="00D26A15">
      <w:r w:rsidRPr="3477C7C9">
        <w:rPr>
          <w:b/>
          <w:bCs/>
        </w:rPr>
        <w:t>What Is a Lease Extension?</w:t>
      </w:r>
    </w:p>
    <w:p w14:paraId="78BC3588" w14:textId="77777777" w:rsidR="00D26A15" w:rsidRPr="00D26A15" w:rsidRDefault="00D26A15" w:rsidP="00D26A15">
      <w:r>
        <w:t>A lease extension adds years to your existing lease and typically reduces ground rent to a peppercorn (zero). Most leases begin at 125 years from the first sale, and the remaining time is known as the</w:t>
      </w:r>
      <w:r w:rsidRPr="277D6074">
        <w:rPr>
          <w:b/>
          <w:bCs/>
        </w:rPr>
        <w:t xml:space="preserve"> </w:t>
      </w:r>
      <w:r>
        <w:t>unexpired term.</w:t>
      </w:r>
    </w:p>
    <w:p w14:paraId="675E9CE9" w14:textId="77777777" w:rsidR="00D26A15" w:rsidRPr="00D26A15" w:rsidRDefault="00D26A15" w:rsidP="00D26A15">
      <w:r w:rsidRPr="00D26A15">
        <w:t>As the lease shortens, the property’s value declines. Once the lease expires, ownership of the flat reverts to the landlord.</w:t>
      </w:r>
    </w:p>
    <w:p w14:paraId="33B69640" w14:textId="5E56BF57" w:rsidR="00D26A15" w:rsidRPr="00D26A15" w:rsidRDefault="00D26A15" w:rsidP="00D26A15">
      <w:r w:rsidRPr="3477C7C9">
        <w:rPr>
          <w:b/>
          <w:bCs/>
        </w:rPr>
        <w:t>When Should You Extend?</w:t>
      </w:r>
    </w:p>
    <w:p w14:paraId="7EAED589" w14:textId="77777777" w:rsidR="00D26A15" w:rsidRPr="00D26A15" w:rsidRDefault="00D26A15" w:rsidP="00D26A15">
      <w:pPr>
        <w:numPr>
          <w:ilvl w:val="0"/>
          <w:numId w:val="1"/>
        </w:numPr>
      </w:pPr>
      <w:r w:rsidRPr="277D6074">
        <w:rPr>
          <w:b/>
          <w:bCs/>
        </w:rPr>
        <w:t>Recommended</w:t>
      </w:r>
      <w:r>
        <w:t>: If your lease has less than 99 years remaining.</w:t>
      </w:r>
    </w:p>
    <w:p w14:paraId="1442E321" w14:textId="77777777" w:rsidR="00D26A15" w:rsidRPr="00D26A15" w:rsidRDefault="00D26A15" w:rsidP="00D26A15">
      <w:pPr>
        <w:numPr>
          <w:ilvl w:val="0"/>
          <w:numId w:val="1"/>
        </w:numPr>
      </w:pPr>
      <w:r w:rsidRPr="511ABA7B">
        <w:rPr>
          <w:b/>
          <w:bCs/>
        </w:rPr>
        <w:t>Urgent</w:t>
      </w:r>
      <w:r>
        <w:t>: If your lease is under 80 years, the cost increases significantly due to marriage value.</w:t>
      </w:r>
    </w:p>
    <w:p w14:paraId="6510344A" w14:textId="77777777" w:rsidR="00D26A15" w:rsidRPr="00D26A15" w:rsidRDefault="00D26A15" w:rsidP="00D26A15">
      <w:pPr>
        <w:numPr>
          <w:ilvl w:val="0"/>
          <w:numId w:val="1"/>
        </w:numPr>
      </w:pPr>
      <w:r w:rsidRPr="3477C7C9">
        <w:rPr>
          <w:b/>
          <w:bCs/>
        </w:rPr>
        <w:t>Critical</w:t>
      </w:r>
      <w:r>
        <w:t>: If your lease is under 60 years</w:t>
      </w:r>
      <w:r w:rsidRPr="3477C7C9">
        <w:rPr>
          <w:b/>
          <w:bCs/>
        </w:rPr>
        <w:t>,</w:t>
      </w:r>
      <w:r>
        <w:t xml:space="preserve"> mortgage lenders may refuse to lend.</w:t>
      </w:r>
    </w:p>
    <w:p w14:paraId="39B2E9C7" w14:textId="33A2D231" w:rsidR="00D26A15" w:rsidRPr="00D26A15" w:rsidRDefault="00D26A15" w:rsidP="00D26A15">
      <w:r w:rsidRPr="277D6074">
        <w:rPr>
          <w:b/>
          <w:bCs/>
        </w:rPr>
        <w:t>Who Can Apply?</w:t>
      </w:r>
    </w:p>
    <w:p w14:paraId="1FBF4A8A" w14:textId="5B05B0B9" w:rsidR="00D26A15" w:rsidRPr="00D26A15" w:rsidRDefault="00D26A15" w:rsidP="00D26A15">
      <w:r>
        <w:t>You must be a qualifying long leaseholder</w:t>
      </w:r>
      <w:r w:rsidRPr="3477C7C9">
        <w:rPr>
          <w:b/>
          <w:bCs/>
        </w:rPr>
        <w:t xml:space="preserve"> </w:t>
      </w:r>
      <w:r>
        <w:t>of a residential flat with an original lease term over 21 years.</w:t>
      </w:r>
    </w:p>
    <w:p w14:paraId="089B6268" w14:textId="77777777" w:rsidR="00D26A15" w:rsidRPr="00D26A15" w:rsidRDefault="00D26A15" w:rsidP="00D26A15">
      <w:pPr>
        <w:numPr>
          <w:ilvl w:val="0"/>
          <w:numId w:val="2"/>
        </w:numPr>
      </w:pPr>
      <w:r>
        <w:t>The property must be a flat, not a house or commercial premises.</w:t>
      </w:r>
    </w:p>
    <w:p w14:paraId="4C1AF431" w14:textId="22ADCED7" w:rsidR="00D26A15" w:rsidRPr="00D26A15" w:rsidRDefault="00D26A15" w:rsidP="00D26A15">
      <w:pPr>
        <w:numPr>
          <w:ilvl w:val="0"/>
          <w:numId w:val="2"/>
        </w:numPr>
      </w:pPr>
      <w:r>
        <w:t>As of 31 January 2025, you no longer need to have owned the property for two years to apply under Section 42</w:t>
      </w:r>
      <w:r w:rsidR="128206FE">
        <w:t xml:space="preserve">, </w:t>
      </w:r>
      <w:r>
        <w:t>you can apply immediately upon becoming a leaseholder.</w:t>
      </w:r>
    </w:p>
    <w:p w14:paraId="4116CF6C" w14:textId="37343452" w:rsidR="00D26A15" w:rsidRPr="00D26A15" w:rsidRDefault="00D26A15" w:rsidP="277D6074">
      <w:pPr>
        <w:rPr>
          <w:b/>
          <w:bCs/>
        </w:rPr>
      </w:pPr>
      <w:r>
        <w:t xml:space="preserve"> </w:t>
      </w:r>
      <w:r w:rsidRPr="277D6074">
        <w:rPr>
          <w:b/>
          <w:bCs/>
        </w:rPr>
        <w:t>Benefits of Extending Your Lease</w:t>
      </w:r>
    </w:p>
    <w:p w14:paraId="232030FC" w14:textId="77777777" w:rsidR="00D26A15" w:rsidRPr="00D26A15" w:rsidRDefault="00D26A15" w:rsidP="00D26A15">
      <w:pPr>
        <w:numPr>
          <w:ilvl w:val="0"/>
          <w:numId w:val="3"/>
        </w:numPr>
      </w:pPr>
      <w:r>
        <w:t>Adds 90 years to your current lease term.</w:t>
      </w:r>
    </w:p>
    <w:p w14:paraId="250409B7" w14:textId="3D397097" w:rsidR="00D26A15" w:rsidRPr="00D26A15" w:rsidRDefault="00D26A15" w:rsidP="00D26A15">
      <w:pPr>
        <w:numPr>
          <w:ilvl w:val="0"/>
          <w:numId w:val="3"/>
        </w:numPr>
      </w:pPr>
      <w:r>
        <w:t>Reduces ground rent to zero.</w:t>
      </w:r>
    </w:p>
    <w:p w14:paraId="26F586FA" w14:textId="77777777" w:rsidR="00D26A15" w:rsidRPr="00D26A15" w:rsidRDefault="00D26A15" w:rsidP="00D26A15">
      <w:pPr>
        <w:numPr>
          <w:ilvl w:val="0"/>
          <w:numId w:val="3"/>
        </w:numPr>
      </w:pPr>
      <w:r w:rsidRPr="00D26A15">
        <w:t>Helps maintain property value and improves saleability.</w:t>
      </w:r>
    </w:p>
    <w:p w14:paraId="3447E1F6" w14:textId="5C4AC5BD" w:rsidR="00D26A15" w:rsidRPr="00D26A15" w:rsidRDefault="00D26A15" w:rsidP="3477C7C9">
      <w:pPr>
        <w:rPr>
          <w:b/>
          <w:bCs/>
        </w:rPr>
      </w:pPr>
      <w:r w:rsidRPr="3477C7C9">
        <w:rPr>
          <w:b/>
          <w:bCs/>
        </w:rPr>
        <w:t>Expected Costs</w:t>
      </w:r>
    </w:p>
    <w:p w14:paraId="7ECBA31B" w14:textId="1ACB5586" w:rsidR="00F64DFA" w:rsidRPr="00F64DFA" w:rsidRDefault="00D26A15" w:rsidP="7B280FCA">
      <w:pPr>
        <w:rPr>
          <w:rFonts w:ascii="Aptos" w:eastAsia="Aptos" w:hAnsi="Aptos" w:cs="Aptos"/>
          <w:color w:val="000000" w:themeColor="text1"/>
        </w:rPr>
      </w:pPr>
      <w:r w:rsidRPr="00D26A15">
        <w:t>You may need to pay:</w:t>
      </w:r>
      <w:r w:rsidR="00F64DFA" w:rsidRPr="00F64DF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C7A653C" w14:textId="0ECFC1C5" w:rsidR="00F64DFA" w:rsidRPr="00F64DFA" w:rsidRDefault="5EBADE62" w:rsidP="14A58508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00F64DFA">
        <w:t xml:space="preserve"> </w:t>
      </w:r>
      <w:r w:rsidR="31B21753" w:rsidRPr="14A58508">
        <w:rPr>
          <w:rFonts w:ascii="Aptos" w:eastAsia="Aptos" w:hAnsi="Aptos" w:cs="Aptos"/>
          <w:b/>
          <w:bCs/>
          <w:color w:val="000000" w:themeColor="text1"/>
        </w:rPr>
        <w:t>Premium</w:t>
      </w:r>
      <w:r w:rsidR="31B21753" w:rsidRPr="14A58508">
        <w:rPr>
          <w:rFonts w:ascii="Aptos" w:eastAsia="Aptos" w:hAnsi="Aptos" w:cs="Aptos"/>
          <w:color w:val="000000" w:themeColor="text1"/>
        </w:rPr>
        <w:t xml:space="preserve"> payable to the Council (depends on lease length, market value of property).</w:t>
      </w:r>
    </w:p>
    <w:p w14:paraId="39E9F531" w14:textId="71EEC0A0" w:rsidR="00F64DFA" w:rsidRPr="00F64DFA" w:rsidRDefault="31B21753" w:rsidP="14A58508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14A58508">
        <w:rPr>
          <w:rFonts w:ascii="Aptos" w:eastAsia="Aptos" w:hAnsi="Aptos" w:cs="Aptos"/>
          <w:b/>
          <w:bCs/>
          <w:color w:val="000000" w:themeColor="text1"/>
        </w:rPr>
        <w:t>Marriage value</w:t>
      </w:r>
      <w:r w:rsidRPr="14A58508">
        <w:rPr>
          <w:rFonts w:ascii="Aptos" w:eastAsia="Aptos" w:hAnsi="Aptos" w:cs="Aptos"/>
          <w:color w:val="000000" w:themeColor="text1"/>
        </w:rPr>
        <w:t xml:space="preserve"> may be payable if under 80 years remaining.</w:t>
      </w:r>
    </w:p>
    <w:p w14:paraId="08FF3063" w14:textId="33452D53" w:rsidR="00F64DFA" w:rsidRPr="00F64DFA" w:rsidRDefault="31B21753" w:rsidP="14A58508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14A58508">
        <w:rPr>
          <w:rFonts w:ascii="Aptos" w:eastAsia="Aptos" w:hAnsi="Aptos" w:cs="Aptos"/>
          <w:b/>
          <w:bCs/>
          <w:color w:val="000000" w:themeColor="text1"/>
        </w:rPr>
        <w:t>Your professional fees</w:t>
      </w:r>
      <w:r w:rsidRPr="14A58508">
        <w:rPr>
          <w:rFonts w:ascii="Aptos" w:eastAsia="Aptos" w:hAnsi="Aptos" w:cs="Aptos"/>
          <w:color w:val="000000" w:themeColor="text1"/>
        </w:rPr>
        <w:t>: surveyor and solicitor.</w:t>
      </w:r>
    </w:p>
    <w:p w14:paraId="5C9DA3B1" w14:textId="41F32F34" w:rsidR="00F64DFA" w:rsidRPr="00F64DFA" w:rsidRDefault="31B21753" w:rsidP="14A58508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14A58508">
        <w:rPr>
          <w:rFonts w:ascii="Aptos" w:eastAsia="Aptos" w:hAnsi="Aptos" w:cs="Aptos"/>
          <w:b/>
          <w:bCs/>
          <w:color w:val="000000" w:themeColor="text1"/>
        </w:rPr>
        <w:t>Council’s reasonable costs</w:t>
      </w:r>
      <w:r w:rsidRPr="14A58508">
        <w:rPr>
          <w:rFonts w:ascii="Aptos" w:eastAsia="Aptos" w:hAnsi="Aptos" w:cs="Aptos"/>
          <w:color w:val="000000" w:themeColor="text1"/>
        </w:rPr>
        <w:t>: valuation and legal fees.</w:t>
      </w:r>
    </w:p>
    <w:p w14:paraId="62E94CC0" w14:textId="41F8BE78" w:rsidR="00F64DFA" w:rsidRPr="00F64DFA" w:rsidRDefault="31B21753" w:rsidP="00292619">
      <w:pPr>
        <w:pStyle w:val="ListParagraph"/>
        <w:numPr>
          <w:ilvl w:val="0"/>
          <w:numId w:val="9"/>
        </w:numPr>
      </w:pPr>
      <w:r w:rsidRPr="00AC5A4F">
        <w:rPr>
          <w:rFonts w:ascii="Aptos" w:eastAsia="Aptos" w:hAnsi="Aptos" w:cs="Aptos"/>
          <w:color w:val="000000" w:themeColor="text1"/>
        </w:rPr>
        <w:t>Renovations by current or past leaseholders are disregarded when calculating the premium.</w:t>
      </w:r>
    </w:p>
    <w:tbl>
      <w:tblPr>
        <w:tblW w:w="94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"/>
        <w:gridCol w:w="163"/>
        <w:gridCol w:w="231"/>
        <w:gridCol w:w="163"/>
        <w:gridCol w:w="8517"/>
        <w:gridCol w:w="178"/>
      </w:tblGrid>
      <w:tr w:rsidR="005D01D6" w:rsidRPr="00F64DFA" w14:paraId="69A022A9" w14:textId="77777777" w:rsidTr="3301FF92">
        <w:trPr>
          <w:gridBefore w:val="3"/>
          <w:wBefore w:w="534" w:type="dxa"/>
          <w:trHeight w:val="300"/>
          <w:tblCellSpacing w:w="15" w:type="dxa"/>
        </w:trPr>
        <w:tc>
          <w:tcPr>
            <w:tcW w:w="135" w:type="dxa"/>
            <w:vAlign w:val="center"/>
          </w:tcPr>
          <w:p w14:paraId="6C95F7B6" w14:textId="0327D16E" w:rsidR="5E6D3A90" w:rsidRDefault="5E6D3A90" w:rsidP="5E6D3A90"/>
        </w:tc>
        <w:tc>
          <w:tcPr>
            <w:tcW w:w="8627" w:type="dxa"/>
            <w:vAlign w:val="center"/>
          </w:tcPr>
          <w:p w14:paraId="250DC48A" w14:textId="77777777" w:rsidR="00F64DFA" w:rsidRPr="00F64DFA" w:rsidRDefault="00F64DFA" w:rsidP="00F64DFA"/>
        </w:tc>
        <w:tc>
          <w:tcPr>
            <w:tcW w:w="135" w:type="dxa"/>
            <w:vAlign w:val="center"/>
          </w:tcPr>
          <w:p w14:paraId="1C399F47" w14:textId="77777777" w:rsidR="00F64DFA" w:rsidRPr="00F64DFA" w:rsidRDefault="00F64DFA" w:rsidP="00F64DFA"/>
        </w:tc>
      </w:tr>
      <w:tr w:rsidR="00D26A15" w:rsidRPr="00D26A15" w14:paraId="5D8EFF58" w14:textId="77777777" w:rsidTr="22A6593E">
        <w:trPr>
          <w:gridAfter w:val="4"/>
          <w:wAfter w:w="9161" w:type="dxa"/>
          <w:trHeight w:val="300"/>
          <w:tblHeader/>
          <w:tblCellSpacing w:w="15" w:type="dxa"/>
        </w:trPr>
        <w:tc>
          <w:tcPr>
            <w:tcW w:w="135" w:type="dxa"/>
            <w:vAlign w:val="center"/>
            <w:hideMark/>
          </w:tcPr>
          <w:p w14:paraId="5B1CD871" w14:textId="77777777" w:rsidR="00D26A15" w:rsidRPr="00D26A15" w:rsidRDefault="00D26A15" w:rsidP="00D26A15"/>
        </w:tc>
        <w:tc>
          <w:tcPr>
            <w:tcW w:w="135" w:type="dxa"/>
            <w:vAlign w:val="center"/>
            <w:hideMark/>
          </w:tcPr>
          <w:p w14:paraId="7CA83F3D" w14:textId="77777777" w:rsidR="00D26A15" w:rsidRPr="00D26A15" w:rsidRDefault="00D26A15" w:rsidP="00D26A15"/>
        </w:tc>
      </w:tr>
      <w:tr w:rsidR="00D26A15" w:rsidRPr="00D26A15" w14:paraId="747A82B8" w14:textId="77777777" w:rsidTr="22A6593E">
        <w:trPr>
          <w:gridAfter w:val="4"/>
          <w:wAfter w:w="9161" w:type="dxa"/>
          <w:trHeight w:val="300"/>
          <w:tblCellSpacing w:w="15" w:type="dxa"/>
        </w:trPr>
        <w:tc>
          <w:tcPr>
            <w:tcW w:w="135" w:type="dxa"/>
            <w:vAlign w:val="center"/>
            <w:hideMark/>
          </w:tcPr>
          <w:p w14:paraId="51E6BA4B" w14:textId="77777777" w:rsidR="00D26A15" w:rsidRPr="00D26A15" w:rsidRDefault="00D26A15" w:rsidP="00D26A15"/>
        </w:tc>
        <w:tc>
          <w:tcPr>
            <w:tcW w:w="135" w:type="dxa"/>
            <w:vAlign w:val="center"/>
            <w:hideMark/>
          </w:tcPr>
          <w:p w14:paraId="1B85BB98" w14:textId="77777777" w:rsidR="00D26A15" w:rsidRPr="00D26A15" w:rsidRDefault="00D26A15" w:rsidP="00D26A15"/>
        </w:tc>
      </w:tr>
      <w:tr w:rsidR="00D26A15" w:rsidRPr="00D26A15" w14:paraId="026AFFCE" w14:textId="77777777" w:rsidTr="049BAE1B">
        <w:trPr>
          <w:trHeight w:val="300"/>
          <w:tblCellSpacing w:w="15" w:type="dxa"/>
        </w:trPr>
        <w:tc>
          <w:tcPr>
            <w:tcW w:w="135" w:type="dxa"/>
            <w:vAlign w:val="center"/>
            <w:hideMark/>
          </w:tcPr>
          <w:p w14:paraId="1AF5B825" w14:textId="77777777" w:rsidR="00D26A15" w:rsidRPr="00D26A15" w:rsidRDefault="00D26A15" w:rsidP="00D26A15"/>
        </w:tc>
        <w:tc>
          <w:tcPr>
            <w:tcW w:w="135" w:type="dxa"/>
            <w:gridSpan w:val="5"/>
            <w:vAlign w:val="center"/>
            <w:hideMark/>
          </w:tcPr>
          <w:p w14:paraId="5FA61B1D" w14:textId="77777777" w:rsidR="00D26A15" w:rsidRPr="00D26A15" w:rsidRDefault="00D26A15" w:rsidP="00D26A15"/>
        </w:tc>
      </w:tr>
      <w:tr w:rsidR="00D26A15" w:rsidRPr="00D26A15" w14:paraId="5834C538" w14:textId="77777777" w:rsidTr="049BAE1B">
        <w:trPr>
          <w:trHeight w:val="300"/>
          <w:tblCellSpacing w:w="15" w:type="dxa"/>
        </w:trPr>
        <w:tc>
          <w:tcPr>
            <w:tcW w:w="135" w:type="dxa"/>
            <w:vAlign w:val="center"/>
            <w:hideMark/>
          </w:tcPr>
          <w:p w14:paraId="5DE43443" w14:textId="77777777" w:rsidR="00D26A15" w:rsidRPr="00D26A15" w:rsidRDefault="00D26A15" w:rsidP="00D26A15"/>
        </w:tc>
        <w:tc>
          <w:tcPr>
            <w:tcW w:w="135" w:type="dxa"/>
            <w:gridSpan w:val="5"/>
            <w:vAlign w:val="center"/>
            <w:hideMark/>
          </w:tcPr>
          <w:p w14:paraId="16B5D18D" w14:textId="77777777" w:rsidR="00D26A15" w:rsidRPr="00D26A15" w:rsidRDefault="00D26A15" w:rsidP="00D26A15"/>
        </w:tc>
      </w:tr>
    </w:tbl>
    <w:p w14:paraId="29E30479" w14:textId="535347E1" w:rsidR="00D26A15" w:rsidRPr="00D26A15" w:rsidRDefault="31B21753" w:rsidP="00D26A15">
      <w:r w:rsidRPr="049BAE1B">
        <w:rPr>
          <w:b/>
          <w:bCs/>
        </w:rPr>
        <w:t>I</w:t>
      </w:r>
      <w:r w:rsidR="66B57C83" w:rsidRPr="049BAE1B">
        <w:rPr>
          <w:b/>
          <w:bCs/>
        </w:rPr>
        <w:t>m</w:t>
      </w:r>
      <w:r w:rsidR="00D26A15" w:rsidRPr="049BAE1B">
        <w:rPr>
          <w:b/>
          <w:bCs/>
        </w:rPr>
        <w:t>portant Notes</w:t>
      </w:r>
    </w:p>
    <w:p w14:paraId="052F69CE" w14:textId="77777777" w:rsidR="00D26A15" w:rsidRPr="00D26A15" w:rsidRDefault="00D26A15" w:rsidP="00D26A15">
      <w:pPr>
        <w:numPr>
          <w:ilvl w:val="0"/>
          <w:numId w:val="4"/>
        </w:numPr>
      </w:pPr>
      <w:r>
        <w:t>The Sales &amp; Leasehold Management Team cannot advise on the premium payable.</w:t>
      </w:r>
    </w:p>
    <w:p w14:paraId="06FAC122" w14:textId="77777777" w:rsidR="00D26A15" w:rsidRPr="00D26A15" w:rsidRDefault="00D26A15" w:rsidP="00D26A15">
      <w:pPr>
        <w:numPr>
          <w:ilvl w:val="0"/>
          <w:numId w:val="4"/>
        </w:numPr>
      </w:pPr>
      <w:r>
        <w:t>You should seek independent legal and valuation advice before proceeding.</w:t>
      </w:r>
    </w:p>
    <w:p w14:paraId="5CCFD8CB" w14:textId="77777777" w:rsidR="00D26A15" w:rsidRPr="00D26A15" w:rsidRDefault="00D26A15" w:rsidP="00D26A15">
      <w:pPr>
        <w:numPr>
          <w:ilvl w:val="0"/>
          <w:numId w:val="4"/>
        </w:numPr>
      </w:pPr>
      <w:r>
        <w:t>Lease extensions are not available through informal agreements.</w:t>
      </w:r>
    </w:p>
    <w:p w14:paraId="2CBCBA5D" w14:textId="77777777" w:rsidR="00D26A15" w:rsidRPr="00D26A15" w:rsidRDefault="00D26A15" w:rsidP="00D26A15">
      <w:pPr>
        <w:numPr>
          <w:ilvl w:val="0"/>
          <w:numId w:val="4"/>
        </w:numPr>
      </w:pPr>
      <w:r>
        <w:t>The Leasehold and Freehold Reform Act 2024 became law on 24 May 2024, but its provisions (including 990-year extensions) are not yet in effect.</w:t>
      </w:r>
    </w:p>
    <w:p w14:paraId="5F465AB9" w14:textId="2FFD788D" w:rsidR="00D26A15" w:rsidRPr="00D26A15" w:rsidRDefault="00D26A15" w:rsidP="3477C7C9">
      <w:pPr>
        <w:rPr>
          <w:b/>
          <w:bCs/>
        </w:rPr>
      </w:pPr>
      <w:r w:rsidRPr="3477C7C9">
        <w:rPr>
          <w:b/>
          <w:bCs/>
        </w:rPr>
        <w:t>Step-by-Step Process</w:t>
      </w:r>
    </w:p>
    <w:p w14:paraId="29135C5A" w14:textId="77777777" w:rsidR="00D26A15" w:rsidRPr="00D26A15" w:rsidRDefault="00D26A15" w:rsidP="00D26A15">
      <w:pPr>
        <w:numPr>
          <w:ilvl w:val="0"/>
          <w:numId w:val="5"/>
        </w:numPr>
      </w:pPr>
      <w:r w:rsidRPr="00D26A15">
        <w:rPr>
          <w:b/>
          <w:bCs/>
        </w:rPr>
        <w:t>Check eligibility</w:t>
      </w:r>
      <w:r w:rsidRPr="00D26A15">
        <w:t>: Leaseholder of a flat with original term over 21 years.</w:t>
      </w:r>
    </w:p>
    <w:p w14:paraId="66CAA6CF" w14:textId="77777777" w:rsidR="00D26A15" w:rsidRPr="00D26A15" w:rsidRDefault="00D26A15" w:rsidP="00D26A15">
      <w:pPr>
        <w:numPr>
          <w:ilvl w:val="0"/>
          <w:numId w:val="5"/>
        </w:numPr>
      </w:pPr>
      <w:r w:rsidRPr="00D26A15">
        <w:rPr>
          <w:b/>
          <w:bCs/>
        </w:rPr>
        <w:t>Instruct professionals</w:t>
      </w:r>
      <w:r w:rsidRPr="00D26A15">
        <w:t>:</w:t>
      </w:r>
    </w:p>
    <w:p w14:paraId="076E434C" w14:textId="77777777" w:rsidR="00D26A15" w:rsidRPr="00D26A15" w:rsidRDefault="00D26A15" w:rsidP="00D26A15">
      <w:pPr>
        <w:numPr>
          <w:ilvl w:val="1"/>
          <w:numId w:val="5"/>
        </w:numPr>
      </w:pPr>
      <w:r w:rsidRPr="00D26A15">
        <w:t>Chartered surveyor for valuation.</w:t>
      </w:r>
    </w:p>
    <w:p w14:paraId="2C1863E5" w14:textId="77777777" w:rsidR="00D26A15" w:rsidRPr="00D26A15" w:rsidRDefault="00D26A15" w:rsidP="00D26A15">
      <w:pPr>
        <w:numPr>
          <w:ilvl w:val="1"/>
          <w:numId w:val="5"/>
        </w:numPr>
      </w:pPr>
      <w:r w:rsidRPr="00D26A15">
        <w:t>Solicitor to serve legal notices.</w:t>
      </w:r>
    </w:p>
    <w:p w14:paraId="3EBD2541" w14:textId="77777777" w:rsidR="00D26A15" w:rsidRPr="00D26A15" w:rsidRDefault="00D26A15" w:rsidP="00D26A15">
      <w:pPr>
        <w:numPr>
          <w:ilvl w:val="0"/>
          <w:numId w:val="5"/>
        </w:numPr>
      </w:pPr>
      <w:r w:rsidRPr="00D26A15">
        <w:rPr>
          <w:b/>
          <w:bCs/>
        </w:rPr>
        <w:t>Secure funds</w:t>
      </w:r>
      <w:r w:rsidRPr="00D26A15">
        <w:t>: Premium, legal and valuation fees, deposit, and potential Tribunal costs.</w:t>
      </w:r>
    </w:p>
    <w:p w14:paraId="794AF904" w14:textId="77777777" w:rsidR="00D26A15" w:rsidRPr="00D26A15" w:rsidRDefault="00D26A15" w:rsidP="00D26A15">
      <w:pPr>
        <w:numPr>
          <w:ilvl w:val="0"/>
          <w:numId w:val="5"/>
        </w:numPr>
      </w:pPr>
      <w:r w:rsidRPr="00D26A15">
        <w:rPr>
          <w:b/>
          <w:bCs/>
        </w:rPr>
        <w:t>Surveyor valuation</w:t>
      </w:r>
      <w:r w:rsidRPr="00D26A15">
        <w:t>: Determines premium to offer.</w:t>
      </w:r>
    </w:p>
    <w:p w14:paraId="4C3FF674" w14:textId="77777777" w:rsidR="00D26A15" w:rsidRPr="00D26A15" w:rsidRDefault="00D26A15" w:rsidP="00D26A15">
      <w:pPr>
        <w:numPr>
          <w:ilvl w:val="0"/>
          <w:numId w:val="5"/>
        </w:numPr>
      </w:pPr>
      <w:r w:rsidRPr="00D26A15">
        <w:rPr>
          <w:b/>
          <w:bCs/>
        </w:rPr>
        <w:t>Serve Section 42 Notice</w:t>
      </w:r>
      <w:r w:rsidRPr="00D26A15">
        <w:t>: Solicitor sends formal notice to the Council.</w:t>
      </w:r>
    </w:p>
    <w:p w14:paraId="4CDE9E7A" w14:textId="77777777" w:rsidR="00D26A15" w:rsidRPr="00D26A15" w:rsidRDefault="00D26A15" w:rsidP="00D26A15">
      <w:pPr>
        <w:numPr>
          <w:ilvl w:val="0"/>
          <w:numId w:val="5"/>
        </w:numPr>
      </w:pPr>
      <w:r w:rsidRPr="00D26A15">
        <w:rPr>
          <w:b/>
          <w:bCs/>
        </w:rPr>
        <w:t>Council serves Counter-Notice</w:t>
      </w:r>
      <w:r w:rsidRPr="00D26A15">
        <w:t>: Within the statutory timeframe (minimum 2 months).</w:t>
      </w:r>
    </w:p>
    <w:p w14:paraId="13727C19" w14:textId="77777777" w:rsidR="00D26A15" w:rsidRPr="00D26A15" w:rsidRDefault="00D26A15" w:rsidP="00D26A15">
      <w:pPr>
        <w:numPr>
          <w:ilvl w:val="0"/>
          <w:numId w:val="5"/>
        </w:numPr>
      </w:pPr>
      <w:r w:rsidRPr="605D3DF1">
        <w:rPr>
          <w:b/>
          <w:bCs/>
        </w:rPr>
        <w:t>Negotiate or refer</w:t>
      </w:r>
      <w:r>
        <w:t>: If premium is disputed, apply to the First Tier Tribunal.</w:t>
      </w:r>
    </w:p>
    <w:p w14:paraId="2A0F9364" w14:textId="77777777" w:rsidR="00D26A15" w:rsidRPr="00D26A15" w:rsidRDefault="00D26A15" w:rsidP="00D26A15">
      <w:pPr>
        <w:numPr>
          <w:ilvl w:val="0"/>
          <w:numId w:val="5"/>
        </w:numPr>
      </w:pPr>
      <w:r w:rsidRPr="00D26A15">
        <w:rPr>
          <w:b/>
          <w:bCs/>
        </w:rPr>
        <w:t>Deadlines</w:t>
      </w:r>
      <w:r w:rsidRPr="00D26A15">
        <w:t>: If no agreement or Tribunal application within 6 months, notice is withdrawn. You must wait 12 months to reapply.</w:t>
      </w:r>
    </w:p>
    <w:p w14:paraId="329621AB" w14:textId="77777777" w:rsidR="00D26A15" w:rsidRPr="00D26A15" w:rsidRDefault="00D26A15" w:rsidP="00D26A15">
      <w:pPr>
        <w:numPr>
          <w:ilvl w:val="0"/>
          <w:numId w:val="5"/>
        </w:numPr>
      </w:pPr>
      <w:r w:rsidRPr="00D26A15">
        <w:rPr>
          <w:b/>
          <w:bCs/>
        </w:rPr>
        <w:t>Agree terms</w:t>
      </w:r>
      <w:r w:rsidRPr="00D26A15">
        <w:t>: Solicitors exchange and complete the new lease.</w:t>
      </w:r>
    </w:p>
    <w:p w14:paraId="44967BC1" w14:textId="77777777" w:rsidR="00D26A15" w:rsidRPr="00D26A15" w:rsidRDefault="00D26A15" w:rsidP="00D26A15">
      <w:pPr>
        <w:numPr>
          <w:ilvl w:val="0"/>
          <w:numId w:val="5"/>
        </w:numPr>
      </w:pPr>
      <w:r w:rsidRPr="00D26A15">
        <w:rPr>
          <w:b/>
          <w:bCs/>
        </w:rPr>
        <w:t>Pay costs</w:t>
      </w:r>
      <w:r w:rsidRPr="00D26A15">
        <w:t>: Leaseholder pays Council’s reasonable legal and surveyor fees.</w:t>
      </w:r>
    </w:p>
    <w:p w14:paraId="5C1684C3" w14:textId="3BE36BB9" w:rsidR="00D26A15" w:rsidRPr="00D26A15" w:rsidRDefault="00D26A15" w:rsidP="3477C7C9">
      <w:pPr>
        <w:rPr>
          <w:b/>
          <w:bCs/>
        </w:rPr>
      </w:pPr>
      <w:r w:rsidRPr="3477C7C9">
        <w:rPr>
          <w:b/>
          <w:bCs/>
        </w:rPr>
        <w:t>How to Submit Your Notice</w:t>
      </w:r>
    </w:p>
    <w:p w14:paraId="66F00B06" w14:textId="77777777" w:rsidR="00D26A15" w:rsidRPr="00D26A15" w:rsidRDefault="00D26A15" w:rsidP="00D26A15">
      <w:r w:rsidRPr="00D26A15">
        <w:t>Formal notices must be submitted by your solicitor:</w:t>
      </w:r>
    </w:p>
    <w:p w14:paraId="48A2E83B" w14:textId="7F04587D" w:rsidR="00D26A15" w:rsidRDefault="00D26A15" w:rsidP="605D3DF1">
      <w:pPr>
        <w:numPr>
          <w:ilvl w:val="0"/>
          <w:numId w:val="6"/>
        </w:numPr>
      </w:pPr>
      <w:r w:rsidRPr="605D3DF1">
        <w:rPr>
          <w:b/>
          <w:bCs/>
        </w:rPr>
        <w:t>By email</w:t>
      </w:r>
      <w:r>
        <w:t xml:space="preserve">: </w:t>
      </w:r>
      <w:hyperlink r:id="rId10">
        <w:r w:rsidRPr="605D3DF1">
          <w:rPr>
            <w:rStyle w:val="Hyperlink"/>
            <w:color w:val="2F5EF7"/>
          </w:rPr>
          <w:t>Leasehold@lbbd.gov.uk</w:t>
        </w:r>
      </w:hyperlink>
    </w:p>
    <w:p w14:paraId="3AFE3F26" w14:textId="77777777" w:rsidR="00D26A15" w:rsidRPr="00D26A15" w:rsidRDefault="00D26A15" w:rsidP="00D26A15">
      <w:pPr>
        <w:numPr>
          <w:ilvl w:val="0"/>
          <w:numId w:val="6"/>
        </w:numPr>
      </w:pPr>
      <w:r w:rsidRPr="00D26A15">
        <w:rPr>
          <w:b/>
          <w:bCs/>
        </w:rPr>
        <w:t>By post</w:t>
      </w:r>
      <w:r w:rsidRPr="00D26A15">
        <w:t>:</w:t>
      </w:r>
      <w:r w:rsidRPr="00D26A15">
        <w:br/>
        <w:t>Sales &amp; Leasehold Management Section</w:t>
      </w:r>
      <w:r w:rsidRPr="00D26A15">
        <w:br/>
        <w:t>Barking Town Hall</w:t>
      </w:r>
      <w:r w:rsidRPr="00D26A15">
        <w:br/>
        <w:t>1 Town Square</w:t>
      </w:r>
      <w:r w:rsidRPr="00D26A15">
        <w:br/>
        <w:t>Barking, Essex IG11 7LU</w:t>
      </w:r>
    </w:p>
    <w:p w14:paraId="46C978C2" w14:textId="064850CE" w:rsidR="00D26A15" w:rsidRPr="00D26A15" w:rsidRDefault="00D26A15" w:rsidP="3477C7C9">
      <w:pPr>
        <w:rPr>
          <w:b/>
          <w:bCs/>
        </w:rPr>
      </w:pPr>
      <w:r w:rsidRPr="3477C7C9">
        <w:rPr>
          <w:b/>
          <w:bCs/>
        </w:rPr>
        <w:t>Immediate Actions</w:t>
      </w:r>
    </w:p>
    <w:p w14:paraId="3A2A9028" w14:textId="77777777" w:rsidR="00D26A15" w:rsidRPr="00D26A15" w:rsidRDefault="00D26A15" w:rsidP="00D26A15">
      <w:pPr>
        <w:numPr>
          <w:ilvl w:val="0"/>
          <w:numId w:val="7"/>
        </w:numPr>
      </w:pPr>
      <w:r w:rsidRPr="00D26A15">
        <w:t>Instruct a solicitor to draft and serve the Section 42 Notice.</w:t>
      </w:r>
    </w:p>
    <w:p w14:paraId="0DE914AB" w14:textId="77777777" w:rsidR="00D26A15" w:rsidRPr="00D26A15" w:rsidRDefault="00D26A15" w:rsidP="00D26A15">
      <w:pPr>
        <w:numPr>
          <w:ilvl w:val="0"/>
          <w:numId w:val="7"/>
        </w:numPr>
      </w:pPr>
      <w:r w:rsidRPr="00D26A15">
        <w:t>Instruct a surveyor to value the property and advise on the premium.</w:t>
      </w:r>
    </w:p>
    <w:p w14:paraId="41CA9832" w14:textId="77777777" w:rsidR="00D26A15" w:rsidRPr="00D26A15" w:rsidRDefault="00D26A15" w:rsidP="00D26A15">
      <w:pPr>
        <w:numPr>
          <w:ilvl w:val="0"/>
          <w:numId w:val="7"/>
        </w:numPr>
      </w:pPr>
      <w:r w:rsidRPr="00D26A15">
        <w:lastRenderedPageBreak/>
        <w:t>Prepare funds for all associated costs.</w:t>
      </w:r>
    </w:p>
    <w:p w14:paraId="143D9939" w14:textId="7EAB5913" w:rsidR="00D26A15" w:rsidRPr="00D26A15" w:rsidRDefault="00D26A15" w:rsidP="3477C7C9">
      <w:pPr>
        <w:rPr>
          <w:b/>
          <w:bCs/>
        </w:rPr>
      </w:pPr>
      <w:r w:rsidRPr="3477C7C9">
        <w:rPr>
          <w:b/>
          <w:bCs/>
        </w:rPr>
        <w:t>Additional Resources</w:t>
      </w:r>
    </w:p>
    <w:p w14:paraId="1A2BD821" w14:textId="77777777" w:rsidR="00D26A15" w:rsidRPr="00D26A15" w:rsidRDefault="00D26A15" w:rsidP="00D26A15">
      <w:r>
        <w:t xml:space="preserve">Visit the </w:t>
      </w:r>
      <w:r w:rsidRPr="605D3DF1">
        <w:rPr>
          <w:b/>
          <w:bCs/>
        </w:rPr>
        <w:t>Leasehold Advisory Service</w:t>
      </w:r>
      <w:r>
        <w:t xml:space="preserve"> for expert guidance and tools, including a </w:t>
      </w:r>
      <w:r w:rsidRPr="605D3DF1">
        <w:rPr>
          <w:b/>
          <w:bCs/>
        </w:rPr>
        <w:t>lease extension cost calculator</w:t>
      </w:r>
      <w:r>
        <w:t>:</w:t>
      </w:r>
      <w:r>
        <w:br/>
      </w:r>
      <w:r w:rsidRPr="605D3DF1">
        <w:rPr>
          <w:rFonts w:ascii="Segoe UI Emoji" w:hAnsi="Segoe UI Emoji" w:cs="Segoe UI Emoji"/>
        </w:rPr>
        <w:t>🔗</w:t>
      </w:r>
      <w:r>
        <w:t xml:space="preserve"> </w:t>
      </w:r>
      <w:hyperlink r:id="rId11">
        <w:r w:rsidRPr="605D3DF1">
          <w:rPr>
            <w:rStyle w:val="Hyperlink"/>
            <w:color w:val="2F5EF7"/>
          </w:rPr>
          <w:t>Leasehold Extension – Getting Started</w:t>
        </w:r>
      </w:hyperlink>
    </w:p>
    <w:p w14:paraId="772A3382" w14:textId="77777777" w:rsidR="00607669" w:rsidRDefault="00607669"/>
    <w:sectPr w:rsidR="00607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A5E"/>
    <w:multiLevelType w:val="multilevel"/>
    <w:tmpl w:val="5C24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72267"/>
    <w:multiLevelType w:val="multilevel"/>
    <w:tmpl w:val="F83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2898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C6F1F"/>
    <w:multiLevelType w:val="multilevel"/>
    <w:tmpl w:val="7C28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59EA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43B0"/>
    <w:multiLevelType w:val="multilevel"/>
    <w:tmpl w:val="EF8C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66EEA"/>
    <w:multiLevelType w:val="multilevel"/>
    <w:tmpl w:val="A88A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063BC"/>
    <w:multiLevelType w:val="multilevel"/>
    <w:tmpl w:val="EA6A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8C1104"/>
    <w:multiLevelType w:val="multilevel"/>
    <w:tmpl w:val="E06A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862074">
    <w:abstractNumId w:val="5"/>
  </w:num>
  <w:num w:numId="2" w16cid:durableId="1529683561">
    <w:abstractNumId w:val="3"/>
  </w:num>
  <w:num w:numId="3" w16cid:durableId="1226375358">
    <w:abstractNumId w:val="8"/>
  </w:num>
  <w:num w:numId="4" w16cid:durableId="1890679887">
    <w:abstractNumId w:val="0"/>
  </w:num>
  <w:num w:numId="5" w16cid:durableId="1162816516">
    <w:abstractNumId w:val="6"/>
  </w:num>
  <w:num w:numId="6" w16cid:durableId="1132404734">
    <w:abstractNumId w:val="7"/>
  </w:num>
  <w:num w:numId="7" w16cid:durableId="1521359140">
    <w:abstractNumId w:val="1"/>
  </w:num>
  <w:num w:numId="8" w16cid:durableId="1128739213">
    <w:abstractNumId w:val="2"/>
  </w:num>
  <w:num w:numId="9" w16cid:durableId="1883135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15"/>
    <w:rsid w:val="00007527"/>
    <w:rsid w:val="00031DEC"/>
    <w:rsid w:val="000415C0"/>
    <w:rsid w:val="00093203"/>
    <w:rsid w:val="000D454A"/>
    <w:rsid w:val="00106BD8"/>
    <w:rsid w:val="001D6E0A"/>
    <w:rsid w:val="001E198D"/>
    <w:rsid w:val="001F203A"/>
    <w:rsid w:val="001F7787"/>
    <w:rsid w:val="00223D80"/>
    <w:rsid w:val="00275686"/>
    <w:rsid w:val="00287731"/>
    <w:rsid w:val="00306C51"/>
    <w:rsid w:val="00337B63"/>
    <w:rsid w:val="00356AD6"/>
    <w:rsid w:val="00375EAE"/>
    <w:rsid w:val="0039323D"/>
    <w:rsid w:val="003B612F"/>
    <w:rsid w:val="003B7EBA"/>
    <w:rsid w:val="003D346E"/>
    <w:rsid w:val="00424E49"/>
    <w:rsid w:val="00436A86"/>
    <w:rsid w:val="00451F12"/>
    <w:rsid w:val="00467CE8"/>
    <w:rsid w:val="004A2DDA"/>
    <w:rsid w:val="004C38CA"/>
    <w:rsid w:val="004E451D"/>
    <w:rsid w:val="004F486E"/>
    <w:rsid w:val="004F7B68"/>
    <w:rsid w:val="0051111C"/>
    <w:rsid w:val="00541E86"/>
    <w:rsid w:val="00550A77"/>
    <w:rsid w:val="00573DCF"/>
    <w:rsid w:val="0058379F"/>
    <w:rsid w:val="00592B44"/>
    <w:rsid w:val="005C3D92"/>
    <w:rsid w:val="005D01D6"/>
    <w:rsid w:val="005D5485"/>
    <w:rsid w:val="005E4897"/>
    <w:rsid w:val="00600FE0"/>
    <w:rsid w:val="00607669"/>
    <w:rsid w:val="006426D7"/>
    <w:rsid w:val="00656D8A"/>
    <w:rsid w:val="0065785F"/>
    <w:rsid w:val="00691381"/>
    <w:rsid w:val="006F6DF0"/>
    <w:rsid w:val="00716DF1"/>
    <w:rsid w:val="007A6F97"/>
    <w:rsid w:val="007B0AD1"/>
    <w:rsid w:val="007E17CE"/>
    <w:rsid w:val="0080377A"/>
    <w:rsid w:val="00810706"/>
    <w:rsid w:val="00811766"/>
    <w:rsid w:val="00821550"/>
    <w:rsid w:val="00837ED3"/>
    <w:rsid w:val="008850C7"/>
    <w:rsid w:val="008C450E"/>
    <w:rsid w:val="00905A17"/>
    <w:rsid w:val="009226A3"/>
    <w:rsid w:val="00986813"/>
    <w:rsid w:val="009A4FF4"/>
    <w:rsid w:val="009F51D6"/>
    <w:rsid w:val="00A06080"/>
    <w:rsid w:val="00A27BA4"/>
    <w:rsid w:val="00A92C5A"/>
    <w:rsid w:val="00A949D7"/>
    <w:rsid w:val="00AB290B"/>
    <w:rsid w:val="00AC5A4F"/>
    <w:rsid w:val="00AC7BAA"/>
    <w:rsid w:val="00AE7A03"/>
    <w:rsid w:val="00AF2999"/>
    <w:rsid w:val="00B27463"/>
    <w:rsid w:val="00B42251"/>
    <w:rsid w:val="00B562D2"/>
    <w:rsid w:val="00B72458"/>
    <w:rsid w:val="00B96D3F"/>
    <w:rsid w:val="00BD75B5"/>
    <w:rsid w:val="00BE6991"/>
    <w:rsid w:val="00BF49E6"/>
    <w:rsid w:val="00C71484"/>
    <w:rsid w:val="00CD7A05"/>
    <w:rsid w:val="00D0315F"/>
    <w:rsid w:val="00D13CC9"/>
    <w:rsid w:val="00D26A15"/>
    <w:rsid w:val="00D51818"/>
    <w:rsid w:val="00D650BB"/>
    <w:rsid w:val="00D762D4"/>
    <w:rsid w:val="00DE25BC"/>
    <w:rsid w:val="00E10D9E"/>
    <w:rsid w:val="00E14571"/>
    <w:rsid w:val="00E8421D"/>
    <w:rsid w:val="00ED5390"/>
    <w:rsid w:val="00F271BA"/>
    <w:rsid w:val="00F64DFA"/>
    <w:rsid w:val="00F67FF9"/>
    <w:rsid w:val="00F7614D"/>
    <w:rsid w:val="00F832EB"/>
    <w:rsid w:val="00F97E7B"/>
    <w:rsid w:val="00FA332F"/>
    <w:rsid w:val="00FB3AF4"/>
    <w:rsid w:val="00FF622E"/>
    <w:rsid w:val="03F22EFF"/>
    <w:rsid w:val="049BAE1B"/>
    <w:rsid w:val="0BBD5D89"/>
    <w:rsid w:val="1065A9E5"/>
    <w:rsid w:val="128206FE"/>
    <w:rsid w:val="128BACC3"/>
    <w:rsid w:val="138DB111"/>
    <w:rsid w:val="14A58508"/>
    <w:rsid w:val="14C410F0"/>
    <w:rsid w:val="1E9C4A5D"/>
    <w:rsid w:val="22A6593E"/>
    <w:rsid w:val="25842A55"/>
    <w:rsid w:val="277D6074"/>
    <w:rsid w:val="284D9EF9"/>
    <w:rsid w:val="2A7D0191"/>
    <w:rsid w:val="2B08C7AC"/>
    <w:rsid w:val="2C15A44E"/>
    <w:rsid w:val="2C708C94"/>
    <w:rsid w:val="2DE7D268"/>
    <w:rsid w:val="2E29B0E5"/>
    <w:rsid w:val="31B21753"/>
    <w:rsid w:val="3301FF92"/>
    <w:rsid w:val="3477C7C9"/>
    <w:rsid w:val="384CCF07"/>
    <w:rsid w:val="388EE497"/>
    <w:rsid w:val="3B9F622B"/>
    <w:rsid w:val="4162918F"/>
    <w:rsid w:val="420B9596"/>
    <w:rsid w:val="42E68A48"/>
    <w:rsid w:val="480776FC"/>
    <w:rsid w:val="48B25412"/>
    <w:rsid w:val="4970C222"/>
    <w:rsid w:val="49D21CBB"/>
    <w:rsid w:val="4C0E0483"/>
    <w:rsid w:val="511ABA7B"/>
    <w:rsid w:val="538DF2CF"/>
    <w:rsid w:val="58994340"/>
    <w:rsid w:val="59BCB7B3"/>
    <w:rsid w:val="5B888934"/>
    <w:rsid w:val="5E6D3A90"/>
    <w:rsid w:val="5EBADE62"/>
    <w:rsid w:val="605D3DF1"/>
    <w:rsid w:val="62F4FD74"/>
    <w:rsid w:val="6383DE78"/>
    <w:rsid w:val="66B57C83"/>
    <w:rsid w:val="6B44E405"/>
    <w:rsid w:val="6F341037"/>
    <w:rsid w:val="73685A3D"/>
    <w:rsid w:val="74D766AB"/>
    <w:rsid w:val="7ADA9EC0"/>
    <w:rsid w:val="7B280FCA"/>
    <w:rsid w:val="7BF136AB"/>
    <w:rsid w:val="7E50B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41F9"/>
  <w15:chartTrackingRefBased/>
  <w15:docId w15:val="{A904D064-0DF6-445F-9403-3138434A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A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A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64DFA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F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lease-advice.org/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Leasehold@lbbd.gov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6F68775C7FCD61419980D444141138FB" ma:contentTypeVersion="223" ma:contentTypeDescription="Document with LGCS and Type of Content Classification" ma:contentTypeScope="" ma:versionID="dfc6f9a0a380f0bf57811d3cc1ab277c">
  <xsd:schema xmlns:xsd="http://www.w3.org/2001/XMLSchema" xmlns:xs="http://www.w3.org/2001/XMLSchema" xmlns:p="http://schemas.microsoft.com/office/2006/metadata/properties" xmlns:ns2="6f247cf5-36db-4625-96bb-fe9ae63417ad" targetNamespace="http://schemas.microsoft.com/office/2006/metadata/properties" ma:root="true" ma:fieldsID="54f8eddc8b3211faad4910357df049cf" ns2:_="">
    <xsd:import namespace="6f247cf5-36db-4625-96bb-fe9ae63417ad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4f722e-4715-45a1-9d32-e42892b517e2}" ma:internalName="TaxCatchAll" ma:showField="CatchAllData" ma:web="8cb6bfd7-e5b7-412e-8740-672e49a4b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4f722e-4715-45a1-9d32-e42892b517e2}" ma:internalName="TaxCatchAllLabel" ma:readOnly="true" ma:showField="CatchAllDataLabel" ma:web="8cb6bfd7-e5b7-412e-8740-672e49a4b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k7ff990e7aca4cbe91a85df0bf876c29 xmlns="6f247cf5-36db-4625-96bb-fe9ae63417ad">
      <Terms xmlns="http://schemas.microsoft.com/office/infopath/2007/PartnerControls"/>
    </k7ff990e7aca4cbe91a85df0bf876c29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010116C-88F0-4A33-8006-D749EB787D9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A0C25D-4E14-48A9-B8D5-7B3D0DB04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5C88F-3DC2-4429-A4F9-29117EBFA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47cf5-36db-4625-96bb-fe9ae6341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40E4BF-EBF1-4993-80EA-092E26CFF798}">
  <ds:schemaRefs>
    <ds:schemaRef ds:uri="http://schemas.microsoft.com/office/2006/metadata/properties"/>
    <ds:schemaRef ds:uri="http://schemas.microsoft.com/office/infopath/2007/PartnerControls"/>
    <ds:schemaRef ds:uri="6f247cf5-36db-4625-96bb-fe9ae63417ad"/>
  </ds:schemaRefs>
</ds:datastoreItem>
</file>

<file path=customXml/itemProps5.xml><?xml version="1.0" encoding="utf-8"?>
<ds:datastoreItem xmlns:ds="http://schemas.openxmlformats.org/officeDocument/2006/customXml" ds:itemID="{E6154CDF-2BA6-4349-AA64-CF9274AF97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2985</Characters>
  <Application>Microsoft Office Word</Application>
  <DocSecurity>4</DocSecurity>
  <Lines>79</Lines>
  <Paragraphs>52</Paragraphs>
  <ScaleCrop>false</ScaleCrop>
  <Company>London Borough of Barking and Dagenham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Jumoke Ezomo</dc:creator>
  <cp:keywords/>
  <dc:description/>
  <cp:lastModifiedBy>Jane Shaw</cp:lastModifiedBy>
  <cp:revision>2</cp:revision>
  <dcterms:created xsi:type="dcterms:W3CDTF">2026-03-19T15:31:00Z</dcterms:created>
  <dcterms:modified xsi:type="dcterms:W3CDTF">2026-03-19T15:31:00Z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0x0101003D111B80989C2F48A98656A918A919A0006F68775C7FCD61419980D444141138FB</vt:lpwstr>
  </property>
  <property fmtid="{D5CDD505-2E9C-101B-9397-08002B2CF9AE}" pid="3" name="MediaServiceImageTags">
    <vt:lpwstr/>
  </property>
  <property fmtid="{D5CDD505-2E9C-101B-9397-08002B2CF9AE}" pid="4" name="LGCS">
    <vt:lpwstr/>
  </property>
  <property fmtid="{D5CDD505-2E9C-101B-9397-08002B2CF9AE}" pid="5" name="lcf76f155ced4ddcb4097134ff3c332f">
    <vt:lpwstr/>
  </property>
  <property fmtid="{D5CDD505-2E9C-101B-9397-08002B2CF9AE}" pid="6" name="CType">
    <vt:lpwstr/>
  </property>
  <property fmtid="{D5CDD505-2E9C-101B-9397-08002B2CF9AE}" pid="7" name="Financial_x0020_Year">
    <vt:lpwstr/>
  </property>
  <property fmtid="{D5CDD505-2E9C-101B-9397-08002B2CF9AE}" pid="8" name="a8455ed1fd22475083a09a91de16b8fd">
    <vt:lpwstr/>
  </property>
  <property fmtid="{D5CDD505-2E9C-101B-9397-08002B2CF9AE}" pid="9" name="Financial Year">
    <vt:lpwstr/>
  </property>
</Properties>
</file>